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SENTENZE CORTE COSTITUZIONALE E CORTE DI GIUSTIZIA UE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CORTE COSTITUZIONALE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33/1960</w:t>
      </w:r>
      <w:r w:rsidDel="00000000" w:rsidR="00000000" w:rsidRPr="00000000">
        <w:rPr>
          <w:rtl w:val="0"/>
        </w:rPr>
        <w:t xml:space="preserve">: sull’accesso ai pubblici uffici;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126/1968</w:t>
      </w:r>
      <w:r w:rsidDel="00000000" w:rsidR="00000000" w:rsidRPr="00000000">
        <w:rPr>
          <w:rtl w:val="0"/>
        </w:rPr>
        <w:t xml:space="preserve">: sul reato di adulterio;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87/1975</w:t>
      </w:r>
      <w:r w:rsidDel="00000000" w:rsidR="00000000" w:rsidRPr="00000000">
        <w:rPr>
          <w:rtl w:val="0"/>
        </w:rPr>
        <w:t xml:space="preserve">: sulla perdita della cittadinanza italiana per la donna che si sposi con uno straniero la cui cittadinanza le si comunichi a seguito del matrimonio;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 137/1986</w:t>
      </w:r>
      <w:r w:rsidDel="00000000" w:rsidR="00000000" w:rsidRPr="00000000">
        <w:rPr>
          <w:rtl w:val="0"/>
        </w:rPr>
        <w:t xml:space="preserve">: sull’età pensionabile;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210/1986</w:t>
      </w:r>
      <w:r w:rsidDel="00000000" w:rsidR="00000000" w:rsidRPr="00000000">
        <w:rPr>
          <w:rtl w:val="0"/>
        </w:rPr>
        <w:t xml:space="preserve">: sul divieto di lavoro notturno;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477/1987</w:t>
      </w:r>
      <w:r w:rsidDel="00000000" w:rsidR="00000000" w:rsidRPr="00000000">
        <w:rPr>
          <w:rtl w:val="0"/>
        </w:rPr>
        <w:t xml:space="preserve">: sullo status civitatis;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225/1990</w:t>
      </w:r>
      <w:r w:rsidDel="00000000" w:rsidR="00000000" w:rsidRPr="00000000">
        <w:rPr>
          <w:rtl w:val="0"/>
        </w:rPr>
        <w:t xml:space="preserve">: sull’istituzione delle cattedre di educazione fisica distintamente in maschili e femminili;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46/1993</w:t>
      </w:r>
      <w:r w:rsidDel="00000000" w:rsidR="00000000" w:rsidRPr="00000000">
        <w:rPr>
          <w:rtl w:val="0"/>
        </w:rPr>
        <w:t xml:space="preserve">: sul divieto di licenziamento per causa di matrimonio;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179/1993</w:t>
      </w:r>
      <w:r w:rsidDel="00000000" w:rsidR="00000000" w:rsidRPr="00000000">
        <w:rPr>
          <w:rtl w:val="0"/>
        </w:rPr>
        <w:t xml:space="preserve">: sulla mancata previsione del diritto all’astensione dal lavoro e al godimento dei riposi giornalieri per il padre lavoratore;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271/1999</w:t>
      </w:r>
      <w:r w:rsidDel="00000000" w:rsidR="00000000" w:rsidRPr="00000000">
        <w:rPr>
          <w:rtl w:val="0"/>
        </w:rPr>
        <w:t xml:space="preserve">: sulla tutela delle madri lavoratrici;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376/2000</w:t>
      </w:r>
      <w:r w:rsidDel="00000000" w:rsidR="00000000" w:rsidRPr="00000000">
        <w:rPr>
          <w:rtl w:val="0"/>
        </w:rPr>
        <w:t xml:space="preserve">: sulla mancata estensione del divieto di espulsione al marito straniero convivente della donna in stato di gravidanza o nei sei mesi successivi alla nascita del figlio;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385/2005</w:t>
      </w:r>
      <w:r w:rsidDel="00000000" w:rsidR="00000000" w:rsidRPr="00000000">
        <w:rPr>
          <w:rtl w:val="0"/>
        </w:rPr>
        <w:t xml:space="preserve">:sulla mancata previsione per il padre di percepire in alternativa alla madre l'indennità di maternità;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254/2006</w:t>
      </w:r>
      <w:r w:rsidDel="00000000" w:rsidR="00000000" w:rsidRPr="00000000">
        <w:rPr>
          <w:rtl w:val="0"/>
        </w:rPr>
        <w:t xml:space="preserve">: sui rapporti patrimoniali fra i coniugi;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275/2009</w:t>
      </w:r>
      <w:r w:rsidDel="00000000" w:rsidR="00000000" w:rsidRPr="00000000">
        <w:rPr>
          <w:rtl w:val="0"/>
        </w:rPr>
        <w:t xml:space="preserve">: sull’onere di comunicazione a carico della lavoratrice per l’esercizio del diritto di lavorare fino al compimento della stessa età prevista per il lavoratore;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191/2015</w:t>
      </w:r>
      <w:r w:rsidDel="00000000" w:rsidR="00000000" w:rsidRPr="00000000">
        <w:rPr>
          <w:rtl w:val="0"/>
        </w:rPr>
        <w:t xml:space="preserve">: sul diverso trattamento previsto per la madre separata in ordine alla pensione di guerra;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193/2017</w:t>
      </w:r>
      <w:r w:rsidDel="00000000" w:rsidR="00000000" w:rsidRPr="00000000">
        <w:rPr>
          <w:rtl w:val="0"/>
        </w:rPr>
        <w:t xml:space="preserve">: per la previsione secondo la quale tra i chiamati alla successione nello stesso grado spetta agli uomini la preferenza nei confronti delle donne;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sent.131/2022</w:t>
      </w:r>
      <w:r w:rsidDel="00000000" w:rsidR="00000000" w:rsidRPr="00000000">
        <w:rPr>
          <w:rtl w:val="0"/>
        </w:rPr>
        <w:t xml:space="preserve">: sul cognome materno;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Corte cost. sent. 211/2023</w:t>
      </w:r>
      <w:r w:rsidDel="00000000" w:rsidR="00000000" w:rsidRPr="00000000">
        <w:rPr>
          <w:rtl w:val="0"/>
        </w:rPr>
        <w:t xml:space="preserve">: per la previsione secondo la quale le vincitrici del concorso per vice ispettori del Corpo di Polizia penitenziaria – che abbiano ottenuto l’idoneità al servizio a seguito della partecipazione al primo corso di formazione successivo all’assenza dal lavoro per maternità – siano immesse in ruolo con la medesima decorrenza, ai fini giuridici, attribuita agli altri vincitori del medesimo concorso.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CORTE DI GIUSTIZIA UE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C-43/75</w:t>
      </w:r>
      <w:r w:rsidDel="00000000" w:rsidR="00000000" w:rsidRPr="00000000">
        <w:rPr>
          <w:rtl w:val="0"/>
        </w:rPr>
        <w:t xml:space="preserve">: sulla parità di retribuzione uomo-donna in tutte le convenzioni che disciplinano in modo collettivo il lavoro subordinato;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C-170/84</w:t>
      </w:r>
      <w:r w:rsidDel="00000000" w:rsidR="00000000" w:rsidRPr="00000000">
        <w:rPr>
          <w:rtl w:val="0"/>
        </w:rPr>
        <w:t xml:space="preserve">: sul rischio di discriminazione indiretta laddove si escludano i dipendenti a orario ridotto (se prevalentemente donne) da un regime di pensione aziendale;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C-262/88</w:t>
      </w:r>
      <w:r w:rsidDel="00000000" w:rsidR="00000000" w:rsidRPr="00000000">
        <w:rPr>
          <w:rtl w:val="0"/>
        </w:rPr>
        <w:t xml:space="preserve">: sulla parità trattamento uomo/donna nelle pensioni di reversibilità;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C-409.95</w:t>
      </w:r>
      <w:r w:rsidDel="00000000" w:rsidR="00000000" w:rsidRPr="00000000">
        <w:rPr>
          <w:rtl w:val="0"/>
        </w:rPr>
        <w:t xml:space="preserve">: per la legittimità della “discriminazione positiva” nella promozione delle candidate donne nei settori caratterizzati da una bassa presenza femminile;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C-236/09</w:t>
      </w:r>
      <w:r w:rsidDel="00000000" w:rsidR="00000000" w:rsidRPr="00000000">
        <w:rPr>
          <w:rtl w:val="0"/>
        </w:rPr>
        <w:t xml:space="preserve">: parità di calcolo attuariale per uomini e donne ai fini dei premi e delle prestazioni assicurative;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C-161/18</w:t>
      </w:r>
      <w:r w:rsidDel="00000000" w:rsidR="00000000" w:rsidRPr="00000000">
        <w:rPr>
          <w:rtl w:val="0"/>
        </w:rPr>
        <w:t xml:space="preserve">: sul rischio di una possibile discriminazione indiretta causata dalla normativa spagnola nel calcolo dell’importo della pensione di vecchiaia per i lavoratori a tempo parziale (se a prevalenza di donne);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C-624/19</w:t>
      </w:r>
      <w:r w:rsidDel="00000000" w:rsidR="00000000" w:rsidRPr="00000000">
        <w:rPr>
          <w:rtl w:val="0"/>
        </w:rPr>
        <w:t xml:space="preserve">: sulla parità di retribuzione uomini e donne per lavoro di pari valore;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C-389/20</w:t>
      </w:r>
      <w:r w:rsidDel="00000000" w:rsidR="00000000" w:rsidRPr="00000000">
        <w:rPr>
          <w:rtl w:val="0"/>
        </w:rPr>
        <w:t xml:space="preserve">: sulla discriminazione indiretta a danno del genere femminile laddove lo Stato escluda il personale domestico dalla tutela in caso di disoccupazione;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Causa C-113/22</w:t>
      </w:r>
      <w:r w:rsidDel="00000000" w:rsidR="00000000" w:rsidRPr="00000000">
        <w:rPr>
          <w:rtl w:val="0"/>
        </w:rPr>
        <w:t xml:space="preserve">: sulla discriminazione di una normativa interna che preveda una integrazione della pensione di invalidità soltanto per le madri e non anche per i padri.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Come da indicazioni, sono state escluse le sentenze relative alla violenza di genere, alla materia elettorale, all’aborto e alla procreazione medicalmente assistita. 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spacing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Times New Roman" w:cs="Times New Roman" w:eastAsia="Times New Roman" w:hAnsi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Times New Roman" w:cs="Times New Roman" w:eastAsia="Times New Roman" w:hAnsi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Times New Roman" w:cs="Times New Roman" w:eastAsia="Times New Roman" w:hAnsi="Times New Roman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Times New Roman" w:cs="Times New Roman" w:eastAsia="Times New Roman" w:hAnsi="Times New Roman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Times New Roman" w:cs="Times New Roman" w:eastAsia="Times New Roman" w:hAnsi="Times New Roman"/>
      <w:sz w:val="56"/>
      <w:szCs w:val="56"/>
    </w:rPr>
  </w:style>
  <w:style w:type="paragraph" w:styleId="Normale" w:default="1">
    <w:name w:val="Normal"/>
    <w:qFormat w:val="1"/>
    <w:rsid w:val="004A4A30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4A4A3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4A4A3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4A4A30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4A4A30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4A4A30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4A4A30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4A4A30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4A4A30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4A4A30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4A4A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4A4A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4A4A30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4A4A30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4A4A30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4A4A30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4A4A30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4A4A30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4A4A30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4A4A3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4A4A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4A4A30"/>
    <w:pPr>
      <w:numPr>
        <w:ilvl w:val="1"/>
      </w:numPr>
      <w:ind w:firstLine="709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4A4A30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Paragrafoelenco">
    <w:name w:val="List Paragraph"/>
    <w:basedOn w:val="Normale"/>
    <w:uiPriority w:val="34"/>
    <w:qFormat w:val="1"/>
    <w:rsid w:val="004A4A30"/>
    <w:pPr>
      <w:ind w:left="720"/>
      <w:contextualSpacing w:val="1"/>
    </w:p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4A4A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4A4A30"/>
    <w:rPr>
      <w:i w:val="1"/>
      <w:iCs w:val="1"/>
      <w:color w:val="404040" w:themeColor="text1" w:themeTint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4A4A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4A4A30"/>
    <w:rPr>
      <w:i w:val="1"/>
      <w:iCs w:val="1"/>
      <w:color w:val="0f4761" w:themeColor="accent1" w:themeShade="0000BF"/>
    </w:rPr>
  </w:style>
  <w:style w:type="character" w:styleId="Enfasiintensa">
    <w:name w:val="Intense Emphasis"/>
    <w:basedOn w:val="Carpredefinitoparagrafo"/>
    <w:uiPriority w:val="21"/>
    <w:qFormat w:val="1"/>
    <w:rsid w:val="004A4A30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4A4A30"/>
    <w:rPr>
      <w:b w:val="1"/>
      <w:bCs w:val="1"/>
      <w:smallCaps w:val="1"/>
      <w:color w:val="0f4761" w:themeColor="accent1" w:themeShade="0000BF"/>
      <w:spacing w:val="5"/>
    </w:r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4A4A30"/>
    <w:pPr>
      <w:spacing w:after="0" w:before="240" w:line="259" w:lineRule="auto"/>
      <w:jc w:val="left"/>
      <w:outlineLvl w:val="9"/>
    </w:pPr>
    <w:rPr>
      <w:kern w:val="0"/>
      <w:sz w:val="32"/>
      <w:szCs w:val="32"/>
      <w:lang w:eastAsia="it-IT"/>
    </w:rPr>
  </w:style>
  <w:style w:type="paragraph" w:styleId="Subtitle">
    <w:name w:val="Subtitle"/>
    <w:basedOn w:val="Normal"/>
    <w:next w:val="Normal"/>
    <w:pPr>
      <w:ind w:firstLine="709"/>
    </w:pPr>
    <w:rPr>
      <w:rFonts w:ascii="Times New Roman" w:cs="Times New Roman" w:eastAsia="Times New Roman" w:hAnsi="Times New Roman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es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MCbHST4oeF6Aoqp4ZkRC1co3g==">CgMxLjA4AHIhMW00dFpoQjg0eDdNWTU4TzlSMDd4T0FUNUFKcG9rbzhF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2024-04-29T20:16:00Z</dcterms:created>
  <dc:creator>EMANUELA PALOMBA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2024-04-29T22:11:33Z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03d9cfd9-5482-47c6-9fb0-51d2e092ae70</vt:lpwstr>
  </property>
  <property fmtid="{D5CDD505-2E9C-101B-9397-08002B2CF9AE}" pid="8" name="MSIP_Label_2ad0b24d-6422-44b0-b3de-abb3a9e8c81a_ContentBits">
    <vt:lpwstr>0</vt:lpwstr>
  </property>
</Properties>
</file>