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79"/>
          <w:sz w:val="32"/>
          <w:szCs w:val="32"/>
        </w:rPr>
        <w:t xml:space="preserve">RAPPORT D'AVANCEMENT — PROJET DE FIN D'ANNÉE</w:t>
      </w:r>
    </w:p>
    <w:p>
      <w:pPr>
        <w:spacing w:after="260"/>
        <w:jc w:val="center"/>
      </w:pPr>
      <w:r>
        <w:rPr>
          <w:i/>
          <w:iCs/>
          <w:color w:val="595959"/>
          <w:sz w:val="24"/>
          <w:szCs w:val="24"/>
        </w:rPr>
        <w:t xml:space="preserve">Détection d'attaques Active Directory par Intelligence Artificielle</w:t>
      </w:r>
    </w:p>
    <w:p>
      <w:pPr>
        <w:pBdr>
          <w:bottom w:val="single" w:color="BFBFBF" w:sz="6" w:space="1"/>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F2F2F2" w:val="clear"/>
            <w:tcMar>
              <w:top w:type="dxa" w:w="80"/>
              <w:left w:type="dxa" w:w="100"/>
              <w:bottom w:type="dxa" w:w="80"/>
              <w:right w:type="dxa" w:w="100"/>
            </w:tcMar>
            <w:vAlign w:val="center"/>
          </w:tcPr>
          <w:p>
            <w:pPr>
              <w:jc w:val="left"/>
            </w:pPr>
            <w:r>
              <w:rPr>
                <w:b/>
                <w:bCs/>
                <w:color w:val="000000"/>
                <w:sz w:val="20"/>
                <w:szCs w:val="20"/>
              </w:rPr>
              <w:t xml:space="preserve">Stage</w:t>
            </w:r>
          </w:p>
        </w:tc>
        <w:tc>
          <w:tcPr>
            <w:tcW w:type="dxa" w:w="6800"/>
            <w:tcMar>
              <w:top w:type="dxa" w:w="80"/>
              <w:left w:type="dxa" w:w="100"/>
              <w:bottom w:type="dxa" w:w="80"/>
              <w:right w:type="dxa" w:w="100"/>
            </w:tcMar>
            <w:vAlign w:val="center"/>
          </w:tcPr>
          <w:p>
            <w:pPr>
              <w:jc w:val="left"/>
            </w:pPr>
            <w:r>
              <w:rPr>
                <w:b w:val="false"/>
                <w:bCs w:val="false"/>
                <w:color w:val="000000"/>
                <w:sz w:val="20"/>
                <w:szCs w:val="20"/>
              </w:rPr>
              <w:t xml:space="preserve">Security Operations Center (SOC) — Dataprotect, Business Unit Security Intelligence</w:t>
            </w:r>
          </w:p>
        </w:tc>
      </w:tr>
      <w:tr>
        <w:tc>
          <w:tcPr>
            <w:tcW w:type="dxa" w:w="2200"/>
            <w:shd w:fill="F2F2F2" w:val="clear"/>
            <w:tcMar>
              <w:top w:type="dxa" w:w="80"/>
              <w:left w:type="dxa" w:w="100"/>
              <w:bottom w:type="dxa" w:w="80"/>
              <w:right w:type="dxa" w:w="100"/>
            </w:tcMar>
            <w:vAlign w:val="center"/>
          </w:tcPr>
          <w:p>
            <w:pPr>
              <w:jc w:val="left"/>
            </w:pPr>
            <w:r>
              <w:rPr>
                <w:b/>
                <w:bCs/>
                <w:color w:val="000000"/>
                <w:sz w:val="20"/>
                <w:szCs w:val="20"/>
              </w:rPr>
              <w:t xml:space="preserve">Binôme</w:t>
            </w:r>
          </w:p>
        </w:tc>
        <w:tc>
          <w:tcPr>
            <w:tcW w:type="dxa" w:w="6800"/>
            <w:tcMar>
              <w:top w:type="dxa" w:w="80"/>
              <w:left w:type="dxa" w:w="100"/>
              <w:bottom w:type="dxa" w:w="80"/>
              <w:right w:type="dxa" w:w="100"/>
            </w:tcMar>
            <w:vAlign w:val="center"/>
          </w:tcPr>
          <w:p>
            <w:pPr>
              <w:jc w:val="left"/>
            </w:pPr>
            <w:r>
              <w:rPr>
                <w:b w:val="false"/>
                <w:bCs w:val="false"/>
                <w:color w:val="000000"/>
                <w:sz w:val="20"/>
                <w:szCs w:val="20"/>
              </w:rPr>
              <w:t xml:space="preserve">Maimouni Mohammed &amp; Chafak Othmane</w:t>
            </w:r>
          </w:p>
        </w:tc>
      </w:tr>
      <w:tr>
        <w:tc>
          <w:tcPr>
            <w:tcW w:type="dxa" w:w="2200"/>
            <w:shd w:fill="F2F2F2" w:val="clear"/>
            <w:tcMar>
              <w:top w:type="dxa" w:w="80"/>
              <w:left w:type="dxa" w:w="100"/>
              <w:bottom w:type="dxa" w:w="80"/>
              <w:right w:type="dxa" w:w="100"/>
            </w:tcMar>
            <w:vAlign w:val="center"/>
          </w:tcPr>
          <w:p>
            <w:pPr>
              <w:jc w:val="left"/>
            </w:pPr>
            <w:r>
              <w:rPr>
                <w:b/>
                <w:bCs/>
                <w:color w:val="000000"/>
                <w:sz w:val="20"/>
                <w:szCs w:val="20"/>
              </w:rPr>
              <w:t xml:space="preserve">Encadrant Dataprotect</w:t>
            </w:r>
          </w:p>
        </w:tc>
        <w:tc>
          <w:tcPr>
            <w:tcW w:type="dxa" w:w="6800"/>
            <w:tcMar>
              <w:top w:type="dxa" w:w="80"/>
              <w:left w:type="dxa" w:w="100"/>
              <w:bottom w:type="dxa" w:w="80"/>
              <w:right w:type="dxa" w:w="100"/>
            </w:tcMar>
            <w:vAlign w:val="center"/>
          </w:tcPr>
          <w:p>
            <w:pPr>
              <w:jc w:val="left"/>
            </w:pPr>
            <w:r>
              <w:rPr>
                <w:b w:val="false"/>
                <w:bCs w:val="false"/>
                <w:color w:val="000000"/>
                <w:sz w:val="20"/>
                <w:szCs w:val="20"/>
              </w:rPr>
              <w:t xml:space="preserve">Benkirane Abbes</w:t>
            </w:r>
          </w:p>
        </w:tc>
      </w:tr>
      <w:tr>
        <w:tc>
          <w:tcPr>
            <w:tcW w:type="dxa" w:w="2200"/>
            <w:shd w:fill="F2F2F2" w:val="clear"/>
            <w:tcMar>
              <w:top w:type="dxa" w:w="80"/>
              <w:left w:type="dxa" w:w="100"/>
              <w:bottom w:type="dxa" w:w="80"/>
              <w:right w:type="dxa" w:w="100"/>
            </w:tcMar>
            <w:vAlign w:val="center"/>
          </w:tcPr>
          <w:p>
            <w:pPr>
              <w:jc w:val="left"/>
            </w:pPr>
            <w:r>
              <w:rPr>
                <w:b/>
                <w:bCs/>
                <w:color w:val="000000"/>
                <w:sz w:val="20"/>
                <w:szCs w:val="20"/>
              </w:rPr>
              <w:t xml:space="preserve">Date du rapport</w:t>
            </w:r>
          </w:p>
        </w:tc>
        <w:tc>
          <w:tcPr>
            <w:tcW w:type="dxa" w:w="6800"/>
            <w:tcMar>
              <w:top w:type="dxa" w:w="80"/>
              <w:left w:type="dxa" w:w="100"/>
              <w:bottom w:type="dxa" w:w="80"/>
              <w:right w:type="dxa" w:w="100"/>
            </w:tcMar>
            <w:vAlign w:val="center"/>
          </w:tcPr>
          <w:p>
            <w:pPr>
              <w:jc w:val="left"/>
            </w:pPr>
            <w:r>
              <w:rPr>
                <w:b w:val="false"/>
                <w:bCs w:val="false"/>
                <w:color w:val="000000"/>
                <w:sz w:val="20"/>
                <w:szCs w:val="20"/>
              </w:rPr>
              <w:t xml:space="preserve">4 août 2026</w:t>
            </w:r>
          </w:p>
        </w:tc>
      </w:tr>
    </w:tbl>
    <w:p>
      <w:pPr>
        <w:pStyle w:val="Heading1"/>
        <w:spacing w:after="140" w:before="320"/>
      </w:pPr>
      <w:r>
        <w:rPr>
          <w:b/>
          <w:bCs/>
          <w:color w:val="1F4E79"/>
          <w:sz w:val="26"/>
          <w:szCs w:val="26"/>
        </w:rPr>
        <w:t xml:space="preserve">1. Objectif du projet</w:t>
      </w:r>
    </w:p>
    <w:p>
      <w:pPr>
        <w:spacing w:after="140" w:line="276"/>
      </w:pPr>
      <w:r>
        <w:rPr>
          <w:sz w:val="21"/>
          <w:szCs w:val="21"/>
        </w:rPr>
        <w:t xml:space="preserve">Concevoir une chaîne complète de détection d'attaques Active Directory : documenter les techniques d'attaque, les rejouer dans un laboratoire contrôlé, vérifier leur détection par un SIEM, corriger les angles morts identifiés, puis construire un agent d'intelligence artificielle de détection au niveau du contrôleur de domaine.</w:t>
      </w:r>
    </w:p>
    <w:p>
      <w:pPr>
        <w:pStyle w:val="Heading1"/>
        <w:spacing w:after="140" w:before="320"/>
      </w:pPr>
      <w:r>
        <w:rPr>
          <w:b/>
          <w:bCs/>
          <w:color w:val="1F4E79"/>
          <w:sz w:val="26"/>
          <w:szCs w:val="26"/>
        </w:rPr>
        <w:t xml:space="preserve">2. Avancement global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6300"/>
        <w:gridCol w:w="1800"/>
      </w:tblGrid>
      <w:tr>
        <w:trPr>
          <w:tblHeader/>
        </w:trPr>
        <w:tc>
          <w:tcPr>
            <w:tcW w:type="dxa" w:w="900"/>
            <w:shd w:fill="1F4E79" w:val="clear"/>
            <w:tcMar>
              <w:top w:type="dxa" w:w="80"/>
              <w:left w:type="dxa" w:w="100"/>
              <w:bottom w:type="dxa" w:w="80"/>
              <w:right w:type="dxa" w:w="100"/>
            </w:tcMar>
            <w:vAlign w:val="center"/>
          </w:tcPr>
          <w:p>
            <w:pPr>
              <w:jc w:val="center"/>
            </w:pPr>
            <w:r>
              <w:rPr>
                <w:b/>
                <w:bCs/>
                <w:color w:val="FFFFFF"/>
                <w:sz w:val="20"/>
                <w:szCs w:val="20"/>
              </w:rPr>
              <w:t xml:space="preserve">Phase</w:t>
            </w:r>
          </w:p>
        </w:tc>
        <w:tc>
          <w:tcPr>
            <w:tcW w:type="dxa" w:w="6300"/>
            <w:shd w:fill="1F4E79" w:val="clear"/>
            <w:tcMar>
              <w:top w:type="dxa" w:w="80"/>
              <w:left w:type="dxa" w:w="100"/>
              <w:bottom w:type="dxa" w:w="80"/>
              <w:right w:type="dxa" w:w="100"/>
            </w:tcMar>
            <w:vAlign w:val="center"/>
          </w:tcPr>
          <w:p>
            <w:pPr>
              <w:jc w:val="left"/>
            </w:pPr>
            <w:r>
              <w:rPr>
                <w:b/>
                <w:bCs/>
                <w:color w:val="FFFFFF"/>
                <w:sz w:val="20"/>
                <w:szCs w:val="20"/>
              </w:rPr>
              <w:t xml:space="preserve">Description</w:t>
            </w:r>
          </w:p>
        </w:tc>
        <w:tc>
          <w:tcPr>
            <w:tcW w:type="dxa" w:w="1800"/>
            <w:shd w:fill="1F4E79" w:val="clear"/>
            <w:tcMar>
              <w:top w:type="dxa" w:w="80"/>
              <w:left w:type="dxa" w:w="100"/>
              <w:bottom w:type="dxa" w:w="80"/>
              <w:right w:type="dxa" w:w="100"/>
            </w:tcMar>
            <w:vAlign w:val="center"/>
          </w:tcPr>
          <w:p>
            <w:pPr>
              <w:jc w:val="center"/>
            </w:pPr>
            <w:r>
              <w:rPr>
                <w:b/>
                <w:bCs/>
                <w:color w:val="FFFFFF"/>
                <w:sz w:val="20"/>
                <w:szCs w:val="20"/>
              </w:rPr>
              <w:t xml:space="preserve">Statut</w:t>
            </w:r>
          </w:p>
        </w:tc>
      </w:tr>
      <w:tr>
        <w:tc>
          <w:tcPr>
            <w:tcW w:type="dxa" w:w="900"/>
            <w:tcMar>
              <w:top w:type="dxa" w:w="80"/>
              <w:left w:type="dxa" w:w="100"/>
              <w:bottom w:type="dxa" w:w="80"/>
              <w:right w:type="dxa" w:w="100"/>
            </w:tcMar>
            <w:vAlign w:val="center"/>
          </w:tcPr>
          <w:p>
            <w:pPr>
              <w:jc w:val="center"/>
            </w:pPr>
            <w:r>
              <w:rPr>
                <w:b/>
                <w:bCs/>
                <w:color w:val="000000"/>
                <w:sz w:val="20"/>
                <w:szCs w:val="20"/>
              </w:rPr>
              <w:t xml:space="preserve">1</w:t>
            </w:r>
          </w:p>
        </w:tc>
        <w:tc>
          <w:tcPr>
            <w:tcW w:type="dxa" w:w="6300"/>
            <w:tcMar>
              <w:top w:type="dxa" w:w="80"/>
              <w:left w:type="dxa" w:w="100"/>
              <w:bottom w:type="dxa" w:w="80"/>
              <w:right w:type="dxa" w:w="100"/>
            </w:tcMar>
            <w:vAlign w:val="center"/>
          </w:tcPr>
          <w:p>
            <w:pPr>
              <w:jc w:val="left"/>
            </w:pPr>
            <w:r>
              <w:rPr>
                <w:b w:val="false"/>
                <w:bCs w:val="false"/>
                <w:color w:val="000000"/>
                <w:sz w:val="20"/>
                <w:szCs w:val="20"/>
              </w:rPr>
              <w:t xml:space="preserve">Documentation de 48 attaques Active Directory (MITRE ATT&amp;CK, Event IDs, règles, remédiation)</w:t>
            </w:r>
          </w:p>
        </w:tc>
        <w:tc>
          <w:tcPr>
            <w:tcW w:type="dxa" w:w="1800"/>
            <w:shd w:fill="E2F0D9" w:val="clear"/>
            <w:tcMar>
              <w:top w:type="dxa" w:w="80"/>
              <w:left w:type="dxa" w:w="100"/>
              <w:bottom w:type="dxa" w:w="80"/>
              <w:right w:type="dxa" w:w="100"/>
            </w:tcMar>
            <w:vAlign w:val="center"/>
          </w:tcPr>
          <w:p>
            <w:pPr>
              <w:jc w:val="center"/>
            </w:pPr>
            <w:r>
              <w:rPr>
                <w:b/>
                <w:bCs/>
                <w:color w:val="2E7D32"/>
                <w:sz w:val="20"/>
                <w:szCs w:val="20"/>
              </w:rPr>
              <w:t xml:space="preserve">Terminé</w:t>
            </w:r>
          </w:p>
        </w:tc>
      </w:tr>
      <w:tr>
        <w:tc>
          <w:tcPr>
            <w:tcW w:type="dxa" w:w="900"/>
            <w:tcMar>
              <w:top w:type="dxa" w:w="80"/>
              <w:left w:type="dxa" w:w="100"/>
              <w:bottom w:type="dxa" w:w="80"/>
              <w:right w:type="dxa" w:w="100"/>
            </w:tcMar>
            <w:vAlign w:val="center"/>
          </w:tcPr>
          <w:p>
            <w:pPr>
              <w:jc w:val="center"/>
            </w:pPr>
            <w:r>
              <w:rPr>
                <w:b/>
                <w:bCs/>
                <w:color w:val="000000"/>
                <w:sz w:val="20"/>
                <w:szCs w:val="20"/>
              </w:rPr>
              <w:t xml:space="preserve">2</w:t>
            </w:r>
          </w:p>
        </w:tc>
        <w:tc>
          <w:tcPr>
            <w:tcW w:type="dxa" w:w="6300"/>
            <w:tcMar>
              <w:top w:type="dxa" w:w="80"/>
              <w:left w:type="dxa" w:w="100"/>
              <w:bottom w:type="dxa" w:w="80"/>
              <w:right w:type="dxa" w:w="100"/>
            </w:tcMar>
            <w:vAlign w:val="center"/>
          </w:tcPr>
          <w:p>
            <w:pPr>
              <w:jc w:val="left"/>
            </w:pPr>
            <w:r>
              <w:rPr>
                <w:b w:val="false"/>
                <w:bCs w:val="false"/>
                <w:color w:val="000000"/>
                <w:sz w:val="20"/>
                <w:szCs w:val="20"/>
              </w:rPr>
              <w:t xml:space="preserve">Déploiement du lab GOAD-Light (AD vulnérable) sur VM Azure</w:t>
            </w:r>
          </w:p>
        </w:tc>
        <w:tc>
          <w:tcPr>
            <w:tcW w:type="dxa" w:w="1800"/>
            <w:shd w:fill="E2F0D9" w:val="clear"/>
            <w:tcMar>
              <w:top w:type="dxa" w:w="80"/>
              <w:left w:type="dxa" w:w="100"/>
              <w:bottom w:type="dxa" w:w="80"/>
              <w:right w:type="dxa" w:w="100"/>
            </w:tcMar>
            <w:vAlign w:val="center"/>
          </w:tcPr>
          <w:p>
            <w:pPr>
              <w:jc w:val="center"/>
            </w:pPr>
            <w:r>
              <w:rPr>
                <w:b/>
                <w:bCs/>
                <w:color w:val="2E7D32"/>
                <w:sz w:val="20"/>
                <w:szCs w:val="20"/>
              </w:rPr>
              <w:t xml:space="preserve">Terminé</w:t>
            </w:r>
          </w:p>
        </w:tc>
      </w:tr>
      <w:tr>
        <w:tc>
          <w:tcPr>
            <w:tcW w:type="dxa" w:w="900"/>
            <w:tcMar>
              <w:top w:type="dxa" w:w="80"/>
              <w:left w:type="dxa" w:w="100"/>
              <w:bottom w:type="dxa" w:w="80"/>
              <w:right w:type="dxa" w:w="100"/>
            </w:tcMar>
            <w:vAlign w:val="center"/>
          </w:tcPr>
          <w:p>
            <w:pPr>
              <w:jc w:val="center"/>
            </w:pPr>
            <w:r>
              <w:rPr>
                <w:b/>
                <w:bCs/>
                <w:color w:val="000000"/>
                <w:sz w:val="20"/>
                <w:szCs w:val="20"/>
              </w:rPr>
              <w:t xml:space="preserve">3</w:t>
            </w:r>
          </w:p>
        </w:tc>
        <w:tc>
          <w:tcPr>
            <w:tcW w:type="dxa" w:w="6300"/>
            <w:tcMar>
              <w:top w:type="dxa" w:w="80"/>
              <w:left w:type="dxa" w:w="100"/>
              <w:bottom w:type="dxa" w:w="80"/>
              <w:right w:type="dxa" w:w="100"/>
            </w:tcMar>
            <w:vAlign w:val="center"/>
          </w:tcPr>
          <w:p>
            <w:pPr>
              <w:jc w:val="left"/>
            </w:pPr>
            <w:r>
              <w:rPr>
                <w:b w:val="false"/>
                <w:bCs w:val="false"/>
                <w:color w:val="000000"/>
                <w:sz w:val="20"/>
                <w:szCs w:val="20"/>
              </w:rPr>
              <w:t xml:space="preserve">Installation du SIEM Wazuh (indexer, manager, dashboard) et agents sur les 3 machines</w:t>
            </w:r>
          </w:p>
        </w:tc>
        <w:tc>
          <w:tcPr>
            <w:tcW w:type="dxa" w:w="1800"/>
            <w:shd w:fill="E2F0D9" w:val="clear"/>
            <w:tcMar>
              <w:top w:type="dxa" w:w="80"/>
              <w:left w:type="dxa" w:w="100"/>
              <w:bottom w:type="dxa" w:w="80"/>
              <w:right w:type="dxa" w:w="100"/>
            </w:tcMar>
            <w:vAlign w:val="center"/>
          </w:tcPr>
          <w:p>
            <w:pPr>
              <w:jc w:val="center"/>
            </w:pPr>
            <w:r>
              <w:rPr>
                <w:b/>
                <w:bCs/>
                <w:color w:val="2E7D32"/>
                <w:sz w:val="20"/>
                <w:szCs w:val="20"/>
              </w:rPr>
              <w:t xml:space="preserve">Terminé</w:t>
            </w:r>
          </w:p>
        </w:tc>
      </w:tr>
      <w:tr>
        <w:tc>
          <w:tcPr>
            <w:tcW w:type="dxa" w:w="900"/>
            <w:tcMar>
              <w:top w:type="dxa" w:w="80"/>
              <w:left w:type="dxa" w:w="100"/>
              <w:bottom w:type="dxa" w:w="80"/>
              <w:right w:type="dxa" w:w="100"/>
            </w:tcMar>
            <w:vAlign w:val="center"/>
          </w:tcPr>
          <w:p>
            <w:pPr>
              <w:jc w:val="center"/>
            </w:pPr>
            <w:r>
              <w:rPr>
                <w:b/>
                <w:bCs/>
                <w:color w:val="000000"/>
                <w:sz w:val="20"/>
                <w:szCs w:val="20"/>
              </w:rPr>
              <w:t xml:space="preserve">4</w:t>
            </w:r>
          </w:p>
        </w:tc>
        <w:tc>
          <w:tcPr>
            <w:tcW w:type="dxa" w:w="6300"/>
            <w:tcMar>
              <w:top w:type="dxa" w:w="80"/>
              <w:left w:type="dxa" w:w="100"/>
              <w:bottom w:type="dxa" w:w="80"/>
              <w:right w:type="dxa" w:w="100"/>
            </w:tcMar>
            <w:vAlign w:val="center"/>
          </w:tcPr>
          <w:p>
            <w:pPr>
              <w:jc w:val="left"/>
            </w:pPr>
            <w:r>
              <w:rPr>
                <w:b w:val="false"/>
                <w:bCs w:val="false"/>
                <w:color w:val="000000"/>
                <w:sz w:val="20"/>
                <w:szCs w:val="20"/>
              </w:rPr>
              <w:t xml:space="preserve">Simulation des 12 attaques Active Directory et vérification de la détection Wazuh</w:t>
            </w:r>
          </w:p>
        </w:tc>
        <w:tc>
          <w:tcPr>
            <w:tcW w:type="dxa" w:w="1800"/>
            <w:shd w:fill="E2F0D9" w:val="clear"/>
            <w:tcMar>
              <w:top w:type="dxa" w:w="80"/>
              <w:left w:type="dxa" w:w="100"/>
              <w:bottom w:type="dxa" w:w="80"/>
              <w:right w:type="dxa" w:w="100"/>
            </w:tcMar>
            <w:vAlign w:val="center"/>
          </w:tcPr>
          <w:p>
            <w:pPr>
              <w:jc w:val="center"/>
            </w:pPr>
            <w:r>
              <w:rPr>
                <w:b/>
                <w:bCs/>
                <w:color w:val="2E7D32"/>
                <w:sz w:val="20"/>
                <w:szCs w:val="20"/>
              </w:rPr>
              <w:t xml:space="preserve">Terminé (12/12)</w:t>
            </w:r>
          </w:p>
        </w:tc>
      </w:tr>
      <w:tr>
        <w:tc>
          <w:tcPr>
            <w:tcW w:type="dxa" w:w="900"/>
            <w:tcMar>
              <w:top w:type="dxa" w:w="80"/>
              <w:left w:type="dxa" w:w="100"/>
              <w:bottom w:type="dxa" w:w="80"/>
              <w:right w:type="dxa" w:w="100"/>
            </w:tcMar>
            <w:vAlign w:val="center"/>
          </w:tcPr>
          <w:p>
            <w:pPr>
              <w:jc w:val="center"/>
            </w:pPr>
            <w:r>
              <w:rPr>
                <w:b/>
                <w:bCs/>
                <w:color w:val="000000"/>
                <w:sz w:val="20"/>
                <w:szCs w:val="20"/>
              </w:rPr>
              <w:t xml:space="preserve">5</w:t>
            </w:r>
          </w:p>
        </w:tc>
        <w:tc>
          <w:tcPr>
            <w:tcW w:type="dxa" w:w="6300"/>
            <w:tcMar>
              <w:top w:type="dxa" w:w="80"/>
              <w:left w:type="dxa" w:w="100"/>
              <w:bottom w:type="dxa" w:w="80"/>
              <w:right w:type="dxa" w:w="100"/>
            </w:tcMar>
            <w:vAlign w:val="center"/>
          </w:tcPr>
          <w:p>
            <w:pPr>
              <w:jc w:val="left"/>
            </w:pPr>
            <w:r>
              <w:rPr>
                <w:b w:val="false"/>
                <w:bCs w:val="false"/>
                <w:color w:val="000000"/>
                <w:sz w:val="20"/>
                <w:szCs w:val="20"/>
              </w:rPr>
              <w:t xml:space="preserve">Activation des audits Windows et écriture de règles de détection sur-mesure</w:t>
            </w:r>
          </w:p>
        </w:tc>
        <w:tc>
          <w:tcPr>
            <w:tcW w:type="dxa" w:w="1800"/>
            <w:shd w:fill="FCE4D6" w:val="clear"/>
            <w:tcMar>
              <w:top w:type="dxa" w:w="80"/>
              <w:left w:type="dxa" w:w="100"/>
              <w:bottom w:type="dxa" w:w="80"/>
              <w:right w:type="dxa" w:w="100"/>
            </w:tcMar>
            <w:vAlign w:val="center"/>
          </w:tcPr>
          <w:p>
            <w:pPr>
              <w:jc w:val="center"/>
            </w:pPr>
            <w:r>
              <w:rPr>
                <w:b/>
                <w:bCs/>
                <w:color w:val="C55A11"/>
                <w:sz w:val="20"/>
                <w:szCs w:val="20"/>
              </w:rPr>
              <w:t xml:space="preserve">En cours</w:t>
            </w:r>
          </w:p>
        </w:tc>
      </w:tr>
      <w:tr>
        <w:tc>
          <w:tcPr>
            <w:tcW w:type="dxa" w:w="900"/>
            <w:tcMar>
              <w:top w:type="dxa" w:w="80"/>
              <w:left w:type="dxa" w:w="100"/>
              <w:bottom w:type="dxa" w:w="80"/>
              <w:right w:type="dxa" w:w="100"/>
            </w:tcMar>
            <w:vAlign w:val="center"/>
          </w:tcPr>
          <w:p>
            <w:pPr>
              <w:jc w:val="center"/>
            </w:pPr>
            <w:r>
              <w:rPr>
                <w:b/>
                <w:bCs/>
                <w:color w:val="000000"/>
                <w:sz w:val="20"/>
                <w:szCs w:val="20"/>
              </w:rPr>
              <w:t xml:space="preserve">6</w:t>
            </w:r>
          </w:p>
        </w:tc>
        <w:tc>
          <w:tcPr>
            <w:tcW w:type="dxa" w:w="6300"/>
            <w:tcMar>
              <w:top w:type="dxa" w:w="80"/>
              <w:left w:type="dxa" w:w="100"/>
              <w:bottom w:type="dxa" w:w="80"/>
              <w:right w:type="dxa" w:w="100"/>
            </w:tcMar>
            <w:vAlign w:val="center"/>
          </w:tcPr>
          <w:p>
            <w:pPr>
              <w:jc w:val="left"/>
            </w:pPr>
            <w:r>
              <w:rPr>
                <w:b w:val="false"/>
                <w:bCs w:val="false"/>
                <w:color w:val="000000"/>
                <w:sz w:val="20"/>
                <w:szCs w:val="20"/>
              </w:rPr>
              <w:t xml:space="preserve">Agent IA de détection (machine learning / détection d'anomalies)</w:t>
            </w:r>
          </w:p>
        </w:tc>
        <w:tc>
          <w:tcPr>
            <w:tcW w:type="dxa" w:w="1800"/>
            <w:shd w:fill="F2F2F2" w:val="clear"/>
            <w:tcMar>
              <w:top w:type="dxa" w:w="80"/>
              <w:left w:type="dxa" w:w="100"/>
              <w:bottom w:type="dxa" w:w="80"/>
              <w:right w:type="dxa" w:w="100"/>
            </w:tcMar>
            <w:vAlign w:val="center"/>
          </w:tcPr>
          <w:p>
            <w:pPr>
              <w:jc w:val="center"/>
            </w:pPr>
            <w:r>
              <w:rPr>
                <w:b/>
                <w:bCs/>
                <w:color w:val="595959"/>
                <w:sz w:val="20"/>
                <w:szCs w:val="20"/>
              </w:rPr>
              <w:t xml:space="preserve">À venir</w:t>
            </w:r>
          </w:p>
        </w:tc>
      </w:tr>
    </w:tbl>
    <w:p>
      <w:pPr>
        <w:pStyle w:val="Heading1"/>
        <w:spacing w:after="140" w:before="320"/>
      </w:pPr>
      <w:r>
        <w:rPr>
          <w:b/>
          <w:bCs/>
          <w:color w:val="1F4E79"/>
          <w:sz w:val="26"/>
          <w:szCs w:val="26"/>
        </w:rPr>
        <w:t xml:space="preserve">3. Phase 4 — Simulation des attaques (terminée)</w:t>
      </w:r>
    </w:p>
    <w:p>
      <w:pPr>
        <w:spacing w:after="140" w:line="276"/>
      </w:pPr>
      <w:r>
        <w:rPr>
          <w:sz w:val="21"/>
          <w:szCs w:val="21"/>
        </w:rPr>
        <w:t xml:space="preserve">Les 12 attaques prévues ont été rejouées avec succès dans le laboratoire GOAD-Light (deux domaines liés par une relation de confiance : sevenkingdoms.local et north.sevenkingdoms.local), documentées individuellement, et leur niveau de détection par le SIEM Wazuh par défaut a été vérifié systématiquement.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600"/>
        <w:gridCol w:w="4300"/>
      </w:tblGrid>
      <w:tr>
        <w:trPr>
          <w:tblHeader/>
        </w:trPr>
        <w:tc>
          <w:tcPr>
            <w:tcW w:type="dxa" w:w="500"/>
            <w:shd w:fill="1F4E79" w:val="clear"/>
            <w:tcMar>
              <w:top w:type="dxa" w:w="80"/>
              <w:left w:type="dxa" w:w="100"/>
              <w:bottom w:type="dxa" w:w="80"/>
              <w:right w:type="dxa" w:w="100"/>
            </w:tcMar>
            <w:vAlign w:val="center"/>
          </w:tcPr>
          <w:p>
            <w:pPr>
              <w:jc w:val="center"/>
            </w:pPr>
            <w:r>
              <w:rPr>
                <w:b/>
                <w:bCs/>
                <w:color w:val="FFFFFF"/>
                <w:sz w:val="20"/>
                <w:szCs w:val="20"/>
              </w:rPr>
              <w:t xml:space="preserve">#</w:t>
            </w:r>
          </w:p>
        </w:tc>
        <w:tc>
          <w:tcPr>
            <w:tcW w:type="dxa" w:w="2600"/>
            <w:shd w:fill="1F4E79" w:val="clear"/>
            <w:tcMar>
              <w:top w:type="dxa" w:w="80"/>
              <w:left w:type="dxa" w:w="100"/>
              <w:bottom w:type="dxa" w:w="80"/>
              <w:right w:type="dxa" w:w="100"/>
            </w:tcMar>
            <w:vAlign w:val="center"/>
          </w:tcPr>
          <w:p>
            <w:pPr>
              <w:jc w:val="left"/>
            </w:pPr>
            <w:r>
              <w:rPr>
                <w:b/>
                <w:bCs/>
                <w:color w:val="FFFFFF"/>
                <w:sz w:val="20"/>
                <w:szCs w:val="20"/>
              </w:rPr>
              <w:t xml:space="preserve">Attaque</w:t>
            </w:r>
          </w:p>
        </w:tc>
        <w:tc>
          <w:tcPr>
            <w:tcW w:type="dxa" w:w="1600"/>
            <w:shd w:fill="1F4E79" w:val="clear"/>
            <w:tcMar>
              <w:top w:type="dxa" w:w="80"/>
              <w:left w:type="dxa" w:w="100"/>
              <w:bottom w:type="dxa" w:w="80"/>
              <w:right w:type="dxa" w:w="100"/>
            </w:tcMar>
            <w:vAlign w:val="center"/>
          </w:tcPr>
          <w:p>
            <w:pPr>
              <w:jc w:val="left"/>
            </w:pPr>
            <w:r>
              <w:rPr>
                <w:b/>
                <w:bCs/>
                <w:color w:val="FFFFFF"/>
                <w:sz w:val="20"/>
                <w:szCs w:val="20"/>
              </w:rPr>
              <w:t xml:space="preserve">MITRE ATT&amp;CK</w:t>
            </w:r>
          </w:p>
        </w:tc>
        <w:tc>
          <w:tcPr>
            <w:tcW w:type="dxa" w:w="4300"/>
            <w:shd w:fill="1F4E79" w:val="clear"/>
            <w:tcMar>
              <w:top w:type="dxa" w:w="80"/>
              <w:left w:type="dxa" w:w="100"/>
              <w:bottom w:type="dxa" w:w="80"/>
              <w:right w:type="dxa" w:w="100"/>
            </w:tcMar>
            <w:vAlign w:val="center"/>
          </w:tcPr>
          <w:p>
            <w:pPr>
              <w:jc w:val="left"/>
            </w:pPr>
            <w:r>
              <w:rPr>
                <w:b/>
                <w:bCs/>
                <w:color w:val="FFFFFF"/>
                <w:sz w:val="20"/>
                <w:szCs w:val="20"/>
              </w:rPr>
              <w:t xml:space="preserve">Statut de détection</w:t>
            </w:r>
          </w:p>
        </w:tc>
      </w:tr>
      <w:tr>
        <w:tc>
          <w:tcPr>
            <w:tcW w:type="dxa" w:w="500"/>
            <w:tcMar>
              <w:top w:type="dxa" w:w="80"/>
              <w:left w:type="dxa" w:w="100"/>
              <w:bottom w:type="dxa" w:w="80"/>
              <w:right w:type="dxa" w:w="100"/>
            </w:tcMar>
            <w:vAlign w:val="center"/>
          </w:tcPr>
          <w:p>
            <w:pPr>
              <w:jc w:val="center"/>
            </w:pPr>
            <w:r>
              <w:rPr>
                <w:b/>
                <w:bCs/>
                <w:color w:val="000000"/>
                <w:sz w:val="20"/>
                <w:szCs w:val="20"/>
              </w:rPr>
              <w:t xml:space="preserve">01</w:t>
            </w:r>
          </w:p>
        </w:tc>
        <w:tc>
          <w:tcPr>
            <w:tcW w:type="dxa" w:w="2600"/>
            <w:tcMar>
              <w:top w:type="dxa" w:w="80"/>
              <w:left w:type="dxa" w:w="100"/>
              <w:bottom w:type="dxa" w:w="80"/>
              <w:right w:type="dxa" w:w="100"/>
            </w:tcMar>
            <w:vAlign w:val="center"/>
          </w:tcPr>
          <w:p>
            <w:pPr>
              <w:jc w:val="left"/>
            </w:pPr>
            <w:r>
              <w:rPr>
                <w:b w:val="false"/>
                <w:bCs w:val="false"/>
                <w:color w:val="000000"/>
                <w:sz w:val="20"/>
                <w:szCs w:val="20"/>
              </w:rPr>
              <w:t xml:space="preserve">Kerberoasting</w:t>
            </w:r>
          </w:p>
        </w:tc>
        <w:tc>
          <w:tcPr>
            <w:tcW w:type="dxa" w:w="1600"/>
            <w:tcMar>
              <w:top w:type="dxa" w:w="80"/>
              <w:left w:type="dxa" w:w="100"/>
              <w:bottom w:type="dxa" w:w="80"/>
              <w:right w:type="dxa" w:w="100"/>
            </w:tcMar>
            <w:vAlign w:val="center"/>
          </w:tcPr>
          <w:p>
            <w:pPr>
              <w:jc w:val="left"/>
            </w:pPr>
            <w:r>
              <w:rPr>
                <w:b w:val="false"/>
                <w:bCs w:val="false"/>
                <w:color w:val="595959"/>
                <w:sz w:val="20"/>
                <w:szCs w:val="20"/>
              </w:rPr>
              <w:t xml:space="preserve">T1558.003</w:t>
            </w:r>
          </w:p>
        </w:tc>
        <w:tc>
          <w:tcPr>
            <w:tcW w:type="dxa" w:w="4300"/>
            <w:shd w:fill="FCE4D6" w:val="clear"/>
            <w:tcMar>
              <w:top w:type="dxa" w:w="80"/>
              <w:left w:type="dxa" w:w="100"/>
              <w:bottom w:type="dxa" w:w="80"/>
              <w:right w:type="dxa" w:w="100"/>
            </w:tcMar>
            <w:vAlign w:val="center"/>
          </w:tcPr>
          <w:p>
            <w:pPr>
              <w:jc w:val="left"/>
            </w:pPr>
            <w:r>
              <w:rPr>
                <w:b w:val="false"/>
                <w:bCs w:val="false"/>
                <w:color w:val="C55A11"/>
                <w:sz w:val="19"/>
                <w:szCs w:val="19"/>
              </w:rPr>
              <w:t xml:space="preserve">Partiel — connexion visible, motif RC4 non alerté</w:t>
            </w:r>
          </w:p>
        </w:tc>
      </w:tr>
      <w:tr>
        <w:tc>
          <w:tcPr>
            <w:tcW w:type="dxa" w:w="500"/>
            <w:tcMar>
              <w:top w:type="dxa" w:w="80"/>
              <w:left w:type="dxa" w:w="100"/>
              <w:bottom w:type="dxa" w:w="80"/>
              <w:right w:type="dxa" w:w="100"/>
            </w:tcMar>
            <w:vAlign w:val="center"/>
          </w:tcPr>
          <w:p>
            <w:pPr>
              <w:jc w:val="center"/>
            </w:pPr>
            <w:r>
              <w:rPr>
                <w:b/>
                <w:bCs/>
                <w:color w:val="000000"/>
                <w:sz w:val="20"/>
                <w:szCs w:val="20"/>
              </w:rPr>
              <w:t xml:space="preserve">02</w:t>
            </w:r>
          </w:p>
        </w:tc>
        <w:tc>
          <w:tcPr>
            <w:tcW w:type="dxa" w:w="2600"/>
            <w:tcMar>
              <w:top w:type="dxa" w:w="80"/>
              <w:left w:type="dxa" w:w="100"/>
              <w:bottom w:type="dxa" w:w="80"/>
              <w:right w:type="dxa" w:w="100"/>
            </w:tcMar>
            <w:vAlign w:val="center"/>
          </w:tcPr>
          <w:p>
            <w:pPr>
              <w:jc w:val="left"/>
            </w:pPr>
            <w:r>
              <w:rPr>
                <w:b w:val="false"/>
                <w:bCs w:val="false"/>
                <w:color w:val="000000"/>
                <w:sz w:val="20"/>
                <w:szCs w:val="20"/>
              </w:rPr>
              <w:t xml:space="preserve">AS-REP Roasting</w:t>
            </w:r>
          </w:p>
        </w:tc>
        <w:tc>
          <w:tcPr>
            <w:tcW w:type="dxa" w:w="1600"/>
            <w:tcMar>
              <w:top w:type="dxa" w:w="80"/>
              <w:left w:type="dxa" w:w="100"/>
              <w:bottom w:type="dxa" w:w="80"/>
              <w:right w:type="dxa" w:w="100"/>
            </w:tcMar>
            <w:vAlign w:val="center"/>
          </w:tcPr>
          <w:p>
            <w:pPr>
              <w:jc w:val="left"/>
            </w:pPr>
            <w:r>
              <w:rPr>
                <w:b w:val="false"/>
                <w:bCs w:val="false"/>
                <w:color w:val="595959"/>
                <w:sz w:val="20"/>
                <w:szCs w:val="20"/>
              </w:rPr>
              <w:t xml:space="preserve">T1558.004</w:t>
            </w:r>
          </w:p>
        </w:tc>
        <w:tc>
          <w:tcPr>
            <w:tcW w:type="dxa" w:w="4300"/>
            <w:shd w:fill="FBE4E4" w:val="clear"/>
            <w:tcMar>
              <w:top w:type="dxa" w:w="80"/>
              <w:left w:type="dxa" w:w="100"/>
              <w:bottom w:type="dxa" w:w="80"/>
              <w:right w:type="dxa" w:w="100"/>
            </w:tcMar>
            <w:vAlign w:val="center"/>
          </w:tcPr>
          <w:p>
            <w:pPr>
              <w:jc w:val="left"/>
            </w:pPr>
            <w:r>
              <w:rPr>
                <w:b w:val="false"/>
                <w:bCs w:val="false"/>
                <w:color w:val="C00000"/>
                <w:sz w:val="19"/>
                <w:szCs w:val="19"/>
              </w:rPr>
              <w:t xml:space="preserve">Angle mort — audit non configuré</w:t>
            </w:r>
          </w:p>
        </w:tc>
      </w:tr>
      <w:tr>
        <w:tc>
          <w:tcPr>
            <w:tcW w:type="dxa" w:w="500"/>
            <w:tcMar>
              <w:top w:type="dxa" w:w="80"/>
              <w:left w:type="dxa" w:w="100"/>
              <w:bottom w:type="dxa" w:w="80"/>
              <w:right w:type="dxa" w:w="100"/>
            </w:tcMar>
            <w:vAlign w:val="center"/>
          </w:tcPr>
          <w:p>
            <w:pPr>
              <w:jc w:val="center"/>
            </w:pPr>
            <w:r>
              <w:rPr>
                <w:b/>
                <w:bCs/>
                <w:color w:val="000000"/>
                <w:sz w:val="20"/>
                <w:szCs w:val="20"/>
              </w:rPr>
              <w:t xml:space="preserve">03</w:t>
            </w:r>
          </w:p>
        </w:tc>
        <w:tc>
          <w:tcPr>
            <w:tcW w:type="dxa" w:w="2600"/>
            <w:tcMar>
              <w:top w:type="dxa" w:w="80"/>
              <w:left w:type="dxa" w:w="100"/>
              <w:bottom w:type="dxa" w:w="80"/>
              <w:right w:type="dxa" w:w="100"/>
            </w:tcMar>
            <w:vAlign w:val="center"/>
          </w:tcPr>
          <w:p>
            <w:pPr>
              <w:jc w:val="left"/>
            </w:pPr>
            <w:r>
              <w:rPr>
                <w:b w:val="false"/>
                <w:bCs w:val="false"/>
                <w:color w:val="000000"/>
                <w:sz w:val="20"/>
                <w:szCs w:val="20"/>
              </w:rPr>
              <w:t xml:space="preserve">Énumération LDAP</w:t>
            </w:r>
          </w:p>
        </w:tc>
        <w:tc>
          <w:tcPr>
            <w:tcW w:type="dxa" w:w="1600"/>
            <w:tcMar>
              <w:top w:type="dxa" w:w="80"/>
              <w:left w:type="dxa" w:w="100"/>
              <w:bottom w:type="dxa" w:w="80"/>
              <w:right w:type="dxa" w:w="100"/>
            </w:tcMar>
            <w:vAlign w:val="center"/>
          </w:tcPr>
          <w:p>
            <w:pPr>
              <w:jc w:val="left"/>
            </w:pPr>
            <w:r>
              <w:rPr>
                <w:b w:val="false"/>
                <w:bCs w:val="false"/>
                <w:color w:val="595959"/>
                <w:sz w:val="20"/>
                <w:szCs w:val="20"/>
              </w:rPr>
              <w:t xml:space="preserve">T1087.002</w:t>
            </w:r>
          </w:p>
        </w:tc>
        <w:tc>
          <w:tcPr>
            <w:tcW w:type="dxa" w:w="4300"/>
            <w:shd w:fill="FBE4E4" w:val="clear"/>
            <w:tcMar>
              <w:top w:type="dxa" w:w="80"/>
              <w:left w:type="dxa" w:w="100"/>
              <w:bottom w:type="dxa" w:w="80"/>
              <w:right w:type="dxa" w:w="100"/>
            </w:tcMar>
            <w:vAlign w:val="center"/>
          </w:tcPr>
          <w:p>
            <w:pPr>
              <w:jc w:val="left"/>
            </w:pPr>
            <w:r>
              <w:rPr>
                <w:b w:val="false"/>
                <w:bCs w:val="false"/>
                <w:color w:val="C00000"/>
                <w:sz w:val="19"/>
                <w:szCs w:val="19"/>
              </w:rPr>
              <w:t xml:space="preserve">Angle mort — reconnaissance furtive</w:t>
            </w:r>
          </w:p>
        </w:tc>
      </w:tr>
      <w:tr>
        <w:tc>
          <w:tcPr>
            <w:tcW w:type="dxa" w:w="500"/>
            <w:tcMar>
              <w:top w:type="dxa" w:w="80"/>
              <w:left w:type="dxa" w:w="100"/>
              <w:bottom w:type="dxa" w:w="80"/>
              <w:right w:type="dxa" w:w="100"/>
            </w:tcMar>
            <w:vAlign w:val="center"/>
          </w:tcPr>
          <w:p>
            <w:pPr>
              <w:jc w:val="center"/>
            </w:pPr>
            <w:r>
              <w:rPr>
                <w:b/>
                <w:bCs/>
                <w:color w:val="000000"/>
                <w:sz w:val="20"/>
                <w:szCs w:val="20"/>
              </w:rPr>
              <w:t xml:space="preserve">04</w:t>
            </w:r>
          </w:p>
        </w:tc>
        <w:tc>
          <w:tcPr>
            <w:tcW w:type="dxa" w:w="2600"/>
            <w:tcMar>
              <w:top w:type="dxa" w:w="80"/>
              <w:left w:type="dxa" w:w="100"/>
              <w:bottom w:type="dxa" w:w="80"/>
              <w:right w:type="dxa" w:w="100"/>
            </w:tcMar>
            <w:vAlign w:val="center"/>
          </w:tcPr>
          <w:p>
            <w:pPr>
              <w:jc w:val="left"/>
            </w:pPr>
            <w:r>
              <w:rPr>
                <w:b w:val="false"/>
                <w:bCs w:val="false"/>
                <w:color w:val="000000"/>
                <w:sz w:val="20"/>
                <w:szCs w:val="20"/>
              </w:rPr>
              <w:t xml:space="preserve">LLMNR/NBT-NS Poisoning</w:t>
            </w:r>
          </w:p>
        </w:tc>
        <w:tc>
          <w:tcPr>
            <w:tcW w:type="dxa" w:w="1600"/>
            <w:tcMar>
              <w:top w:type="dxa" w:w="80"/>
              <w:left w:type="dxa" w:w="100"/>
              <w:bottom w:type="dxa" w:w="80"/>
              <w:right w:type="dxa" w:w="100"/>
            </w:tcMar>
            <w:vAlign w:val="center"/>
          </w:tcPr>
          <w:p>
            <w:pPr>
              <w:jc w:val="left"/>
            </w:pPr>
            <w:r>
              <w:rPr>
                <w:b w:val="false"/>
                <w:bCs w:val="false"/>
                <w:color w:val="595959"/>
                <w:sz w:val="20"/>
                <w:szCs w:val="20"/>
              </w:rPr>
              <w:t xml:space="preserve">T1557.001</w:t>
            </w:r>
          </w:p>
        </w:tc>
        <w:tc>
          <w:tcPr>
            <w:tcW w:type="dxa" w:w="4300"/>
            <w:shd w:fill="FBE4E4" w:val="clear"/>
            <w:tcMar>
              <w:top w:type="dxa" w:w="80"/>
              <w:left w:type="dxa" w:w="100"/>
              <w:bottom w:type="dxa" w:w="80"/>
              <w:right w:type="dxa" w:w="100"/>
            </w:tcMar>
            <w:vAlign w:val="center"/>
          </w:tcPr>
          <w:p>
            <w:pPr>
              <w:jc w:val="left"/>
            </w:pPr>
            <w:r>
              <w:rPr>
                <w:b w:val="false"/>
                <w:bCs w:val="false"/>
                <w:color w:val="C00000"/>
                <w:sz w:val="19"/>
                <w:szCs w:val="19"/>
              </w:rPr>
              <w:t xml:space="preserve">Angle mort — empoisonnement réseau</w:t>
            </w:r>
          </w:p>
        </w:tc>
      </w:tr>
      <w:tr>
        <w:tc>
          <w:tcPr>
            <w:tcW w:type="dxa" w:w="500"/>
            <w:tcMar>
              <w:top w:type="dxa" w:w="80"/>
              <w:left w:type="dxa" w:w="100"/>
              <w:bottom w:type="dxa" w:w="80"/>
              <w:right w:type="dxa" w:w="100"/>
            </w:tcMar>
            <w:vAlign w:val="center"/>
          </w:tcPr>
          <w:p>
            <w:pPr>
              <w:jc w:val="center"/>
            </w:pPr>
            <w:r>
              <w:rPr>
                <w:b/>
                <w:bCs/>
                <w:color w:val="000000"/>
                <w:sz w:val="20"/>
                <w:szCs w:val="20"/>
              </w:rPr>
              <w:t xml:space="preserve">05</w:t>
            </w:r>
          </w:p>
        </w:tc>
        <w:tc>
          <w:tcPr>
            <w:tcW w:type="dxa" w:w="2600"/>
            <w:tcMar>
              <w:top w:type="dxa" w:w="80"/>
              <w:left w:type="dxa" w:w="100"/>
              <w:bottom w:type="dxa" w:w="80"/>
              <w:right w:type="dxa" w:w="100"/>
            </w:tcMar>
            <w:vAlign w:val="center"/>
          </w:tcPr>
          <w:p>
            <w:pPr>
              <w:jc w:val="left"/>
            </w:pPr>
            <w:r>
              <w:rPr>
                <w:b w:val="false"/>
                <w:bCs w:val="false"/>
                <w:color w:val="000000"/>
                <w:sz w:val="20"/>
                <w:szCs w:val="20"/>
              </w:rPr>
              <w:t xml:space="preserve">Password Spraying</w:t>
            </w:r>
          </w:p>
        </w:tc>
        <w:tc>
          <w:tcPr>
            <w:tcW w:type="dxa" w:w="1600"/>
            <w:tcMar>
              <w:top w:type="dxa" w:w="80"/>
              <w:left w:type="dxa" w:w="100"/>
              <w:bottom w:type="dxa" w:w="80"/>
              <w:right w:type="dxa" w:w="100"/>
            </w:tcMar>
            <w:vAlign w:val="center"/>
          </w:tcPr>
          <w:p>
            <w:pPr>
              <w:jc w:val="left"/>
            </w:pPr>
            <w:r>
              <w:rPr>
                <w:b w:val="false"/>
                <w:bCs w:val="false"/>
                <w:color w:val="595959"/>
                <w:sz w:val="20"/>
                <w:szCs w:val="20"/>
              </w:rPr>
              <w:t xml:space="preserve">T1110.003</w:t>
            </w:r>
          </w:p>
        </w:tc>
        <w:tc>
          <w:tcPr>
            <w:tcW w:type="dxa" w:w="4300"/>
            <w:shd w:fill="E2F0D9" w:val="clear"/>
            <w:tcMar>
              <w:top w:type="dxa" w:w="80"/>
              <w:left w:type="dxa" w:w="100"/>
              <w:bottom w:type="dxa" w:w="80"/>
              <w:right w:type="dxa" w:w="100"/>
            </w:tcMar>
            <w:vAlign w:val="center"/>
          </w:tcPr>
          <w:p>
            <w:pPr>
              <w:jc w:val="left"/>
            </w:pPr>
            <w:r>
              <w:rPr>
                <w:b w:val="false"/>
                <w:bCs w:val="false"/>
                <w:color w:val="2E7D32"/>
                <w:sz w:val="19"/>
                <w:szCs w:val="19"/>
              </w:rPr>
              <w:t xml:space="preserve">Détecté — rafale d'échecs de connexion</w:t>
            </w:r>
          </w:p>
        </w:tc>
      </w:tr>
      <w:tr>
        <w:tc>
          <w:tcPr>
            <w:tcW w:type="dxa" w:w="500"/>
            <w:tcMar>
              <w:top w:type="dxa" w:w="80"/>
              <w:left w:type="dxa" w:w="100"/>
              <w:bottom w:type="dxa" w:w="80"/>
              <w:right w:type="dxa" w:w="100"/>
            </w:tcMar>
            <w:vAlign w:val="center"/>
          </w:tcPr>
          <w:p>
            <w:pPr>
              <w:jc w:val="center"/>
            </w:pPr>
            <w:r>
              <w:rPr>
                <w:b/>
                <w:bCs/>
                <w:color w:val="000000"/>
                <w:sz w:val="20"/>
                <w:szCs w:val="20"/>
              </w:rPr>
              <w:t xml:space="preserve">06</w:t>
            </w:r>
          </w:p>
        </w:tc>
        <w:tc>
          <w:tcPr>
            <w:tcW w:type="dxa" w:w="2600"/>
            <w:tcMar>
              <w:top w:type="dxa" w:w="80"/>
              <w:left w:type="dxa" w:w="100"/>
              <w:bottom w:type="dxa" w:w="80"/>
              <w:right w:type="dxa" w:w="100"/>
            </w:tcMar>
            <w:vAlign w:val="center"/>
          </w:tcPr>
          <w:p>
            <w:pPr>
              <w:jc w:val="left"/>
            </w:pPr>
            <w:r>
              <w:rPr>
                <w:b w:val="false"/>
                <w:bCs w:val="false"/>
                <w:color w:val="000000"/>
                <w:sz w:val="20"/>
                <w:szCs w:val="20"/>
              </w:rPr>
              <w:t xml:space="preserve">DCSync</w:t>
            </w:r>
          </w:p>
        </w:tc>
        <w:tc>
          <w:tcPr>
            <w:tcW w:type="dxa" w:w="1600"/>
            <w:tcMar>
              <w:top w:type="dxa" w:w="80"/>
              <w:left w:type="dxa" w:w="100"/>
              <w:bottom w:type="dxa" w:w="80"/>
              <w:right w:type="dxa" w:w="100"/>
            </w:tcMar>
            <w:vAlign w:val="center"/>
          </w:tcPr>
          <w:p>
            <w:pPr>
              <w:jc w:val="left"/>
            </w:pPr>
            <w:r>
              <w:rPr>
                <w:b w:val="false"/>
                <w:bCs w:val="false"/>
                <w:color w:val="595959"/>
                <w:sz w:val="20"/>
                <w:szCs w:val="20"/>
              </w:rPr>
              <w:t xml:space="preserve">T1003.006</w:t>
            </w:r>
          </w:p>
        </w:tc>
        <w:tc>
          <w:tcPr>
            <w:tcW w:type="dxa" w:w="4300"/>
            <w:shd w:fill="FBE4E4" w:val="clear"/>
            <w:tcMar>
              <w:top w:type="dxa" w:w="80"/>
              <w:left w:type="dxa" w:w="100"/>
              <w:bottom w:type="dxa" w:w="80"/>
              <w:right w:type="dxa" w:w="100"/>
            </w:tcMar>
            <w:vAlign w:val="center"/>
          </w:tcPr>
          <w:p>
            <w:pPr>
              <w:jc w:val="left"/>
            </w:pPr>
            <w:r>
              <w:rPr>
                <w:b w:val="false"/>
                <w:bCs w:val="false"/>
                <w:color w:val="C00000"/>
                <w:sz w:val="19"/>
                <w:szCs w:val="19"/>
              </w:rPr>
              <w:t xml:space="preserve">Angle mort critique — corrigé en Phase 5 (voir ci-dessous)</w:t>
            </w:r>
          </w:p>
        </w:tc>
      </w:tr>
      <w:tr>
        <w:tc>
          <w:tcPr>
            <w:tcW w:type="dxa" w:w="500"/>
            <w:tcMar>
              <w:top w:type="dxa" w:w="80"/>
              <w:left w:type="dxa" w:w="100"/>
              <w:bottom w:type="dxa" w:w="80"/>
              <w:right w:type="dxa" w:w="100"/>
            </w:tcMar>
            <w:vAlign w:val="center"/>
          </w:tcPr>
          <w:p>
            <w:pPr>
              <w:jc w:val="center"/>
            </w:pPr>
            <w:r>
              <w:rPr>
                <w:b/>
                <w:bCs/>
                <w:color w:val="000000"/>
                <w:sz w:val="20"/>
                <w:szCs w:val="20"/>
              </w:rPr>
              <w:t xml:space="preserve">07</w:t>
            </w:r>
          </w:p>
        </w:tc>
        <w:tc>
          <w:tcPr>
            <w:tcW w:type="dxa" w:w="2600"/>
            <w:tcMar>
              <w:top w:type="dxa" w:w="80"/>
              <w:left w:type="dxa" w:w="100"/>
              <w:bottom w:type="dxa" w:w="80"/>
              <w:right w:type="dxa" w:w="100"/>
            </w:tcMar>
            <w:vAlign w:val="center"/>
          </w:tcPr>
          <w:p>
            <w:pPr>
              <w:jc w:val="left"/>
            </w:pPr>
            <w:r>
              <w:rPr>
                <w:b w:val="false"/>
                <w:bCs w:val="false"/>
                <w:color w:val="000000"/>
                <w:sz w:val="20"/>
                <w:szCs w:val="20"/>
              </w:rPr>
              <w:t xml:space="preserve">Abus d'ACL</w:t>
            </w:r>
          </w:p>
        </w:tc>
        <w:tc>
          <w:tcPr>
            <w:tcW w:type="dxa" w:w="1600"/>
            <w:tcMar>
              <w:top w:type="dxa" w:w="80"/>
              <w:left w:type="dxa" w:w="100"/>
              <w:bottom w:type="dxa" w:w="80"/>
              <w:right w:type="dxa" w:w="100"/>
            </w:tcMar>
            <w:vAlign w:val="center"/>
          </w:tcPr>
          <w:p>
            <w:pPr>
              <w:jc w:val="left"/>
            </w:pPr>
            <w:r>
              <w:rPr>
                <w:b w:val="false"/>
                <w:bCs w:val="false"/>
                <w:color w:val="595959"/>
                <w:sz w:val="20"/>
                <w:szCs w:val="20"/>
              </w:rPr>
              <w:t xml:space="preserve">T1222.001</w:t>
            </w:r>
          </w:p>
        </w:tc>
        <w:tc>
          <w:tcPr>
            <w:tcW w:type="dxa" w:w="4300"/>
            <w:shd w:fill="E2F0D9" w:val="clear"/>
            <w:tcMar>
              <w:top w:type="dxa" w:w="80"/>
              <w:left w:type="dxa" w:w="100"/>
              <w:bottom w:type="dxa" w:w="80"/>
              <w:right w:type="dxa" w:w="100"/>
            </w:tcMar>
            <w:vAlign w:val="center"/>
          </w:tcPr>
          <w:p>
            <w:pPr>
              <w:jc w:val="left"/>
            </w:pPr>
            <w:r>
              <w:rPr>
                <w:b w:val="false"/>
                <w:bCs w:val="false"/>
                <w:color w:val="2E7D32"/>
                <w:sz w:val="19"/>
                <w:szCs w:val="19"/>
              </w:rPr>
              <w:t xml:space="preserve">Détecté — ajout à Domain Admins</w:t>
            </w:r>
          </w:p>
        </w:tc>
      </w:tr>
      <w:tr>
        <w:tc>
          <w:tcPr>
            <w:tcW w:type="dxa" w:w="500"/>
            <w:tcMar>
              <w:top w:type="dxa" w:w="80"/>
              <w:left w:type="dxa" w:w="100"/>
              <w:bottom w:type="dxa" w:w="80"/>
              <w:right w:type="dxa" w:w="100"/>
            </w:tcMar>
            <w:vAlign w:val="center"/>
          </w:tcPr>
          <w:p>
            <w:pPr>
              <w:jc w:val="center"/>
            </w:pPr>
            <w:r>
              <w:rPr>
                <w:b/>
                <w:bCs/>
                <w:color w:val="000000"/>
                <w:sz w:val="20"/>
                <w:szCs w:val="20"/>
              </w:rPr>
              <w:t xml:space="preserve">08</w:t>
            </w:r>
          </w:p>
        </w:tc>
        <w:tc>
          <w:tcPr>
            <w:tcW w:type="dxa" w:w="2600"/>
            <w:tcMar>
              <w:top w:type="dxa" w:w="80"/>
              <w:left w:type="dxa" w:w="100"/>
              <w:bottom w:type="dxa" w:w="80"/>
              <w:right w:type="dxa" w:w="100"/>
            </w:tcMar>
            <w:vAlign w:val="center"/>
          </w:tcPr>
          <w:p>
            <w:pPr>
              <w:jc w:val="left"/>
            </w:pPr>
            <w:r>
              <w:rPr>
                <w:b w:val="false"/>
                <w:bCs w:val="false"/>
                <w:color w:val="000000"/>
                <w:sz w:val="20"/>
                <w:szCs w:val="20"/>
              </w:rPr>
              <w:t xml:space="preserve">ADCS ESC1</w:t>
            </w:r>
          </w:p>
        </w:tc>
        <w:tc>
          <w:tcPr>
            <w:tcW w:type="dxa" w:w="1600"/>
            <w:tcMar>
              <w:top w:type="dxa" w:w="80"/>
              <w:left w:type="dxa" w:w="100"/>
              <w:bottom w:type="dxa" w:w="80"/>
              <w:right w:type="dxa" w:w="100"/>
            </w:tcMar>
            <w:vAlign w:val="center"/>
          </w:tcPr>
          <w:p>
            <w:pPr>
              <w:jc w:val="left"/>
            </w:pPr>
            <w:r>
              <w:rPr>
                <w:b w:val="false"/>
                <w:bCs w:val="false"/>
                <w:color w:val="595959"/>
                <w:sz w:val="20"/>
                <w:szCs w:val="20"/>
              </w:rPr>
              <w:t xml:space="preserve">T1649</w:t>
            </w:r>
          </w:p>
        </w:tc>
        <w:tc>
          <w:tcPr>
            <w:tcW w:type="dxa" w:w="4300"/>
            <w:shd w:fill="FBE4E4" w:val="clear"/>
            <w:tcMar>
              <w:top w:type="dxa" w:w="80"/>
              <w:left w:type="dxa" w:w="100"/>
              <w:bottom w:type="dxa" w:w="80"/>
              <w:right w:type="dxa" w:w="100"/>
            </w:tcMar>
            <w:vAlign w:val="center"/>
          </w:tcPr>
          <w:p>
            <w:pPr>
              <w:jc w:val="left"/>
            </w:pPr>
            <w:r>
              <w:rPr>
                <w:b w:val="false"/>
                <w:bCs w:val="false"/>
                <w:color w:val="C00000"/>
                <w:sz w:val="19"/>
                <w:szCs w:val="19"/>
              </w:rPr>
              <w:t xml:space="preserve">Angle mort critique — compromission de la forêt invisible</w:t>
            </w:r>
          </w:p>
        </w:tc>
      </w:tr>
      <w:tr>
        <w:tc>
          <w:tcPr>
            <w:tcW w:type="dxa" w:w="500"/>
            <w:tcMar>
              <w:top w:type="dxa" w:w="80"/>
              <w:left w:type="dxa" w:w="100"/>
              <w:bottom w:type="dxa" w:w="80"/>
              <w:right w:type="dxa" w:w="100"/>
            </w:tcMar>
            <w:vAlign w:val="center"/>
          </w:tcPr>
          <w:p>
            <w:pPr>
              <w:jc w:val="center"/>
            </w:pPr>
            <w:r>
              <w:rPr>
                <w:b/>
                <w:bCs/>
                <w:color w:val="000000"/>
                <w:sz w:val="20"/>
                <w:szCs w:val="20"/>
              </w:rPr>
              <w:t xml:space="preserve">09</w:t>
            </w:r>
          </w:p>
        </w:tc>
        <w:tc>
          <w:tcPr>
            <w:tcW w:type="dxa" w:w="2600"/>
            <w:tcMar>
              <w:top w:type="dxa" w:w="80"/>
              <w:left w:type="dxa" w:w="100"/>
              <w:bottom w:type="dxa" w:w="80"/>
              <w:right w:type="dxa" w:w="100"/>
            </w:tcMar>
            <w:vAlign w:val="center"/>
          </w:tcPr>
          <w:p>
            <w:pPr>
              <w:jc w:val="left"/>
            </w:pPr>
            <w:r>
              <w:rPr>
                <w:b w:val="false"/>
                <w:bCs w:val="false"/>
                <w:color w:val="000000"/>
                <w:sz w:val="20"/>
                <w:szCs w:val="20"/>
              </w:rPr>
              <w:t xml:space="preserve">Pass-the-Hash</w:t>
            </w:r>
          </w:p>
        </w:tc>
        <w:tc>
          <w:tcPr>
            <w:tcW w:type="dxa" w:w="1600"/>
            <w:tcMar>
              <w:top w:type="dxa" w:w="80"/>
              <w:left w:type="dxa" w:w="100"/>
              <w:bottom w:type="dxa" w:w="80"/>
              <w:right w:type="dxa" w:w="100"/>
            </w:tcMar>
            <w:vAlign w:val="center"/>
          </w:tcPr>
          <w:p>
            <w:pPr>
              <w:jc w:val="left"/>
            </w:pPr>
            <w:r>
              <w:rPr>
                <w:b w:val="false"/>
                <w:bCs w:val="false"/>
                <w:color w:val="595959"/>
                <w:sz w:val="20"/>
                <w:szCs w:val="20"/>
              </w:rPr>
              <w:t xml:space="preserve">T1550.002</w:t>
            </w:r>
          </w:p>
        </w:tc>
        <w:tc>
          <w:tcPr>
            <w:tcW w:type="dxa" w:w="4300"/>
            <w:shd w:fill="FCE4D6" w:val="clear"/>
            <w:tcMar>
              <w:top w:type="dxa" w:w="80"/>
              <w:left w:type="dxa" w:w="100"/>
              <w:bottom w:type="dxa" w:w="80"/>
              <w:right w:type="dxa" w:w="100"/>
            </w:tcMar>
            <w:vAlign w:val="center"/>
          </w:tcPr>
          <w:p>
            <w:pPr>
              <w:jc w:val="left"/>
            </w:pPr>
            <w:r>
              <w:rPr>
                <w:b w:val="false"/>
                <w:bCs w:val="false"/>
                <w:color w:val="C55A11"/>
                <w:sz w:val="19"/>
                <w:szCs w:val="19"/>
              </w:rPr>
              <w:t xml:space="preserve">Partiel — connexions visibles, non alertées</w:t>
            </w:r>
          </w:p>
        </w:tc>
      </w:tr>
      <w:tr>
        <w:tc>
          <w:tcPr>
            <w:tcW w:type="dxa" w:w="500"/>
            <w:tcMar>
              <w:top w:type="dxa" w:w="80"/>
              <w:left w:type="dxa" w:w="100"/>
              <w:bottom w:type="dxa" w:w="80"/>
              <w:right w:type="dxa" w:w="100"/>
            </w:tcMar>
            <w:vAlign w:val="center"/>
          </w:tcPr>
          <w:p>
            <w:pPr>
              <w:jc w:val="center"/>
            </w:pPr>
            <w:r>
              <w:rPr>
                <w:b/>
                <w:bCs/>
                <w:color w:val="000000"/>
                <w:sz w:val="20"/>
                <w:szCs w:val="20"/>
              </w:rPr>
              <w:t xml:space="preserve">10</w:t>
            </w:r>
          </w:p>
        </w:tc>
        <w:tc>
          <w:tcPr>
            <w:tcW w:type="dxa" w:w="2600"/>
            <w:tcMar>
              <w:top w:type="dxa" w:w="80"/>
              <w:left w:type="dxa" w:w="100"/>
              <w:bottom w:type="dxa" w:w="80"/>
              <w:right w:type="dxa" w:w="100"/>
            </w:tcMar>
            <w:vAlign w:val="center"/>
          </w:tcPr>
          <w:p>
            <w:pPr>
              <w:jc w:val="left"/>
            </w:pPr>
            <w:r>
              <w:rPr>
                <w:b w:val="false"/>
                <w:bCs w:val="false"/>
                <w:color w:val="000000"/>
                <w:sz w:val="20"/>
                <w:szCs w:val="20"/>
              </w:rPr>
              <w:t xml:space="preserve">MSSQL (xp_cmdshell RCE)</w:t>
            </w:r>
          </w:p>
        </w:tc>
        <w:tc>
          <w:tcPr>
            <w:tcW w:type="dxa" w:w="1600"/>
            <w:tcMar>
              <w:top w:type="dxa" w:w="80"/>
              <w:left w:type="dxa" w:w="100"/>
              <w:bottom w:type="dxa" w:w="80"/>
              <w:right w:type="dxa" w:w="100"/>
            </w:tcMar>
            <w:vAlign w:val="center"/>
          </w:tcPr>
          <w:p>
            <w:pPr>
              <w:jc w:val="left"/>
            </w:pPr>
            <w:r>
              <w:rPr>
                <w:b w:val="false"/>
                <w:bCs w:val="false"/>
                <w:color w:val="595959"/>
                <w:sz w:val="20"/>
                <w:szCs w:val="20"/>
              </w:rPr>
              <w:t xml:space="preserve">T1210</w:t>
            </w:r>
          </w:p>
        </w:tc>
        <w:tc>
          <w:tcPr>
            <w:tcW w:type="dxa" w:w="4300"/>
            <w:shd w:fill="FBE4E4" w:val="clear"/>
            <w:tcMar>
              <w:top w:type="dxa" w:w="80"/>
              <w:left w:type="dxa" w:w="100"/>
              <w:bottom w:type="dxa" w:w="80"/>
              <w:right w:type="dxa" w:w="100"/>
            </w:tcMar>
            <w:vAlign w:val="center"/>
          </w:tcPr>
          <w:p>
            <w:pPr>
              <w:jc w:val="left"/>
            </w:pPr>
            <w:r>
              <w:rPr>
                <w:b w:val="false"/>
                <w:bCs w:val="false"/>
                <w:color w:val="C00000"/>
                <w:sz w:val="19"/>
                <w:szCs w:val="19"/>
              </w:rPr>
              <w:t xml:space="preserve">Angle mort — audit de processus désactivé</w:t>
            </w:r>
          </w:p>
        </w:tc>
      </w:tr>
      <w:tr>
        <w:tc>
          <w:tcPr>
            <w:tcW w:type="dxa" w:w="500"/>
            <w:tcMar>
              <w:top w:type="dxa" w:w="80"/>
              <w:left w:type="dxa" w:w="100"/>
              <w:bottom w:type="dxa" w:w="80"/>
              <w:right w:type="dxa" w:w="100"/>
            </w:tcMar>
            <w:vAlign w:val="center"/>
          </w:tcPr>
          <w:p>
            <w:pPr>
              <w:jc w:val="center"/>
            </w:pPr>
            <w:r>
              <w:rPr>
                <w:b/>
                <w:bCs/>
                <w:color w:val="000000"/>
                <w:sz w:val="20"/>
                <w:szCs w:val="20"/>
              </w:rPr>
              <w:t xml:space="preserve">11</w:t>
            </w:r>
          </w:p>
        </w:tc>
        <w:tc>
          <w:tcPr>
            <w:tcW w:type="dxa" w:w="2600"/>
            <w:tcMar>
              <w:top w:type="dxa" w:w="80"/>
              <w:left w:type="dxa" w:w="100"/>
              <w:bottom w:type="dxa" w:w="80"/>
              <w:right w:type="dxa" w:w="100"/>
            </w:tcMar>
            <w:vAlign w:val="center"/>
          </w:tcPr>
          <w:p>
            <w:pPr>
              <w:jc w:val="left"/>
            </w:pPr>
            <w:r>
              <w:rPr>
                <w:b w:val="false"/>
                <w:bCs w:val="false"/>
                <w:color w:val="000000"/>
                <w:sz w:val="20"/>
                <w:szCs w:val="20"/>
              </w:rPr>
              <w:t xml:space="preserve">Golden Ticket</w:t>
            </w:r>
          </w:p>
        </w:tc>
        <w:tc>
          <w:tcPr>
            <w:tcW w:type="dxa" w:w="1600"/>
            <w:tcMar>
              <w:top w:type="dxa" w:w="80"/>
              <w:left w:type="dxa" w:w="100"/>
              <w:bottom w:type="dxa" w:w="80"/>
              <w:right w:type="dxa" w:w="100"/>
            </w:tcMar>
            <w:vAlign w:val="center"/>
          </w:tcPr>
          <w:p>
            <w:pPr>
              <w:jc w:val="left"/>
            </w:pPr>
            <w:r>
              <w:rPr>
                <w:b w:val="false"/>
                <w:bCs w:val="false"/>
                <w:color w:val="595959"/>
                <w:sz w:val="20"/>
                <w:szCs w:val="20"/>
              </w:rPr>
              <w:t xml:space="preserve">T1558.001</w:t>
            </w:r>
          </w:p>
        </w:tc>
        <w:tc>
          <w:tcPr>
            <w:tcW w:type="dxa" w:w="4300"/>
            <w:shd w:fill="FCE4D6" w:val="clear"/>
            <w:tcMar>
              <w:top w:type="dxa" w:w="80"/>
              <w:left w:type="dxa" w:w="100"/>
              <w:bottom w:type="dxa" w:w="80"/>
              <w:right w:type="dxa" w:w="100"/>
            </w:tcMar>
            <w:vAlign w:val="center"/>
          </w:tcPr>
          <w:p>
            <w:pPr>
              <w:jc w:val="left"/>
            </w:pPr>
            <w:r>
              <w:rPr>
                <w:b w:val="false"/>
                <w:bCs w:val="false"/>
                <w:color w:val="C55A11"/>
                <w:sz w:val="19"/>
                <w:szCs w:val="19"/>
              </w:rPr>
              <w:t xml:space="preserve">Anomalie détectable — compte forgé, incohérence SID</w:t>
            </w:r>
          </w:p>
        </w:tc>
      </w:tr>
      <w:tr>
        <w:tc>
          <w:tcPr>
            <w:tcW w:type="dxa" w:w="500"/>
            <w:tcMar>
              <w:top w:type="dxa" w:w="80"/>
              <w:left w:type="dxa" w:w="100"/>
              <w:bottom w:type="dxa" w:w="80"/>
              <w:right w:type="dxa" w:w="100"/>
            </w:tcMar>
            <w:vAlign w:val="center"/>
          </w:tcPr>
          <w:p>
            <w:pPr>
              <w:jc w:val="center"/>
            </w:pPr>
            <w:r>
              <w:rPr>
                <w:b/>
                <w:bCs/>
                <w:color w:val="000000"/>
                <w:sz w:val="20"/>
                <w:szCs w:val="20"/>
              </w:rPr>
              <w:t xml:space="preserve">12</w:t>
            </w:r>
          </w:p>
        </w:tc>
        <w:tc>
          <w:tcPr>
            <w:tcW w:type="dxa" w:w="2600"/>
            <w:tcMar>
              <w:top w:type="dxa" w:w="80"/>
              <w:left w:type="dxa" w:w="100"/>
              <w:bottom w:type="dxa" w:w="80"/>
              <w:right w:type="dxa" w:w="100"/>
            </w:tcMar>
            <w:vAlign w:val="center"/>
          </w:tcPr>
          <w:p>
            <w:pPr>
              <w:jc w:val="left"/>
            </w:pPr>
            <w:r>
              <w:rPr>
                <w:b w:val="false"/>
                <w:bCs w:val="false"/>
                <w:color w:val="000000"/>
                <w:sz w:val="20"/>
                <w:szCs w:val="20"/>
              </w:rPr>
              <w:t xml:space="preserve">Abus de trust inter-domaine</w:t>
            </w:r>
          </w:p>
        </w:tc>
        <w:tc>
          <w:tcPr>
            <w:tcW w:type="dxa" w:w="1600"/>
            <w:tcMar>
              <w:top w:type="dxa" w:w="80"/>
              <w:left w:type="dxa" w:w="100"/>
              <w:bottom w:type="dxa" w:w="80"/>
              <w:right w:type="dxa" w:w="100"/>
            </w:tcMar>
            <w:vAlign w:val="center"/>
          </w:tcPr>
          <w:p>
            <w:pPr>
              <w:jc w:val="left"/>
            </w:pPr>
            <w:r>
              <w:rPr>
                <w:b w:val="false"/>
                <w:bCs w:val="false"/>
                <w:color w:val="595959"/>
                <w:sz w:val="20"/>
                <w:szCs w:val="20"/>
              </w:rPr>
              <w:t xml:space="preserve">T1482</w:t>
            </w:r>
          </w:p>
        </w:tc>
        <w:tc>
          <w:tcPr>
            <w:tcW w:type="dxa" w:w="4300"/>
            <w:shd w:fill="FCE4D6" w:val="clear"/>
            <w:tcMar>
              <w:top w:type="dxa" w:w="80"/>
              <w:left w:type="dxa" w:w="100"/>
              <w:bottom w:type="dxa" w:w="80"/>
              <w:right w:type="dxa" w:w="100"/>
            </w:tcMar>
            <w:vAlign w:val="center"/>
          </w:tcPr>
          <w:p>
            <w:pPr>
              <w:jc w:val="left"/>
            </w:pPr>
            <w:r>
              <w:rPr>
                <w:b w:val="false"/>
                <w:bCs w:val="false"/>
                <w:color w:val="C55A11"/>
                <w:sz w:val="19"/>
                <w:szCs w:val="19"/>
              </w:rPr>
              <w:t xml:space="preserve">Anomalie détectable — compte forgé, incohérence SID</w:t>
            </w:r>
          </w:p>
        </w:tc>
      </w:tr>
    </w:tbl>
    <w:p>
      <w:pPr>
        <w:pStyle w:val="Heading2"/>
        <w:spacing w:after="100" w:before="220"/>
      </w:pPr>
      <w:r>
        <w:rPr>
          <w:b/>
          <w:bCs/>
          <w:color w:val="1F4E79"/>
          <w:sz w:val="22"/>
          <w:szCs w:val="22"/>
        </w:rPr>
        <w:t xml:space="preserve">Synthèse du spectre de détection</w:t>
      </w:r>
    </w:p>
    <w:p>
      <w:pPr>
        <w:spacing w:after="140" w:line="276"/>
      </w:pPr>
      <w:r>
        <w:rPr>
          <w:sz w:val="21"/>
          <w:szCs w:val="21"/>
        </w:rPr>
        <w:t xml:space="preserve">Cette répartition constitue le résultat central de la Phase 4 : elle démontre qu'un SIEM déployé avec sa configuration par défaut ne détecte qu'une minorité des techniques d'attaque Active Directory modernes, ce qui justifie directement les travaux de la Phase 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F2F2F2" w:val="clear"/>
            <w:tcMar>
              <w:top w:type="dxa" w:w="80"/>
              <w:left w:type="dxa" w:w="100"/>
              <w:bottom w:type="dxa" w:w="80"/>
              <w:right w:type="dxa" w:w="100"/>
            </w:tcMar>
            <w:vAlign w:val="center"/>
          </w:tcPr>
          <w:p>
            <w:pPr>
              <w:jc w:val="left"/>
            </w:pPr>
            <w:r>
              <w:rPr>
                <w:b/>
                <w:bCs/>
                <w:color w:val="000000"/>
                <w:sz w:val="20"/>
                <w:szCs w:val="20"/>
              </w:rPr>
              <w:t xml:space="preserve">Détecté (2 attaques)</w:t>
            </w:r>
          </w:p>
        </w:tc>
        <w:tc>
          <w:tcPr>
            <w:tcW w:type="dxa" w:w="6000"/>
            <w:tcMar>
              <w:top w:type="dxa" w:w="80"/>
              <w:left w:type="dxa" w:w="100"/>
              <w:bottom w:type="dxa" w:w="80"/>
              <w:right w:type="dxa" w:w="100"/>
            </w:tcMar>
            <w:vAlign w:val="center"/>
          </w:tcPr>
          <w:p>
            <w:pPr>
              <w:jc w:val="left"/>
            </w:pPr>
            <w:r>
              <w:rPr>
                <w:b w:val="false"/>
                <w:bCs w:val="false"/>
                <w:color w:val="000000"/>
                <w:sz w:val="20"/>
                <w:szCs w:val="20"/>
              </w:rPr>
              <w:t xml:space="preserve">Password Spraying, Abus d'ACL</w:t>
            </w:r>
          </w:p>
        </w:tc>
      </w:tr>
      <w:tr>
        <w:tc>
          <w:tcPr>
            <w:tcW w:type="dxa" w:w="3000"/>
            <w:shd w:fill="F2F2F2" w:val="clear"/>
            <w:tcMar>
              <w:top w:type="dxa" w:w="80"/>
              <w:left w:type="dxa" w:w="100"/>
              <w:bottom w:type="dxa" w:w="80"/>
              <w:right w:type="dxa" w:w="100"/>
            </w:tcMar>
            <w:vAlign w:val="center"/>
          </w:tcPr>
          <w:p>
            <w:pPr>
              <w:jc w:val="left"/>
            </w:pPr>
            <w:r>
              <w:rPr>
                <w:b/>
                <w:bCs/>
                <w:color w:val="000000"/>
                <w:sz w:val="20"/>
                <w:szCs w:val="20"/>
              </w:rPr>
              <w:t xml:space="preserve">Partiel / Anomalie détectable (4 attaques)</w:t>
            </w:r>
          </w:p>
        </w:tc>
        <w:tc>
          <w:tcPr>
            <w:tcW w:type="dxa" w:w="6000"/>
            <w:tcMar>
              <w:top w:type="dxa" w:w="80"/>
              <w:left w:type="dxa" w:w="100"/>
              <w:bottom w:type="dxa" w:w="80"/>
              <w:right w:type="dxa" w:w="100"/>
            </w:tcMar>
            <w:vAlign w:val="center"/>
          </w:tcPr>
          <w:p>
            <w:pPr>
              <w:jc w:val="left"/>
            </w:pPr>
            <w:r>
              <w:rPr>
                <w:b w:val="false"/>
                <w:bCs w:val="false"/>
                <w:color w:val="000000"/>
                <w:sz w:val="20"/>
                <w:szCs w:val="20"/>
              </w:rPr>
              <w:t xml:space="preserve">Kerberoasting, Pass-the-Hash, Golden Ticket, Abus de trust inter-domaine</w:t>
            </w:r>
          </w:p>
        </w:tc>
      </w:tr>
      <w:tr>
        <w:tc>
          <w:tcPr>
            <w:tcW w:type="dxa" w:w="3000"/>
            <w:shd w:fill="F2F2F2" w:val="clear"/>
            <w:tcMar>
              <w:top w:type="dxa" w:w="80"/>
              <w:left w:type="dxa" w:w="100"/>
              <w:bottom w:type="dxa" w:w="80"/>
              <w:right w:type="dxa" w:w="100"/>
            </w:tcMar>
            <w:vAlign w:val="center"/>
          </w:tcPr>
          <w:p>
            <w:pPr>
              <w:jc w:val="left"/>
            </w:pPr>
            <w:r>
              <w:rPr>
                <w:b/>
                <w:bCs/>
                <w:color w:val="000000"/>
                <w:sz w:val="20"/>
                <w:szCs w:val="20"/>
              </w:rPr>
              <w:t xml:space="preserve">Angle mort (6 attaques)</w:t>
            </w:r>
          </w:p>
        </w:tc>
        <w:tc>
          <w:tcPr>
            <w:tcW w:type="dxa" w:w="6000"/>
            <w:tcMar>
              <w:top w:type="dxa" w:w="80"/>
              <w:left w:type="dxa" w:w="100"/>
              <w:bottom w:type="dxa" w:w="80"/>
              <w:right w:type="dxa" w:w="100"/>
            </w:tcMar>
            <w:vAlign w:val="center"/>
          </w:tcPr>
          <w:p>
            <w:pPr>
              <w:jc w:val="left"/>
            </w:pPr>
            <w:r>
              <w:rPr>
                <w:b w:val="false"/>
                <w:bCs w:val="false"/>
                <w:color w:val="000000"/>
                <w:sz w:val="20"/>
                <w:szCs w:val="20"/>
              </w:rPr>
              <w:t xml:space="preserve">AS-REP Roasting, Énumération, LLMNR, DCSync, ADCS ESC1, MSSQL RCE</w:t>
            </w:r>
          </w:p>
        </w:tc>
      </w:tr>
    </w:tbl>
    <w:p>
      <w:pPr>
        <w:pStyle w:val="Heading1"/>
        <w:spacing w:after="140" w:before="320"/>
      </w:pPr>
      <w:r>
        <w:rPr>
          <w:b/>
          <w:bCs/>
          <w:color w:val="1F4E79"/>
          <w:sz w:val="26"/>
          <w:szCs w:val="26"/>
        </w:rPr>
        <w:t xml:space="preserve">4. Phase 5 — Audits et règles de détection sur-mesure (en cours)</w:t>
      </w:r>
    </w:p>
    <w:p>
      <w:pPr>
        <w:spacing w:after="140" w:line="276"/>
      </w:pPr>
      <w:r>
        <w:rPr>
          <w:sz w:val="21"/>
          <w:szCs w:val="21"/>
        </w:rPr>
        <w:t xml:space="preserve">Cette phase vise à combler les angles morts identifiés en Phase 4, en deux temps : activer les catégories d'audit Windows manquantes sur les contrôleurs de domaine, puis écrire des règles de détection Wazuh capables de transformer les événements ainsi générés en alertes exploitables.</w:t>
      </w:r>
    </w:p>
    <w:p>
      <w:pPr>
        <w:pStyle w:val="Heading2"/>
        <w:spacing w:after="100" w:before="220"/>
      </w:pPr>
      <w:r>
        <w:rPr>
          <w:b/>
          <w:bCs/>
          <w:color w:val="1F4E79"/>
          <w:sz w:val="22"/>
          <w:szCs w:val="22"/>
        </w:rPr>
        <w:t xml:space="preserve">4.1 Activation des audits Windows</w:t>
      </w:r>
    </w:p>
    <w:p>
      <w:pPr>
        <w:spacing w:after="140" w:line="276"/>
      </w:pPr>
      <w:r>
        <w:rPr>
          <w:sz w:val="21"/>
          <w:szCs w:val="21"/>
        </w:rPr>
        <w:t xml:space="preserve">Les cinq catégories d'audit ciblées ont été activées avec succès sur les deux contrôleurs de domaine de la forêt (kingslanding pour sevenkingdoms.local, winterfell pour north.sevenkingdoms.local) :</w:t>
      </w:r>
    </w:p>
    <w:p>
      <w:pPr>
        <w:pStyle w:val="ListParagraph"/>
        <w:numPr>
          <w:ilvl w:val="0"/>
          <w:numId w:val="1"/>
        </w:numPr>
        <w:spacing w:after="60"/>
      </w:pPr>
      <w:r>
        <w:rPr>
          <w:sz w:val="21"/>
          <w:szCs w:val="21"/>
        </w:rPr>
        <w:t xml:space="preserve">Directory Service Access — nécessaire à la détection du DCSync et de l'énumération</w:t>
      </w:r>
    </w:p>
    <w:p>
      <w:pPr>
        <w:pStyle w:val="ListParagraph"/>
        <w:numPr>
          <w:ilvl w:val="0"/>
          <w:numId w:val="1"/>
        </w:numPr>
        <w:spacing w:after="60"/>
      </w:pPr>
      <w:r>
        <w:rPr>
          <w:sz w:val="21"/>
          <w:szCs w:val="21"/>
        </w:rPr>
        <w:t xml:space="preserve">Kerberos Authentication Service — nécessaire à la détection de l'AS-REP Roasting</w:t>
      </w:r>
    </w:p>
    <w:p>
      <w:pPr>
        <w:pStyle w:val="ListParagraph"/>
        <w:numPr>
          <w:ilvl w:val="0"/>
          <w:numId w:val="1"/>
        </w:numPr>
        <w:spacing w:after="60"/>
      </w:pPr>
      <w:r>
        <w:rPr>
          <w:sz w:val="21"/>
          <w:szCs w:val="21"/>
        </w:rPr>
        <w:t xml:space="preserve">Kerberos Service Ticket Operations — nécessaire à la détection du Kerberoasting</w:t>
      </w:r>
    </w:p>
    <w:p>
      <w:pPr>
        <w:pStyle w:val="ListParagraph"/>
        <w:numPr>
          <w:ilvl w:val="0"/>
          <w:numId w:val="1"/>
        </w:numPr>
        <w:spacing w:after="60"/>
      </w:pPr>
      <w:r>
        <w:rPr>
          <w:sz w:val="21"/>
          <w:szCs w:val="21"/>
        </w:rPr>
        <w:t xml:space="preserve">Certification Services — nécessaire à la détection de l'abus ADCS (ESC1)</w:t>
      </w:r>
    </w:p>
    <w:p>
      <w:pPr>
        <w:pStyle w:val="ListParagraph"/>
        <w:numPr>
          <w:ilvl w:val="0"/>
          <w:numId w:val="1"/>
        </w:numPr>
        <w:spacing w:after="60"/>
      </w:pPr>
      <w:r>
        <w:rPr>
          <w:sz w:val="21"/>
          <w:szCs w:val="21"/>
        </w:rPr>
        <w:t xml:space="preserve">Process Creation — nécessaire à la détection de l'exécution de commandes via MSSQL</w:t>
      </w:r>
    </w:p>
    <w:p>
      <w:pPr>
        <w:spacing w:after="140" w:line="276"/>
      </w:pPr>
      <w:r>
        <w:rPr>
          <w:sz w:val="21"/>
          <w:szCs w:val="21"/>
        </w:rPr>
        <w:t xml:space="preserve">Une configuration supplémentaire (SACL de réplication sur l'objet racine du domaine) a également été mise en place pour permettre la journalisation effective des opérations de réplication utilisées par l'attaque DCSync.</w:t>
      </w:r>
    </w:p>
    <w:p>
      <w:pPr>
        <w:pStyle w:val="Heading2"/>
        <w:spacing w:after="100" w:before="220"/>
      </w:pPr>
      <w:r>
        <w:rPr>
          <w:b/>
          <w:bCs/>
          <w:color w:val="1F4E79"/>
          <w:sz w:val="22"/>
          <w:szCs w:val="22"/>
        </w:rPr>
        <w:t xml:space="preserve">4.2 Première règle de détection sur-mesure : DCSync</w:t>
      </w:r>
    </w:p>
    <w:p>
      <w:pPr>
        <w:spacing w:after="140" w:line="276"/>
      </w:pPr>
      <w:r>
        <w:rPr>
          <w:sz w:val="21"/>
          <w:szCs w:val="21"/>
        </w:rPr>
        <w:t xml:space="preserve">Une règle Wazuh personnalisée a été écrite, testée et validée pour détecter l'attaque DCSync — jusqu'ici l'angle mort le plus critique du projet, permettant une compromission totale du domaine sans laisser aucune trace exploitable. Après rejeu de l'attaque, la règle génère désormais une alerte de niveau 12 identifiant automatiquement le compte à l'origine de la réplication frauduleuse.</w:t>
      </w:r>
    </w:p>
    <w:p>
      <w:pPr>
        <w:spacing w:after="140" w:line="276"/>
      </w:pPr>
      <w:r>
        <w:rPr>
          <w:b/>
          <w:bCs/>
          <w:color w:val="2E7D32"/>
          <w:sz w:val="21"/>
          <w:szCs w:val="21"/>
        </w:rPr>
        <w:t xml:space="preserve">Résultat obtenu : DCSync est passé du statut d'angle mort critique à celui d'attaque détectée.</w:t>
      </w:r>
    </w:p>
    <w:p>
      <w:pPr>
        <w:pStyle w:val="Heading1"/>
        <w:spacing w:after="140" w:before="320"/>
      </w:pPr>
      <w:r>
        <w:rPr>
          <w:b/>
          <w:bCs/>
          <w:color w:val="1F4E79"/>
          <w:sz w:val="26"/>
          <w:szCs w:val="26"/>
        </w:rPr>
        <w:t xml:space="preserve">5. Prochaines étapes</w:t>
      </w:r>
    </w:p>
    <w:p>
      <w:pPr>
        <w:pStyle w:val="ListParagraph"/>
        <w:numPr>
          <w:ilvl w:val="0"/>
          <w:numId w:val="1"/>
        </w:numPr>
        <w:spacing w:after="60"/>
      </w:pPr>
      <w:r>
        <w:rPr>
          <w:sz w:val="21"/>
          <w:szCs w:val="21"/>
        </w:rPr>
        <w:t xml:space="preserve">Écriture de règles de détection sur-mesure pour les angles morts restants : Kerberoasting (signature RC4 précise), ADCS ESC1 (demande et émission de certificat), MSSQL (exécution de commandes via xp_cmdshell)</w:t>
      </w:r>
    </w:p>
    <w:p>
      <w:pPr>
        <w:pStyle w:val="ListParagraph"/>
        <w:numPr>
          <w:ilvl w:val="0"/>
          <w:numId w:val="1"/>
        </w:numPr>
        <w:spacing w:after="60"/>
      </w:pPr>
      <w:r>
        <w:rPr>
          <w:sz w:val="21"/>
          <w:szCs w:val="21"/>
        </w:rPr>
        <w:t xml:space="preserve">Re-test systématique de chaque attaque corrigée pour valider la détection de bout en bout</w:t>
      </w:r>
    </w:p>
    <w:p>
      <w:pPr>
        <w:pStyle w:val="ListParagraph"/>
        <w:numPr>
          <w:ilvl w:val="0"/>
          <w:numId w:val="1"/>
        </w:numPr>
        <w:spacing w:after="60"/>
      </w:pPr>
      <w:r>
        <w:rPr>
          <w:sz w:val="21"/>
          <w:szCs w:val="21"/>
        </w:rPr>
        <w:t xml:space="preserve">Démarrage de la Phase 6 : conception de l'agent d'intelligence artificielle pour la détection comportementale (anomalies non couvertes par des règles de signature, telles que le Golden Ticket ou l'abus de trust inter-domaine)</w:t>
      </w:r>
    </w:p>
    <w:p>
      <w:pPr>
        <w:pStyle w:val="Heading1"/>
        <w:spacing w:after="140" w:before="320"/>
      </w:pPr>
      <w:r>
        <w:rPr>
          <w:b/>
          <w:bCs/>
          <w:color w:val="1F4E79"/>
          <w:sz w:val="26"/>
          <w:szCs w:val="26"/>
        </w:rPr>
        <w:t xml:space="preserve">6. Documentation et livrables</w:t>
      </w:r>
    </w:p>
    <w:p>
      <w:pPr>
        <w:spacing w:after="140" w:line="276"/>
      </w:pPr>
      <w:r>
        <w:rPr>
          <w:sz w:val="21"/>
          <w:szCs w:val="21"/>
        </w:rPr>
        <w:t xml:space="preserve">L'ensemble de la documentation technique (fiches d'attaques avec captures d'écran, guides de déploiement, glossaire, mapping MITRE ATT&amp;CK) est disponible sur le dépôt GitHub public du projet :</w:t>
      </w:r>
    </w:p>
    <w:p>
      <w:pPr>
        <w:spacing w:after="200"/>
      </w:pPr>
      <w:r>
        <w:rPr>
          <w:color w:val="1155CC"/>
          <w:u w:val="single"/>
        </w:rPr>
        <w:t xml:space="preserve">https://github.com/simohowaanaa/ai-driven-ad-attack-detection</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2026-08-04T20:15:14.705Z</dcterms:created>
  <dcterms:modified xsi:type="dcterms:W3CDTF">2026-08-04T20:15:14.706Z</dcterms:modified>
</cp:coreProperties>
</file>

<file path=docProps/custom.xml><?xml version="1.0" encoding="utf-8"?>
<Properties xmlns="http://schemas.openxmlformats.org/officeDocument/2006/custom-properties" xmlns:vt="http://schemas.openxmlformats.org/officeDocument/2006/docPropsVTypes"/>
</file>