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2016-09-30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أحمد أحمد أحمد عبدالله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محمد نجم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modda3a modda3a modda3a modda3a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أس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 أسد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4000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