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rPr/>
      </w:pPr>
      <w:bookmarkStart w:colFirst="0" w:colLast="0" w:name="_2qzm5phcjeaf" w:id="0"/>
      <w:bookmarkEnd w:id="0"/>
      <w:r w:rsidDel="00000000" w:rsidR="00000000" w:rsidRPr="00000000">
        <w:rPr>
          <w:rtl w:val="0"/>
        </w:rPr>
        <w:t xml:space="preserve">Regarding Models</w:t>
      </w:r>
    </w:p>
    <w:p w:rsidR="00000000" w:rsidDel="00000000" w:rsidP="00000000" w:rsidRDefault="00000000" w:rsidRPr="00000000" w14:paraId="0000000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Smaller Chips seem to be the norm. Going as high as max. 240x240. Larger = more RAM and GPU-RAM</w:t>
      </w:r>
    </w:p>
    <w:p w:rsidR="00000000" w:rsidDel="00000000" w:rsidP="00000000" w:rsidRDefault="00000000" w:rsidRPr="00000000" w14:paraId="0000000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Different sizes should result in different kernel sizes?</w:t>
      </w:r>
    </w:p>
    <w:p w:rsidR="00000000" w:rsidDel="00000000" w:rsidP="00000000" w:rsidRDefault="00000000" w:rsidRPr="00000000" w14:paraId="00000004">
      <w:pPr>
        <w:pStyle w:val="Heading2"/>
        <w:rPr/>
      </w:pPr>
      <w:bookmarkStart w:colFirst="0" w:colLast="0" w:name="_t6k44eaxun7l" w:id="1"/>
      <w:bookmarkEnd w:id="1"/>
      <w:r w:rsidDel="00000000" w:rsidR="00000000" w:rsidRPr="00000000">
        <w:rPr>
          <w:rtl w:val="0"/>
        </w:rPr>
        <w:t xml:space="preserve">Regarding Loss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SSMI inconsistent? As seen here, completely empty images doesn’t have significantly different SSMI than closer image. Alignment issues? Shiftnet?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4786313" cy="2485201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6313" cy="24852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Also, ssim and mae independently seem not to work too well, maybe unifying them helps? SSIM-&gt; changes in texture while mae/mse changes in color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