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63"/>
          <w:sz w:val="36"/>
        </w:rPr>
        <w:t>Market-Sentiment Classification of Financial Tweets</w:t>
      </w:r>
    </w:p>
    <w:p>
      <w:pPr>
        <w:spacing w:after="40"/>
        <w:jc w:val="center"/>
      </w:pPr>
      <w:r>
        <w:rPr>
          <w:b/>
          <w:sz w:val="24"/>
        </w:rPr>
        <w:t>Text Mining Project Report — Group 12</w:t>
      </w:r>
    </w:p>
    <w:p>
      <w:pPr>
        <w:spacing w:after="160"/>
        <w:jc w:val="center"/>
      </w:pPr>
      <w:r>
        <w:rPr>
          <w:color w:val="555555"/>
          <w:sz w:val="20"/>
        </w:rPr>
        <w:t>Bearish (0) - Bullish (1) - Neutral (2)   |   NOVA IMS — Spring 2025/2026</w:t>
      </w:r>
    </w:p>
    <w:p>
      <w:pPr>
        <w:spacing w:after="120"/>
        <w:pBdr>
          <w:bottom w:val="single" w:sz="6" w:space="1" w:color="1F3B63"/>
        </w:pBdr>
      </w:pPr>
    </w:p>
    <w:p>
      <w:pPr>
        <w:pStyle w:val="Heading2"/>
      </w:pPr>
      <w:r>
        <w:t>Abstract</w:t>
      </w:r>
    </w:p>
    <w:p>
      <w:pPr>
        <w:spacing w:after="80" w:before="0"/>
      </w:pPr>
      <w:r>
        <w:rPr>
          <w:b w:val="0"/>
          <w:i w:val="0"/>
          <w:sz w:val="22"/>
        </w:rPr>
        <w:t>We develop and evaluate an end-to-end NLP system that classifies financial tweets by market sentiment into Bearish (0), Bullish (1) or Neutral (2). Working from a corpus of 9,543 labelled tweets, we treat every design decision as a hypothesis tested on a fixed stratified validation set and compare the three representation families taught in the course — Bag-of-Words, static word embeddings (word2vec/GloVe) and Transformer-encoder embeddings — across a suite of classical and neural classifiers, with declared extra work on domain-specialised encoders, a generative decoder used as a classifier, and an agentic orchestration layer. Because the data is strongly imbalanced (65% Neutral), we adopt macro-F1 as the headline metric and apply stratified splitting and class weighting throughout. The submitted pipeline — a concatenation of FinBERT and twitter-roberta CLS embeddings feeding an MLP — reaches validation macro-F1 0.808 (accuracy 0.859). Our main takeaway is that performance depended above all on the encoder — the component that turns each tweet into numbers. A general-purpose encoder performed poorly, whereas encoders already trained on finance or tweets (FinBERT and twitter-roberta) were far stronger out of the box, and a general encoder matched them only after being fine-tuned on our own data. Once the encoder understood financial language, the choice of classifier and the remaining refinements added little.</w:t>
      </w:r>
    </w:p>
    <w:p>
      <w:pPr>
        <w:pStyle w:val="Heading1"/>
      </w:pPr>
      <w:r>
        <w:t>1. Introduction</w:t>
      </w:r>
    </w:p>
    <w:p>
      <w:pPr>
        <w:spacing w:after="80" w:before="0"/>
      </w:pPr>
      <w:r>
        <w:rPr>
          <w:b w:val="0"/>
          <w:i w:val="0"/>
          <w:sz w:val="22"/>
        </w:rPr>
        <w:t>Market indices rise and fall on a mix of internal and external factors, and investors read the same movements in opposite ways: optimism that gains will continue is described as bullish, while the fear that good times are about to end is described as bearish. Social media — financial Twitter in particular — is a dense, real-time stream of exactly these opinions, which makes automatic sentiment classification of tweets valuable for gauging market mood. The goal of this project is to build an NLP model that, given a single tweet, predicts whether it expresses a Bearish (0), Bullish (1) or Neutral (2) attitude.</w:t>
      </w:r>
    </w:p>
    <w:p>
      <w:pPr>
        <w:spacing w:after="80" w:before="0"/>
      </w:pPr>
      <w:r>
        <w:rPr>
          <w:b w:val="0"/>
          <w:i w:val="0"/>
          <w:sz w:val="22"/>
        </w:rPr>
        <w:t>The data is split into a labelled training set of 9,543 tweets (text + label) and a blind test set of 2,388 tweets (id + text) for which we submit predictions. We divide the training set into stratified train and validation partitions, use the validation partition to select among preprocessing schemes, feature representations and classifiers, and only then refit the chosen pipeline on the full training set to label the test tweets. Throughout, the problem's strong class imbalance drives our methodological choices — the headline metric, the splitting strategy and the class weighting.</w:t>
      </w:r>
    </w:p>
    <w:p>
      <w:pPr>
        <w:spacing w:after="40" w:before="0"/>
      </w:pPr>
      <w:r>
        <w:rPr>
          <w:b w:val="0"/>
          <w:i w:val="0"/>
          <w:sz w:val="22"/>
        </w:rPr>
        <w:t>The remainder of the report follows the structure recommended in the handout. Section 2 explores the corpus and draws the conclusions that motivate later choices; Section 3 describes the preprocessing; Section 4 covers feature engineering across the three representation families; Section 5 presents the classification models; and Section 6 evaluates and compares them. Section 7 documents the declared extra work (domain encoders, a decoder-as-classifier and an agentic workflow) and Section 8 concludes with the final-model decision. Supporting tables and all remaining figures are collected in Appendices A–C.</w:t>
      </w:r>
    </w:p>
    <w:p>
      <w:pPr>
        <w:pStyle w:val="Heading1"/>
      </w:pPr>
      <w:r>
        <w:t>2. Data Exploration</w:t>
      </w:r>
    </w:p>
    <w:p>
      <w:pPr>
        <w:spacing w:after="80" w:before="0"/>
      </w:pPr>
      <w:r>
        <w:rPr>
          <w:b w:val="0"/>
          <w:i w:val="0"/>
          <w:sz w:val="22"/>
        </w:rPr>
        <w:t>The training corpus contains 9,543 tweets, each with a text field and a label in {0,1,2}; the blind test set contains 2,388 tweets with an explicit id column and no labels. A sanity pass found no nulls, no empty strings and no duplicate tweets, so deduplication removed zero rows and there is no risk of identical tweets leaking across the train/validation boundary. One discrepancy with the handout is worth noting: the test set holds 2,388 rows rather than the 299 mentioned in the brief, and the id is a real column that we pass straight through to the prediction file. Clean, de-duplicated data with a trustworthy id field means the validation scores reported throughout this report are reliable.</w:t>
      </w:r>
    </w:p>
    <w:p>
      <w:pPr>
        <w:spacing w:after="80" w:before="0"/>
      </w:pPr>
      <w:r>
        <w:rPr>
          <w:b w:val="0"/>
          <w:i/>
          <w:sz w:val="19"/>
        </w:rPr>
        <w:t>Note on the test-set size. We verified the 2,388 test rows directly: the ids form a contiguous sequence 0–2,387, all texts are unique with no nulls or empties, none overlap the training set, and every row is a genuine tweet (the shortest are bare cashtags such as "$WKHS"). There is no flag or subset that isolates 299 rows, and 299 is not a divisor of 2,388, so the "299" in the handout appears to be a legacy figure carried over from an earlier version of the brief rather than a hidden filtering step. Following the operative instruction to predict "each tweet in this set", we therefore label all 2,388 test tweets.</w:t>
      </w:r>
    </w:p>
    <w:p>
      <w:pPr>
        <w:pStyle w:val="Heading2"/>
      </w:pPr>
      <w:r>
        <w:t>2.1 Class distribution sets the evaluation strategy</w:t>
      </w:r>
    </w:p>
    <w:p>
      <w:pPr>
        <w:spacing w:after="80" w:before="0"/>
      </w:pPr>
      <w:r>
        <w:rPr>
          <w:b w:val="0"/>
          <w:i w:val="0"/>
          <w:sz w:val="22"/>
        </w:rPr>
        <w:t>The single most consequential property of the corpus is its strong class imbalance: Neutral accounts for 64.7% of tweets (6,178), Bullish 20.2% (1,923), and Bearish 15.1% (1,442). The gap between two majority-class baselines makes the danger concrete — always predicting Neutral scores 0.647 accuracy but only 0.262 macro-F1 (F1 = 0 on both Bearish and Bullish). That 0.385 gap is the fact that justifies our entire evaluation and class-weighting strategy.</w:t>
      </w:r>
    </w:p>
    <w:p>
      <w:pPr>
        <w:spacing w:before="80" w:after="20"/>
        <w:jc w:val="center"/>
      </w:pPr>
      <w:r>
        <w:drawing>
          <wp:inline xmlns:a="http://schemas.openxmlformats.org/drawingml/2006/main" xmlns:pic="http://schemas.openxmlformats.org/drawingml/2006/picture">
            <wp:extent cx="2926080" cy="1918987"/>
            <wp:docPr id="1" name="Picture 1"/>
            <wp:cNvGraphicFramePr>
              <a:graphicFrameLocks noChangeAspect="1"/>
            </wp:cNvGraphicFramePr>
            <a:graphic>
              <a:graphicData uri="http://schemas.openxmlformats.org/drawingml/2006/picture">
                <pic:pic>
                  <pic:nvPicPr>
                    <pic:cNvPr id="0" name="cell16_0.png"/>
                    <pic:cNvPicPr/>
                  </pic:nvPicPr>
                  <pic:blipFill>
                    <a:blip r:embed="rId9"/>
                    <a:stretch>
                      <a:fillRect/>
                    </a:stretch>
                  </pic:blipFill>
                  <pic:spPr>
                    <a:xfrm>
                      <a:off x="0" y="0"/>
                      <a:ext cx="2926080" cy="1918987"/>
                    </a:xfrm>
                    <a:prstGeom prst="rect"/>
                  </pic:spPr>
                </pic:pic>
              </a:graphicData>
            </a:graphic>
          </wp:inline>
        </w:drawing>
      </w:r>
    </w:p>
    <w:p>
      <w:pPr>
        <w:spacing w:after="120"/>
        <w:jc w:val="center"/>
      </w:pPr>
      <w:r>
        <w:rPr>
          <w:i/>
          <w:color w:val="555555"/>
          <w:sz w:val="17"/>
        </w:rPr>
        <w:t>Figure 1. Training-set label distribution: Neutral dominates at ~65%.</w:t>
      </w:r>
    </w:p>
    <w:p>
      <w:pPr>
        <w:spacing w:after="80" w:before="0"/>
      </w:pPr>
      <w:r>
        <w:rPr>
          <w:b w:val="0"/>
          <w:i w:val="0"/>
          <w:sz w:val="22"/>
        </w:rPr>
        <w:t>This imbalance forces four decisions used consistently downstream:</w:t>
      </w:r>
    </w:p>
    <w:p>
      <w:pPr>
        <w:pStyle w:val="ListBullet"/>
        <w:spacing w:after="40"/>
      </w:pPr>
      <w:r>
        <w:rPr>
          <w:b/>
          <w:i w:val="0"/>
          <w:sz w:val="22"/>
        </w:rPr>
        <w:t>Headline metric = macro-F1</w:t>
      </w:r>
      <w:r>
        <w:rPr>
          <w:b w:val="0"/>
          <w:i w:val="0"/>
          <w:sz w:val="22"/>
        </w:rPr>
        <w:t>, never accuracy — a model can hit 65% accuracy and be useless on the two classes investors care about.</w:t>
      </w:r>
    </w:p>
    <w:p>
      <w:pPr>
        <w:pStyle w:val="ListBullet"/>
        <w:spacing w:after="40"/>
      </w:pPr>
      <w:r>
        <w:rPr>
          <w:b/>
          <w:i w:val="0"/>
          <w:sz w:val="22"/>
        </w:rPr>
        <w:t>Stratified split and stratified 5-fold CV</w:t>
      </w:r>
      <w:r>
        <w:rPr>
          <w:b w:val="0"/>
          <w:i w:val="0"/>
          <w:sz w:val="22"/>
        </w:rPr>
        <w:t>, so the minority classes stay represented at every stage.</w:t>
      </w:r>
    </w:p>
    <w:p>
      <w:pPr>
        <w:pStyle w:val="ListBullet"/>
        <w:spacing w:after="40"/>
      </w:pPr>
      <w:r>
        <w:rPr>
          <w:b/>
          <w:i w:val="0"/>
          <w:sz w:val="22"/>
        </w:rPr>
        <w:t>Class weighting</w:t>
      </w:r>
      <w:r>
        <w:rPr>
          <w:b w:val="0"/>
          <w:i w:val="0"/>
          <w:sz w:val="22"/>
        </w:rPr>
        <w:t xml:space="preserve"> (class_weight='balanced' on linear models, a class-weight dict on the BiLSTM and the fine-tuned encoder).</w:t>
      </w:r>
    </w:p>
    <w:p>
      <w:pPr>
        <w:pStyle w:val="ListBullet"/>
        <w:spacing w:after="40"/>
      </w:pPr>
      <w:r>
        <w:rPr>
          <w:b/>
          <w:i w:val="0"/>
          <w:sz w:val="22"/>
        </w:rPr>
        <w:t>Minority-class monitoring</w:t>
      </w:r>
      <w:r>
        <w:rPr>
          <w:b w:val="0"/>
          <w:i w:val="0"/>
          <w:sz w:val="22"/>
        </w:rPr>
        <w:t xml:space="preserve"> — Bearish/Bullish recall and the full confusion matrix are inspected for every model.</w:t>
      </w:r>
    </w:p>
    <w:p>
      <w:pPr>
        <w:pStyle w:val="Heading2"/>
      </w:pPr>
      <w:r>
        <w:t>2.2 Lexical separability and per-class vocabulary</w:t>
      </w:r>
    </w:p>
    <w:p>
      <w:pPr>
        <w:spacing w:after="80" w:before="0"/>
      </w:pPr>
      <w:r>
        <w:rPr>
          <w:b w:val="0"/>
          <w:i w:val="0"/>
          <w:sz w:val="22"/>
        </w:rPr>
        <w:t>Word clouds built from a throwaway lowercase + stopword tokenisation (used for visualisation only) show that the three classes use clearly distinct vocabulary, which bodes well for word-based features. Bearish tweets cluster around misses, cut, slip, slide, fall, downgraded, loss, weak and warns, plus crisis terms such as coronavirus and oil. Bullish tweets carry earnings-beat language: beats, target, raised, higher, upgraded, strong, jump and eps. Neutral tweets are factual and report-like: declares, dividend, results, reports, q3 and data-vendor boilerplate such as marketscreener.</w:t>
      </w:r>
    </w:p>
    <w:p>
      <w:pPr>
        <w:spacing w:before="80" w:after="20"/>
        <w:jc w:val="center"/>
      </w:pPr>
      <w:r>
        <w:drawing>
          <wp:inline xmlns:a="http://schemas.openxmlformats.org/drawingml/2006/main" xmlns:pic="http://schemas.openxmlformats.org/drawingml/2006/picture">
            <wp:extent cx="5943600" cy="1106686"/>
            <wp:docPr id="2" name="Picture 2"/>
            <wp:cNvGraphicFramePr>
              <a:graphicFrameLocks noChangeAspect="1"/>
            </wp:cNvGraphicFramePr>
            <a:graphic>
              <a:graphicData uri="http://schemas.openxmlformats.org/drawingml/2006/picture">
                <pic:pic>
                  <pic:nvPicPr>
                    <pic:cNvPr id="0" name="wordclouds_combined.png"/>
                    <pic:cNvPicPr/>
                  </pic:nvPicPr>
                  <pic:blipFill>
                    <a:blip r:embed="rId10"/>
                    <a:stretch>
                      <a:fillRect/>
                    </a:stretch>
                  </pic:blipFill>
                  <pic:spPr>
                    <a:xfrm>
                      <a:off x="0" y="0"/>
                      <a:ext cx="5943600" cy="1106686"/>
                    </a:xfrm>
                    <a:prstGeom prst="rect"/>
                  </pic:spPr>
                </pic:pic>
              </a:graphicData>
            </a:graphic>
          </wp:inline>
        </w:drawing>
      </w:r>
    </w:p>
    <w:p>
      <w:pPr>
        <w:spacing w:after="120"/>
        <w:jc w:val="center"/>
      </w:pPr>
      <w:r>
        <w:rPr>
          <w:i/>
          <w:color w:val="555555"/>
          <w:sz w:val="17"/>
        </w:rPr>
        <w:t>Figure 2. Per-class word clouds (left to right: Bearish, Bullish, Neutral). Distinct vocabularies suggest word-based features will be competitive.</w:t>
      </w:r>
    </w:p>
    <w:p>
      <w:pPr>
        <w:spacing w:after="80" w:before="0"/>
      </w:pPr>
      <w:r>
        <w:rPr>
          <w:b w:val="0"/>
          <w:i w:val="0"/>
          <w:sz w:val="22"/>
        </w:rPr>
        <w:t>There is a visible generalisation risk: company and data-source names (e.g. marketscreener, individual tickers) appear among the most frequent tokens, so a model could latch onto names rather than sentiment. This directly motivates normalising every cashtag to a generic ticker token during preprocessing, so the model learns sentiment, not specific symbols.</w:t>
      </w:r>
    </w:p>
    <w:p>
      <w:pPr>
        <w:pStyle w:val="Heading2"/>
      </w:pPr>
      <w:r>
        <w:t>2.3 Finance-specific signals carry class information</w:t>
      </w:r>
    </w:p>
    <w:p>
      <w:pPr>
        <w:spacing w:after="80" w:before="0"/>
      </w:pPr>
      <w:r>
        <w:rPr>
          <w:b w:val="0"/>
          <w:i w:val="0"/>
          <w:sz w:val="22"/>
        </w:rPr>
        <w:t>The lab pipelines shown in class were built for product/COVID text and simply delete every non-letter character. Financial tweets carry signal in exactly those characters — cashtags ($AAPL), percentages (5%), dollar amounts, hashtags, mentions and URLs — so we measured how often each appears per class before deciding what to discard.</w:t>
      </w:r>
    </w:p>
    <w:p>
      <w:pPr>
        <w:spacing w:before="80" w:after="20"/>
        <w:jc w:val="center"/>
      </w:pPr>
      <w:r>
        <w:drawing>
          <wp:inline xmlns:a="http://schemas.openxmlformats.org/drawingml/2006/main" xmlns:pic="http://schemas.openxmlformats.org/drawingml/2006/picture">
            <wp:extent cx="5669280" cy="2008306"/>
            <wp:docPr id="3" name="Picture 3"/>
            <wp:cNvGraphicFramePr>
              <a:graphicFrameLocks noChangeAspect="1"/>
            </wp:cNvGraphicFramePr>
            <a:graphic>
              <a:graphicData uri="http://schemas.openxmlformats.org/drawingml/2006/picture">
                <pic:pic>
                  <pic:nvPicPr>
                    <pic:cNvPr id="0" name="cell22_0.png"/>
                    <pic:cNvPicPr/>
                  </pic:nvPicPr>
                  <pic:blipFill>
                    <a:blip r:embed="rId11"/>
                    <a:stretch>
                      <a:fillRect/>
                    </a:stretch>
                  </pic:blipFill>
                  <pic:spPr>
                    <a:xfrm>
                      <a:off x="0" y="0"/>
                      <a:ext cx="5669280" cy="2008306"/>
                    </a:xfrm>
                    <a:prstGeom prst="rect"/>
                  </pic:spPr>
                </pic:pic>
              </a:graphicData>
            </a:graphic>
          </wp:inline>
        </w:drawing>
      </w:r>
    </w:p>
    <w:p>
      <w:pPr>
        <w:spacing w:after="120"/>
        <w:jc w:val="center"/>
      </w:pPr>
      <w:r>
        <w:rPr>
          <w:i/>
          <w:color w:val="555555"/>
          <w:sz w:val="17"/>
        </w:rPr>
        <w:t>Figure 3. Frequency of finance-specific token types per class. Percentages are the sharpest discriminator.</w:t>
      </w:r>
    </w:p>
    <w:p>
      <w:pPr>
        <w:spacing w:after="80" w:before="0"/>
      </w:pPr>
      <w:r>
        <w:rPr>
          <w:b w:val="0"/>
          <w:i w:val="0"/>
          <w:sz w:val="22"/>
        </w:rPr>
        <w:t>Percentages are the sharpest discriminator: present in 21.2% of Bullish and 16.3% of Bearish tweets but only 3.1% of Neutral — directional moves (+5%, –8%) signal opinion. Cashtags lean Bullish (25.1% vs 13.8% Bearish, 12.2% Neutral), as do numbers (Bullish 47.7% vs Neutral 29.8%). Neutral tweets are the most news-like, with the highest URL (49.8%), hashtag and mention rates. The implication is decisive: the lab default cleaner deletes every digit, % and $, which would erase the percent signal entirely. The 21.2% vs 3.1% gap is concrete evidence that "delete all non-letters" throws away discriminative information — which is why Section 3 tests a finance-aware cleaning variant against the lab-style one.</w:t>
      </w:r>
    </w:p>
    <w:p>
      <w:pPr>
        <w:pStyle w:val="Heading1"/>
      </w:pPr>
      <w:r>
        <w:t>3. Data Preprocessing</w:t>
      </w:r>
    </w:p>
    <w:p>
      <w:pPr>
        <w:spacing w:after="80" w:before="0"/>
      </w:pPr>
      <w:r>
        <w:rPr>
          <w:b w:val="0"/>
          <w:i w:val="0"/>
          <w:sz w:val="22"/>
        </w:rPr>
        <w:t>We implemented six preprocessing operations as independent toggles — lowercasing, regex normalisation, punctuation removal, stopword removal, lemmatisation and stemming — satisfying the requirement of at least four techniques, then composed them into two contrasting variants and let the validation score choose between them. An important scope rule applies throughout: the chosen cleaning feeds the BoW and word2vec features only. The Transformer encoders in Section 4 receive raw, untouched text, because each brings its own WordPiece/BPE subword tokenizer; aggressive cleaning would strip the casing, sub-words and finance tokens those models were trained to understand.</w:t>
      </w:r>
    </w:p>
    <w:p>
      <w:pPr>
        <w:pStyle w:val="Heading2"/>
      </w:pPr>
      <w:r>
        <w:t>3.1 Two competing cleaning philosophies</w:t>
      </w:r>
    </w:p>
    <w:p>
      <w:pPr>
        <w:spacing w:after="80"/>
      </w:pPr>
      <w:r>
        <w:rPr>
          <w:b/>
          <w:i w:val="0"/>
          <w:sz w:val="22"/>
        </w:rPr>
        <w:t xml:space="preserve">AGGRESSIVE (lab baseline). </w:t>
      </w:r>
      <w:r>
        <w:rPr>
          <w:b w:val="0"/>
          <w:i w:val="0"/>
          <w:sz w:val="22"/>
        </w:rPr>
        <w:t>Lowercase, strip URLs, keep letters only (re.sub('[^a-zA-Z]', ' ', text)), remove all stopwords, lemmatise. This discards numbers, cashtags and percentages, and removes negation words (not, no, never) via the standard stoplist.</w:t>
      </w:r>
    </w:p>
    <w:p>
      <w:pPr>
        <w:spacing w:after="80"/>
      </w:pPr>
      <w:r>
        <w:rPr>
          <w:b/>
          <w:i w:val="0"/>
          <w:sz w:val="22"/>
        </w:rPr>
        <w:t xml:space="preserve">CONSERVATIVE (finance-aware). </w:t>
      </w:r>
      <w:r>
        <w:rPr>
          <w:b w:val="0"/>
          <w:i w:val="0"/>
          <w:sz w:val="22"/>
        </w:rPr>
        <w:t>Lowercase, strip URLs and mentions, normalise $AAPL → "ticker", 5% → "pct" and bare numbers → "num", keep negation words (which can flip sentiment, e.g. "not bullish"), and lemmatise.</w:t>
      </w:r>
    </w:p>
    <w:p>
      <w:pPr>
        <w:pStyle w:val="Heading2"/>
      </w:pPr>
      <w:r>
        <w:t>3.2 The cleaning decision was made empirically</w:t>
      </w:r>
    </w:p>
    <w:p>
      <w:pPr>
        <w:spacing w:after="80" w:before="0"/>
      </w:pPr>
      <w:r>
        <w:rPr>
          <w:b w:val="0"/>
          <w:i w:val="0"/>
          <w:sz w:val="22"/>
        </w:rPr>
        <w:t>Holding a cheap probe (TF-IDF + Logistic Regression) and the fixed train/validation split constant, we ran each cleaned variant and compared validation macro-F1 and vocabulary size. The conservative variant won by +0.0074 macro-F1 (0.7092 vs 0.7018) at essentially identical vocabulary size (11,368 vs 11,364), confirming the Section 2.3 reading that the percent/number signal is worth keeping. We therefore adopt conservative cleaning for all BoW and word2vec features. This is later vindicated directly: the normalised tokens pct and ticker surface among the most Bullish-discriminative TF-IDF features in Section 4.</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896"/>
            <w:shd w:val="clear" w:fill="1F3B63"/>
          </w:tcPr>
          <w:p>
            <w:pPr>
              <w:spacing w:after="20" w:before="20"/>
            </w:pPr>
            <w:r/>
            <w:r>
              <w:rPr>
                <w:b/>
                <w:color w:val="FFFFFF"/>
                <w:sz w:val="18"/>
              </w:rPr>
              <w:t>Cleaning variant</w:t>
            </w:r>
          </w:p>
        </w:tc>
        <w:tc>
          <w:tcPr>
            <w:tcW w:type="dxa" w:w="2304"/>
            <w:shd w:val="clear" w:fill="1F3B63"/>
          </w:tcPr>
          <w:p>
            <w:pPr>
              <w:spacing w:after="20" w:before="20"/>
            </w:pPr>
            <w:r/>
            <w:r>
              <w:rPr>
                <w:b/>
                <w:color w:val="FFFFFF"/>
                <w:sz w:val="18"/>
              </w:rPr>
              <w:t>Validation macro-F1</w:t>
            </w:r>
          </w:p>
        </w:tc>
        <w:tc>
          <w:tcPr>
            <w:tcW w:type="dxa" w:w="2016"/>
            <w:shd w:val="clear" w:fill="1F3B63"/>
          </w:tcPr>
          <w:p>
            <w:pPr>
              <w:spacing w:after="20" w:before="20"/>
            </w:pPr>
            <w:r/>
            <w:r>
              <w:rPr>
                <w:b/>
                <w:color w:val="FFFFFF"/>
                <w:sz w:val="18"/>
              </w:rPr>
              <w:t>Vocabulary size</w:t>
            </w:r>
          </w:p>
        </w:tc>
        <w:tc>
          <w:tcPr>
            <w:tcW w:type="dxa" w:w="1440"/>
            <w:shd w:val="clear" w:fill="1F3B63"/>
          </w:tcPr>
          <w:p>
            <w:pPr>
              <w:spacing w:after="20" w:before="20"/>
            </w:pPr>
            <w:r/>
            <w:r>
              <w:rPr>
                <w:b/>
                <w:color w:val="FFFFFF"/>
                <w:sz w:val="18"/>
              </w:rPr>
              <w:t>Decision</w:t>
            </w:r>
          </w:p>
        </w:tc>
      </w:tr>
      <w:tr>
        <w:tc>
          <w:tcPr>
            <w:tcW w:type="dxa" w:w="4896"/>
          </w:tcPr>
          <w:p>
            <w:pPr>
              <w:spacing w:after="20" w:before="20"/>
            </w:pPr>
            <w:r/>
            <w:r>
              <w:rPr>
                <w:sz w:val="18"/>
              </w:rPr>
              <w:t>Conservative (normalise ticker/pct/num, keep negation)</w:t>
            </w:r>
          </w:p>
        </w:tc>
        <w:tc>
          <w:tcPr>
            <w:tcW w:type="dxa" w:w="2304"/>
          </w:tcPr>
          <w:p>
            <w:pPr>
              <w:spacing w:after="20" w:before="20"/>
            </w:pPr>
            <w:r/>
            <w:r>
              <w:rPr>
                <w:sz w:val="18"/>
              </w:rPr>
              <w:t>0.7092</w:t>
            </w:r>
          </w:p>
        </w:tc>
        <w:tc>
          <w:tcPr>
            <w:tcW w:type="dxa" w:w="2016"/>
          </w:tcPr>
          <w:p>
            <w:pPr>
              <w:spacing w:after="20" w:before="20"/>
            </w:pPr>
            <w:r/>
            <w:r>
              <w:rPr>
                <w:sz w:val="18"/>
              </w:rPr>
              <w:t>11,368</w:t>
            </w:r>
          </w:p>
        </w:tc>
        <w:tc>
          <w:tcPr>
            <w:tcW w:type="dxa" w:w="1440"/>
          </w:tcPr>
          <w:p>
            <w:pPr>
              <w:spacing w:after="20" w:before="20"/>
            </w:pPr>
            <w:r/>
            <w:r>
              <w:rPr>
                <w:sz w:val="18"/>
              </w:rPr>
              <w:t>Kept</w:t>
            </w:r>
          </w:p>
        </w:tc>
      </w:tr>
      <w:tr>
        <w:tc>
          <w:tcPr>
            <w:tcW w:type="dxa" w:w="4896"/>
            <w:shd w:val="clear" w:fill="EEF2F7"/>
          </w:tcPr>
          <w:p>
            <w:pPr>
              <w:spacing w:after="20" w:before="20"/>
            </w:pPr>
            <w:r/>
            <w:r>
              <w:rPr>
                <w:sz w:val="18"/>
              </w:rPr>
              <w:t>Aggressive (lab-style, delete digits/cashtags)</w:t>
            </w:r>
          </w:p>
        </w:tc>
        <w:tc>
          <w:tcPr>
            <w:tcW w:type="dxa" w:w="2304"/>
            <w:shd w:val="clear" w:fill="EEF2F7"/>
          </w:tcPr>
          <w:p>
            <w:pPr>
              <w:spacing w:after="20" w:before="20"/>
            </w:pPr>
            <w:r/>
            <w:r>
              <w:rPr>
                <w:sz w:val="18"/>
              </w:rPr>
              <w:t>0.7018</w:t>
            </w:r>
          </w:p>
        </w:tc>
        <w:tc>
          <w:tcPr>
            <w:tcW w:type="dxa" w:w="2016"/>
            <w:shd w:val="clear" w:fill="EEF2F7"/>
          </w:tcPr>
          <w:p>
            <w:pPr>
              <w:spacing w:after="20" w:before="20"/>
            </w:pPr>
            <w:r/>
            <w:r>
              <w:rPr>
                <w:sz w:val="18"/>
              </w:rPr>
              <w:t>11,364</w:t>
            </w:r>
          </w:p>
        </w:tc>
        <w:tc>
          <w:tcPr>
            <w:tcW w:type="dxa" w:w="1440"/>
            <w:shd w:val="clear" w:fill="EEF2F7"/>
          </w:tcPr>
          <w:p>
            <w:pPr>
              <w:spacing w:after="20" w:before="20"/>
            </w:pPr>
            <w:r/>
            <w:r>
              <w:rPr>
                <w:sz w:val="18"/>
              </w:rPr>
              <w:t>Discarded</w:t>
            </w:r>
          </w:p>
        </w:tc>
      </w:tr>
    </w:tbl>
    <w:p>
      <w:pPr>
        <w:spacing w:after="40"/>
      </w:pPr>
    </w:p>
    <w:p>
      <w:pPr>
        <w:pStyle w:val="Heading1"/>
      </w:pPr>
      <w:r>
        <w:t>4. Feature Engineering</w:t>
      </w:r>
    </w:p>
    <w:p>
      <w:pPr>
        <w:spacing w:after="80" w:before="0"/>
      </w:pPr>
      <w:r>
        <w:rPr>
          <w:b w:val="0"/>
          <w:i w:val="0"/>
          <w:sz w:val="22"/>
        </w:rPr>
        <w:t>We built and characterised the three required representation families — Bag-of-Words, word2vec, and Transformer-encoder embeddings — and probed each with a fixed Logistic Regression so representations are compared on equal footing. Mean-pooled transformer embeddings and the two domain-specialised encoders are declared extra work (see Section 7).</w:t>
      </w:r>
    </w:p>
    <w:p>
      <w:pPr>
        <w:pStyle w:val="Heading2"/>
      </w:pPr>
      <w:r>
        <w:t>4.1 Bag-of-Words family</w:t>
      </w:r>
    </w:p>
    <w:p>
      <w:pPr>
        <w:spacing w:after="80" w:before="0"/>
      </w:pPr>
      <w:r>
        <w:rPr>
          <w:b w:val="0"/>
          <w:i w:val="0"/>
          <w:sz w:val="22"/>
        </w:rPr>
        <w:t>We compared four BoW variants: binary counts, frequency counts, TF-IDF unigrams, and TF-IDF (1,2)-grams (min_df=2 to control vocabulary explosion). TF-IDF down-weighting beat raw counts as expected (0.709–0.712 vs 0.697–0.700), solving BoW's "all words weighted equally" weakness by discounting ubiquitous words like stock, market and says. The most class-discriminative terms were exactly the right ones — Bearish: downgraded, miss, target cut, warns; Bullish: beat, upgraded, raised, bullish, pct, ticker; Neutral: declares, dividend, q3, marketscreener. Crucially, our normalised pct and ticker tokens appear as Bullish signals, directly validating the conservative preprocessing. Bigrams essentially tied unigrams (0.7120 vs 0.7092, within noise): on ~7.6k short tweets most bigrams are too rare to estimate well, so the phrase signal barely moves the needle. We carry TF-IDF unigram forward as the BoW representative, trading a negligible –0.003 macro-F1 for lower dimensionality.</w:t>
      </w:r>
    </w:p>
    <w:p>
      <w:pPr>
        <w:pStyle w:val="Heading2"/>
      </w:pPr>
      <w:r>
        <w:t>4.2 Static word embeddings (word2vec)</w:t>
      </w:r>
    </w:p>
    <w:p>
      <w:pPr>
        <w:spacing w:after="80" w:before="0"/>
      </w:pPr>
      <w:r>
        <w:rPr>
          <w:b w:val="0"/>
          <w:i w:val="0"/>
          <w:sz w:val="22"/>
        </w:rPr>
        <w:t>We built two averaged-vector variants: Word2Vec trained from scratch on our corpus and pre-trained GloVe-Twitter. Both were the weakest representations in the study (0.592 and 0.569 macro-F1), well below TF-IDF. Surprisingly, from-scratch beat pretrained GloVe (+0.023) for two reasons: our normalised tokens (ticker, pct, num) and finance jargon are out-of-vocabulary for GloVe, which skips them, whereas the from-scratch model learned them; and averaging destroys word order while diluting the few sentiment-bearing words in a tweet. We nonetheless carry GloVe-Twitter forward for the BiLSTM, where per-token vectors over the whole sequence make broad vocabulary coverage (from ~2B tweets) matter more than the averaged-probe result.</w:t>
      </w:r>
    </w:p>
    <w:p>
      <w:pPr>
        <w:pStyle w:val="Heading2"/>
      </w:pPr>
      <w:r>
        <w:t>4.3 Transformer-encoder embeddings</w:t>
      </w:r>
    </w:p>
    <w:p>
      <w:pPr>
        <w:spacing w:after="80" w:before="0"/>
      </w:pPr>
      <w:r>
        <w:rPr>
          <w:b w:val="0"/>
          <w:i w:val="0"/>
          <w:sz w:val="22"/>
        </w:rPr>
        <w:t>Encoders produce contextual embeddings — the same word gets different vectors in different sentences — addressing BoW's "context changes meaning" weakness. We extracted frozen embeddings from three encoders with two pooling strategies each: generic DistilBERT, finance-tuned FinBERT, and Twitter-tuned RoBERTa. Domain encoders clearly beat the generic one by about +0.05 macro-F1: both FinBERT and twitter-roberta understand market language and our ticker/pct tokens better than vanilla DistilBERT, with twitter-roberta the single strongest representation in the study. CLS vs mean pooling was essentially a tie (≤0.001 for every encoder) — an honest null result for short tweets, where the two pooling strategies capture nearly the same information.</w:t>
      </w:r>
    </w:p>
    <w:p>
      <w:pPr>
        <w:pStyle w:val="Heading2"/>
      </w:pPr>
      <w:r>
        <w:t>4.4 Representation summary</w:t>
      </w:r>
    </w:p>
    <w:p>
      <w:pPr>
        <w:spacing w:after="80" w:before="0"/>
      </w:pPr>
      <w:r>
        <w:rPr>
          <w:b w:val="0"/>
          <w:i w:val="0"/>
          <w:sz w:val="22"/>
        </w:rPr>
        <w:t>Ranked by probe macro-F1, the representations form a coherent hierarchy from contextual domain encoders down to averaged static embeddings: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600"/>
            <w:shd w:val="clear" w:fill="1F3B63"/>
          </w:tcPr>
          <w:p>
            <w:pPr>
              <w:spacing w:after="20" w:before="20"/>
            </w:pPr>
            <w:r/>
            <w:r>
              <w:rPr>
                <w:b/>
                <w:color w:val="FFFFFF"/>
                <w:sz w:val="17"/>
              </w:rPr>
              <w:t>Representation</w:t>
            </w:r>
          </w:p>
        </w:tc>
        <w:tc>
          <w:tcPr>
            <w:tcW w:type="dxa" w:w="1296"/>
            <w:shd w:val="clear" w:fill="1F3B63"/>
          </w:tcPr>
          <w:p>
            <w:pPr>
              <w:spacing w:after="20" w:before="20"/>
            </w:pPr>
            <w:r/>
            <w:r>
              <w:rPr>
                <w:b/>
                <w:color w:val="FFFFFF"/>
                <w:sz w:val="17"/>
              </w:rPr>
              <w:t>Dim</w:t>
            </w:r>
          </w:p>
        </w:tc>
        <w:tc>
          <w:tcPr>
            <w:tcW w:type="dxa" w:w="1152"/>
            <w:shd w:val="clear" w:fill="1F3B63"/>
          </w:tcPr>
          <w:p>
            <w:pPr>
              <w:spacing w:after="20" w:before="20"/>
            </w:pPr>
            <w:r/>
            <w:r>
              <w:rPr>
                <w:b/>
                <w:color w:val="FFFFFF"/>
                <w:sz w:val="17"/>
              </w:rPr>
              <w:t>Type</w:t>
            </w:r>
          </w:p>
        </w:tc>
        <w:tc>
          <w:tcPr>
            <w:tcW w:type="dxa" w:w="1008"/>
            <w:shd w:val="clear" w:fill="1F3B63"/>
          </w:tcPr>
          <w:p>
            <w:pPr>
              <w:spacing w:after="20" w:before="20"/>
            </w:pPr>
            <w:r/>
            <w:r>
              <w:rPr>
                <w:b/>
                <w:color w:val="FFFFFF"/>
                <w:sz w:val="17"/>
              </w:rPr>
              <w:t>Order?</w:t>
            </w:r>
          </w:p>
        </w:tc>
        <w:tc>
          <w:tcPr>
            <w:tcW w:type="dxa" w:w="1440"/>
            <w:shd w:val="clear" w:fill="1F3B63"/>
          </w:tcPr>
          <w:p>
            <w:pPr>
              <w:spacing w:after="20" w:before="20"/>
            </w:pPr>
            <w:r/>
            <w:r>
              <w:rPr>
                <w:b/>
                <w:color w:val="FFFFFF"/>
                <w:sz w:val="17"/>
              </w:rPr>
              <w:t>Contextual</w:t>
            </w:r>
          </w:p>
        </w:tc>
        <w:tc>
          <w:tcPr>
            <w:tcW w:type="dxa" w:w="1728"/>
            <w:shd w:val="clear" w:fill="1F3B63"/>
          </w:tcPr>
          <w:p>
            <w:pPr>
              <w:spacing w:after="20" w:before="20"/>
            </w:pPr>
            <w:r/>
            <w:r>
              <w:rPr>
                <w:b/>
                <w:color w:val="FFFFFF"/>
                <w:sz w:val="17"/>
              </w:rPr>
              <w:t>Domain fit</w:t>
            </w:r>
          </w:p>
        </w:tc>
        <w:tc>
          <w:tcPr>
            <w:tcW w:type="dxa" w:w="1584"/>
            <w:shd w:val="clear" w:fill="1F3B63"/>
          </w:tcPr>
          <w:p>
            <w:pPr>
              <w:spacing w:after="20" w:before="20"/>
            </w:pPr>
            <w:r/>
            <w:r>
              <w:rPr>
                <w:b/>
                <w:color w:val="FFFFFF"/>
                <w:sz w:val="17"/>
              </w:rPr>
              <w:t>Probe F1</w:t>
            </w:r>
          </w:p>
        </w:tc>
      </w:tr>
      <w:tr>
        <w:tc>
          <w:tcPr>
            <w:tcW w:type="dxa" w:w="3600"/>
          </w:tcPr>
          <w:p>
            <w:pPr>
              <w:spacing w:after="20" w:before="20"/>
            </w:pPr>
            <w:r/>
            <w:r>
              <w:rPr>
                <w:b/>
                <w:sz w:val="17"/>
              </w:rPr>
              <w:t>twitter-roberta cls/mean</w:t>
            </w:r>
          </w:p>
        </w:tc>
        <w:tc>
          <w:tcPr>
            <w:tcW w:type="dxa" w:w="1296"/>
          </w:tcPr>
          <w:p>
            <w:pPr>
              <w:spacing w:after="20" w:before="20"/>
            </w:pPr>
            <w:r/>
            <w:r>
              <w:rPr>
                <w:sz w:val="17"/>
              </w:rPr>
              <w:t>768</w:t>
            </w:r>
          </w:p>
        </w:tc>
        <w:tc>
          <w:tcPr>
            <w:tcW w:type="dxa" w:w="1152"/>
          </w:tcPr>
          <w:p>
            <w:pPr>
              <w:spacing w:after="20" w:before="20"/>
            </w:pPr>
            <w:r/>
            <w:r>
              <w:rPr>
                <w:sz w:val="17"/>
              </w:rPr>
              <w:t>dense</w:t>
            </w:r>
          </w:p>
        </w:tc>
        <w:tc>
          <w:tcPr>
            <w:tcW w:type="dxa" w:w="1008"/>
          </w:tcPr>
          <w:p>
            <w:pPr>
              <w:spacing w:after="20" w:before="20"/>
            </w:pPr>
            <w:r/>
            <w:r>
              <w:rPr>
                <w:sz w:val="17"/>
              </w:rPr>
              <w:t>yes</w:t>
            </w:r>
          </w:p>
        </w:tc>
        <w:tc>
          <w:tcPr>
            <w:tcW w:type="dxa" w:w="1440"/>
          </w:tcPr>
          <w:p>
            <w:pPr>
              <w:spacing w:after="20" w:before="20"/>
            </w:pPr>
            <w:r/>
            <w:r>
              <w:rPr>
                <w:sz w:val="17"/>
              </w:rPr>
              <w:t>yes</w:t>
            </w:r>
          </w:p>
        </w:tc>
        <w:tc>
          <w:tcPr>
            <w:tcW w:type="dxa" w:w="1728"/>
          </w:tcPr>
          <w:p>
            <w:pPr>
              <w:spacing w:after="20" w:before="20"/>
            </w:pPr>
            <w:r/>
            <w:r>
              <w:rPr>
                <w:sz w:val="17"/>
              </w:rPr>
              <w:t>tweets</w:t>
            </w:r>
          </w:p>
        </w:tc>
        <w:tc>
          <w:tcPr>
            <w:tcW w:type="dxa" w:w="1584"/>
          </w:tcPr>
          <w:p>
            <w:pPr>
              <w:spacing w:after="20" w:before="20"/>
            </w:pPr>
            <w:r/>
            <w:r>
              <w:rPr>
                <w:sz w:val="17"/>
              </w:rPr>
              <w:t>0.751 / 0.752</w:t>
            </w:r>
          </w:p>
        </w:tc>
      </w:tr>
      <w:tr>
        <w:tc>
          <w:tcPr>
            <w:tcW w:type="dxa" w:w="3600"/>
            <w:shd w:val="clear" w:fill="EEF2F7"/>
          </w:tcPr>
          <w:p>
            <w:pPr>
              <w:spacing w:after="20" w:before="20"/>
            </w:pPr>
            <w:r/>
            <w:r>
              <w:rPr>
                <w:b/>
                <w:sz w:val="17"/>
              </w:rPr>
              <w:t>FinBERT cls/mean</w:t>
            </w:r>
          </w:p>
        </w:tc>
        <w:tc>
          <w:tcPr>
            <w:tcW w:type="dxa" w:w="1296"/>
            <w:shd w:val="clear" w:fill="EEF2F7"/>
          </w:tcPr>
          <w:p>
            <w:pPr>
              <w:spacing w:after="20" w:before="20"/>
            </w:pPr>
            <w:r/>
            <w:r>
              <w:rPr>
                <w:sz w:val="17"/>
              </w:rPr>
              <w:t>768</w:t>
            </w:r>
          </w:p>
        </w:tc>
        <w:tc>
          <w:tcPr>
            <w:tcW w:type="dxa" w:w="1152"/>
            <w:shd w:val="clear" w:fill="EEF2F7"/>
          </w:tcPr>
          <w:p>
            <w:pPr>
              <w:spacing w:after="20" w:before="20"/>
            </w:pPr>
            <w:r/>
            <w:r>
              <w:rPr>
                <w:sz w:val="17"/>
              </w:rPr>
              <w:t>dense</w:t>
            </w:r>
          </w:p>
        </w:tc>
        <w:tc>
          <w:tcPr>
            <w:tcW w:type="dxa" w:w="1008"/>
            <w:shd w:val="clear" w:fill="EEF2F7"/>
          </w:tcPr>
          <w:p>
            <w:pPr>
              <w:spacing w:after="20" w:before="20"/>
            </w:pPr>
            <w:r/>
            <w:r>
              <w:rPr>
                <w:sz w:val="17"/>
              </w:rPr>
              <w:t>yes</w:t>
            </w:r>
          </w:p>
        </w:tc>
        <w:tc>
          <w:tcPr>
            <w:tcW w:type="dxa" w:w="1440"/>
            <w:shd w:val="clear" w:fill="EEF2F7"/>
          </w:tcPr>
          <w:p>
            <w:pPr>
              <w:spacing w:after="20" w:before="20"/>
            </w:pPr>
            <w:r/>
            <w:r>
              <w:rPr>
                <w:sz w:val="17"/>
              </w:rPr>
              <w:t>yes</w:t>
            </w:r>
          </w:p>
        </w:tc>
        <w:tc>
          <w:tcPr>
            <w:tcW w:type="dxa" w:w="1728"/>
            <w:shd w:val="clear" w:fill="EEF2F7"/>
          </w:tcPr>
          <w:p>
            <w:pPr>
              <w:spacing w:after="20" w:before="20"/>
            </w:pPr>
            <w:r/>
            <w:r>
              <w:rPr>
                <w:sz w:val="17"/>
              </w:rPr>
              <w:t>finance</w:t>
            </w:r>
          </w:p>
        </w:tc>
        <w:tc>
          <w:tcPr>
            <w:tcW w:type="dxa" w:w="1584"/>
            <w:shd w:val="clear" w:fill="EEF2F7"/>
          </w:tcPr>
          <w:p>
            <w:pPr>
              <w:spacing w:after="20" w:before="20"/>
            </w:pPr>
            <w:r/>
            <w:r>
              <w:rPr>
                <w:sz w:val="17"/>
              </w:rPr>
              <w:t>0.737 / 0.738</w:t>
            </w:r>
          </w:p>
        </w:tc>
      </w:tr>
      <w:tr>
        <w:tc>
          <w:tcPr>
            <w:tcW w:type="dxa" w:w="3600"/>
          </w:tcPr>
          <w:p>
            <w:pPr>
              <w:spacing w:after="20" w:before="20"/>
            </w:pPr>
            <w:r/>
            <w:r>
              <w:rPr>
                <w:b/>
                <w:sz w:val="17"/>
              </w:rPr>
              <w:t>TF-IDF (1,2)-gram / unigram</w:t>
            </w:r>
          </w:p>
        </w:tc>
        <w:tc>
          <w:tcPr>
            <w:tcW w:type="dxa" w:w="1296"/>
          </w:tcPr>
          <w:p>
            <w:pPr>
              <w:spacing w:after="20" w:before="20"/>
            </w:pPr>
            <w:r/>
            <w:r>
              <w:rPr>
                <w:sz w:val="17"/>
              </w:rPr>
              <w:t>~10–11k</w:t>
            </w:r>
          </w:p>
        </w:tc>
        <w:tc>
          <w:tcPr>
            <w:tcW w:type="dxa" w:w="1152"/>
          </w:tcPr>
          <w:p>
            <w:pPr>
              <w:spacing w:after="20" w:before="20"/>
            </w:pPr>
            <w:r/>
            <w:r>
              <w:rPr>
                <w:sz w:val="17"/>
              </w:rPr>
              <w:t>sparse</w:t>
            </w:r>
          </w:p>
        </w:tc>
        <w:tc>
          <w:tcPr>
            <w:tcW w:type="dxa" w:w="1008"/>
          </w:tcPr>
          <w:p>
            <w:pPr>
              <w:spacing w:after="20" w:before="20"/>
            </w:pPr>
            <w:r/>
            <w:r>
              <w:rPr>
                <w:sz w:val="17"/>
              </w:rPr>
              <w:t>no</w:t>
            </w:r>
          </w:p>
        </w:tc>
        <w:tc>
          <w:tcPr>
            <w:tcW w:type="dxa" w:w="1440"/>
          </w:tcPr>
          <w:p>
            <w:pPr>
              <w:spacing w:after="20" w:before="20"/>
            </w:pPr>
            <w:r/>
            <w:r>
              <w:rPr>
                <w:sz w:val="17"/>
              </w:rPr>
              <w:t>no</w:t>
            </w:r>
          </w:p>
        </w:tc>
        <w:tc>
          <w:tcPr>
            <w:tcW w:type="dxa" w:w="1728"/>
          </w:tcPr>
          <w:p>
            <w:pPr>
              <w:spacing w:after="20" w:before="20"/>
            </w:pPr>
            <w:r/>
            <w:r>
              <w:rPr>
                <w:sz w:val="17"/>
              </w:rPr>
              <w:t>generic</w:t>
            </w:r>
          </w:p>
        </w:tc>
        <w:tc>
          <w:tcPr>
            <w:tcW w:type="dxa" w:w="1584"/>
          </w:tcPr>
          <w:p>
            <w:pPr>
              <w:spacing w:after="20" w:before="20"/>
            </w:pPr>
            <w:r/>
            <w:r>
              <w:rPr>
                <w:sz w:val="17"/>
              </w:rPr>
              <w:t>0.712 / 0.709</w:t>
            </w:r>
          </w:p>
        </w:tc>
      </w:tr>
      <w:tr>
        <w:tc>
          <w:tcPr>
            <w:tcW w:type="dxa" w:w="3600"/>
            <w:shd w:val="clear" w:fill="EEF2F7"/>
          </w:tcPr>
          <w:p>
            <w:pPr>
              <w:spacing w:after="20" w:before="20"/>
            </w:pPr>
            <w:r/>
            <w:r>
              <w:rPr>
                <w:b/>
                <w:sz w:val="17"/>
              </w:rPr>
              <w:t>DistilBERT cls</w:t>
            </w:r>
          </w:p>
        </w:tc>
        <w:tc>
          <w:tcPr>
            <w:tcW w:type="dxa" w:w="1296"/>
            <w:shd w:val="clear" w:fill="EEF2F7"/>
          </w:tcPr>
          <w:p>
            <w:pPr>
              <w:spacing w:after="20" w:before="20"/>
            </w:pPr>
            <w:r/>
            <w:r>
              <w:rPr>
                <w:sz w:val="17"/>
              </w:rPr>
              <w:t>768</w:t>
            </w:r>
          </w:p>
        </w:tc>
        <w:tc>
          <w:tcPr>
            <w:tcW w:type="dxa" w:w="1152"/>
            <w:shd w:val="clear" w:fill="EEF2F7"/>
          </w:tcPr>
          <w:p>
            <w:pPr>
              <w:spacing w:after="20" w:before="20"/>
            </w:pPr>
            <w:r/>
            <w:r>
              <w:rPr>
                <w:sz w:val="17"/>
              </w:rPr>
              <w:t>dense</w:t>
            </w:r>
          </w:p>
        </w:tc>
        <w:tc>
          <w:tcPr>
            <w:tcW w:type="dxa" w:w="1008"/>
            <w:shd w:val="clear" w:fill="EEF2F7"/>
          </w:tcPr>
          <w:p>
            <w:pPr>
              <w:spacing w:after="20" w:before="20"/>
            </w:pPr>
            <w:r/>
            <w:r>
              <w:rPr>
                <w:sz w:val="17"/>
              </w:rPr>
              <w:t>yes</w:t>
            </w:r>
          </w:p>
        </w:tc>
        <w:tc>
          <w:tcPr>
            <w:tcW w:type="dxa" w:w="1440"/>
            <w:shd w:val="clear" w:fill="EEF2F7"/>
          </w:tcPr>
          <w:p>
            <w:pPr>
              <w:spacing w:after="20" w:before="20"/>
            </w:pPr>
            <w:r/>
            <w:r>
              <w:rPr>
                <w:sz w:val="17"/>
              </w:rPr>
              <w:t>yes</w:t>
            </w:r>
          </w:p>
        </w:tc>
        <w:tc>
          <w:tcPr>
            <w:tcW w:type="dxa" w:w="1728"/>
            <w:shd w:val="clear" w:fill="EEF2F7"/>
          </w:tcPr>
          <w:p>
            <w:pPr>
              <w:spacing w:after="20" w:before="20"/>
            </w:pPr>
            <w:r/>
            <w:r>
              <w:rPr>
                <w:sz w:val="17"/>
              </w:rPr>
              <w:t>generic</w:t>
            </w:r>
          </w:p>
        </w:tc>
        <w:tc>
          <w:tcPr>
            <w:tcW w:type="dxa" w:w="1584"/>
            <w:shd w:val="clear" w:fill="EEF2F7"/>
          </w:tcPr>
          <w:p>
            <w:pPr>
              <w:spacing w:after="20" w:before="20"/>
            </w:pPr>
            <w:r/>
            <w:r>
              <w:rPr>
                <w:sz w:val="17"/>
              </w:rPr>
              <w:t>0.697</w:t>
            </w:r>
          </w:p>
        </w:tc>
      </w:tr>
      <w:tr>
        <w:tc>
          <w:tcPr>
            <w:tcW w:type="dxa" w:w="3600"/>
          </w:tcPr>
          <w:p>
            <w:pPr>
              <w:spacing w:after="20" w:before="20"/>
            </w:pPr>
            <w:r/>
            <w:r>
              <w:rPr>
                <w:b/>
                <w:sz w:val="17"/>
              </w:rPr>
              <w:t>Word2Vec-avg (scratch)</w:t>
            </w:r>
          </w:p>
        </w:tc>
        <w:tc>
          <w:tcPr>
            <w:tcW w:type="dxa" w:w="1296"/>
          </w:tcPr>
          <w:p>
            <w:pPr>
              <w:spacing w:after="20" w:before="20"/>
            </w:pPr>
            <w:r/>
            <w:r>
              <w:rPr>
                <w:sz w:val="17"/>
              </w:rPr>
              <w:t>100</w:t>
            </w:r>
          </w:p>
        </w:tc>
        <w:tc>
          <w:tcPr>
            <w:tcW w:type="dxa" w:w="1152"/>
          </w:tcPr>
          <w:p>
            <w:pPr>
              <w:spacing w:after="20" w:before="20"/>
            </w:pPr>
            <w:r/>
            <w:r>
              <w:rPr>
                <w:sz w:val="17"/>
              </w:rPr>
              <w:t>dense</w:t>
            </w:r>
          </w:p>
        </w:tc>
        <w:tc>
          <w:tcPr>
            <w:tcW w:type="dxa" w:w="1008"/>
          </w:tcPr>
          <w:p>
            <w:pPr>
              <w:spacing w:after="20" w:before="20"/>
            </w:pPr>
            <w:r/>
            <w:r>
              <w:rPr>
                <w:sz w:val="17"/>
              </w:rPr>
              <w:t>no</w:t>
            </w:r>
          </w:p>
        </w:tc>
        <w:tc>
          <w:tcPr>
            <w:tcW w:type="dxa" w:w="1440"/>
          </w:tcPr>
          <w:p>
            <w:pPr>
              <w:spacing w:after="20" w:before="20"/>
            </w:pPr>
            <w:r/>
            <w:r>
              <w:rPr>
                <w:sz w:val="17"/>
              </w:rPr>
              <w:t>no</w:t>
            </w:r>
          </w:p>
        </w:tc>
        <w:tc>
          <w:tcPr>
            <w:tcW w:type="dxa" w:w="1728"/>
          </w:tcPr>
          <w:p>
            <w:pPr>
              <w:spacing w:after="20" w:before="20"/>
            </w:pPr>
            <w:r/>
            <w:r>
              <w:rPr>
                <w:sz w:val="17"/>
              </w:rPr>
              <w:t>in-domain (tiny)</w:t>
            </w:r>
          </w:p>
        </w:tc>
        <w:tc>
          <w:tcPr>
            <w:tcW w:type="dxa" w:w="1584"/>
          </w:tcPr>
          <w:p>
            <w:pPr>
              <w:spacing w:after="20" w:before="20"/>
            </w:pPr>
            <w:r/>
            <w:r>
              <w:rPr>
                <w:sz w:val="17"/>
              </w:rPr>
              <w:t>0.592</w:t>
            </w:r>
          </w:p>
        </w:tc>
      </w:tr>
      <w:tr>
        <w:tc>
          <w:tcPr>
            <w:tcW w:type="dxa" w:w="3600"/>
            <w:shd w:val="clear" w:fill="EEF2F7"/>
          </w:tcPr>
          <w:p>
            <w:pPr>
              <w:spacing w:after="20" w:before="20"/>
            </w:pPr>
            <w:r/>
            <w:r>
              <w:rPr>
                <w:b/>
                <w:sz w:val="17"/>
              </w:rPr>
              <w:t>GloVe-Twitter avg</w:t>
            </w:r>
          </w:p>
        </w:tc>
        <w:tc>
          <w:tcPr>
            <w:tcW w:type="dxa" w:w="1296"/>
            <w:shd w:val="clear" w:fill="EEF2F7"/>
          </w:tcPr>
          <w:p>
            <w:pPr>
              <w:spacing w:after="20" w:before="20"/>
            </w:pPr>
            <w:r/>
            <w:r>
              <w:rPr>
                <w:sz w:val="17"/>
              </w:rPr>
              <w:t>100</w:t>
            </w:r>
          </w:p>
        </w:tc>
        <w:tc>
          <w:tcPr>
            <w:tcW w:type="dxa" w:w="1152"/>
            <w:shd w:val="clear" w:fill="EEF2F7"/>
          </w:tcPr>
          <w:p>
            <w:pPr>
              <w:spacing w:after="20" w:before="20"/>
            </w:pPr>
            <w:r/>
            <w:r>
              <w:rPr>
                <w:sz w:val="17"/>
              </w:rPr>
              <w:t>dense</w:t>
            </w:r>
          </w:p>
        </w:tc>
        <w:tc>
          <w:tcPr>
            <w:tcW w:type="dxa" w:w="1008"/>
            <w:shd w:val="clear" w:fill="EEF2F7"/>
          </w:tcPr>
          <w:p>
            <w:pPr>
              <w:spacing w:after="20" w:before="20"/>
            </w:pPr>
            <w:r/>
            <w:r>
              <w:rPr>
                <w:sz w:val="17"/>
              </w:rPr>
              <w:t>no</w:t>
            </w:r>
          </w:p>
        </w:tc>
        <w:tc>
          <w:tcPr>
            <w:tcW w:type="dxa" w:w="1440"/>
            <w:shd w:val="clear" w:fill="EEF2F7"/>
          </w:tcPr>
          <w:p>
            <w:pPr>
              <w:spacing w:after="20" w:before="20"/>
            </w:pPr>
            <w:r/>
            <w:r>
              <w:rPr>
                <w:sz w:val="17"/>
              </w:rPr>
              <w:t>no</w:t>
            </w:r>
          </w:p>
        </w:tc>
        <w:tc>
          <w:tcPr>
            <w:tcW w:type="dxa" w:w="1728"/>
            <w:shd w:val="clear" w:fill="EEF2F7"/>
          </w:tcPr>
          <w:p>
            <w:pPr>
              <w:spacing w:after="20" w:before="20"/>
            </w:pPr>
            <w:r/>
            <w:r>
              <w:rPr>
                <w:sz w:val="17"/>
              </w:rPr>
              <w:t>generic</w:t>
            </w:r>
          </w:p>
        </w:tc>
        <w:tc>
          <w:tcPr>
            <w:tcW w:type="dxa" w:w="1584"/>
            <w:shd w:val="clear" w:fill="EEF2F7"/>
          </w:tcPr>
          <w:p>
            <w:pPr>
              <w:spacing w:after="20" w:before="20"/>
            </w:pPr>
            <w:r/>
            <w:r>
              <w:rPr>
                <w:sz w:val="17"/>
              </w:rPr>
              <w:t>0.569</w:t>
            </w:r>
          </w:p>
        </w:tc>
      </w:tr>
    </w:tbl>
    <w:p>
      <w:pPr>
        <w:spacing w:after="40"/>
      </w:pPr>
    </w:p>
    <w:p>
      <w:pPr>
        <w:spacing w:after="40" w:before="0"/>
      </w:pPr>
      <w:r>
        <w:rPr>
          <w:b w:val="0"/>
          <w:i w:val="0"/>
          <w:sz w:val="22"/>
        </w:rPr>
        <w:t>We advance the two domain transformers (strongest classifiers), TF-IDF (linear/KNN models) and GloVe sequences (BiLSTM) into the model section. The domain-matched contextual embeddings are the most promising, while TF-IDF is a surprisingly strong, cheap baseline.</w:t>
      </w:r>
    </w:p>
    <w:p>
      <w:pPr>
        <w:pStyle w:val="Heading1"/>
      </w:pPr>
      <w:r>
        <w:t>5. Classification Models</w:t>
      </w:r>
    </w:p>
    <w:p>
      <w:pPr>
        <w:spacing w:after="80" w:before="0"/>
      </w:pPr>
      <w:r>
        <w:rPr>
          <w:b w:val="0"/>
          <w:i w:val="0"/>
          <w:sz w:val="22"/>
        </w:rPr>
        <w:t>We trained traditional ML classifiers (KNN, Logistic Regression, Gaussian Naive Bayes, MLP) and Transformer-encoder classifiers (frozen embeddings + a light head, plus an end-to-end fine-tune), each paired with the representation it suits and all scored through one shared evaluate() routine so results are directly comparable. Multiclass and imbalance adaptations — 3-way softmax, class weighting, macro-averaged metrics, stratified CV — are applied throughout. Every model is compared against the majority-class baseline (macro-F1 0.262).</w:t>
      </w:r>
    </w:p>
    <w:p>
      <w:pPr>
        <w:pStyle w:val="Heading2"/>
      </w:pPr>
      <w:r>
        <w:t>5.1 Traditional ML classifiers</w:t>
      </w:r>
    </w:p>
    <w:p>
      <w:pPr>
        <w:spacing w:after="80"/>
      </w:pPr>
      <w:r>
        <w:rPr>
          <w:b/>
          <w:i w:val="0"/>
          <w:sz w:val="22"/>
        </w:rPr>
        <w:t xml:space="preserve">KNN (TF-IDF, cosine). </w:t>
      </w:r>
      <w:r>
        <w:rPr>
          <w:b w:val="0"/>
          <w:i w:val="0"/>
          <w:sz w:val="22"/>
        </w:rPr>
        <w:t>Best k=5 (smaller neighbourhoods help because minority classes are sparse): val macro-F1 0.668. It recovers Neutral well (F1 0.86) but struggles to recall the minority classes (Bearish recall 0.47) — in a 65%-Neutral space, a new point's neighbourhood is usually Neutral-dominated.</w:t>
      </w:r>
    </w:p>
    <w:p>
      <w:pPr>
        <w:spacing w:after="80"/>
      </w:pPr>
      <w:r>
        <w:rPr>
          <w:b/>
          <w:i w:val="0"/>
          <w:sz w:val="22"/>
        </w:rPr>
        <w:t xml:space="preserve">Logistic Regression (TF-IDF, class-weighted, C=1.0). </w:t>
      </w:r>
      <w:r>
        <w:rPr>
          <w:b w:val="0"/>
          <w:i w:val="0"/>
          <w:sz w:val="22"/>
        </w:rPr>
        <w:t>Val macro-F1 0.709 — the best non-neural, non-transformer model, beating even frozen generic DistilBERT (0.697). Its per-class F1 is the most balanced so far (Bearish 0.59, Bullish 0.68, Neutral 0.86), because a class-weighted linear boundary over a high-dimensional sparse lexicon is well matched to a keyword-driven task. This is the model to beat for anything costlier.</w:t>
      </w:r>
    </w:p>
    <w:p>
      <w:pPr>
        <w:spacing w:after="80"/>
      </w:pPr>
      <w:r>
        <w:rPr>
          <w:b/>
          <w:i w:val="0"/>
          <w:sz w:val="22"/>
        </w:rPr>
        <w:t xml:space="preserve">Gaussian Naive Bayes (averaged GloVe). </w:t>
      </w:r>
      <w:r>
        <w:rPr>
          <w:b w:val="0"/>
          <w:i w:val="0"/>
          <w:sz w:val="22"/>
        </w:rPr>
        <w:t>Val macro-F1 0.543 — the weakest classical model. GaussianNB assumes independent, Gaussian features, but embedding dimensions are correlated and non-Gaussian.</w:t>
      </w:r>
    </w:p>
    <w:p>
      <w:pPr>
        <w:spacing w:after="80"/>
      </w:pPr>
      <w:r>
        <w:rPr>
          <w:b/>
          <w:i w:val="0"/>
          <w:sz w:val="22"/>
        </w:rPr>
        <w:t xml:space="preserve">MLP (averaged GloVe, tuned). </w:t>
      </w:r>
      <w:r>
        <w:rPr>
          <w:b w:val="0"/>
          <w:i w:val="0"/>
          <w:sz w:val="22"/>
        </w:rPr>
        <w:t>Val macro-F1 0.605 — better than NB but still below TF-IDF. A nonlinear head can only exploit information present in its input; averaged GloVe has already discarded order and OOV tokens, so even a tuned MLP plateaus. The ceiling is the features, not the classifier.</w:t>
      </w:r>
    </w:p>
    <w:p>
      <w:pPr>
        <w:pStyle w:val="Heading2"/>
      </w:pPr>
      <w:r>
        <w:t>5.2 Bidirectional LSTM on GloVe sequences</w:t>
      </w:r>
    </w:p>
    <w:p>
      <w:pPr>
        <w:spacing w:after="80" w:before="0"/>
      </w:pPr>
      <w:r>
        <w:rPr>
          <w:b w:val="0"/>
          <w:i w:val="0"/>
          <w:sz w:val="22"/>
        </w:rPr>
        <w:t>The BiLSTM is the missing rung between averaged embeddings (no order) and contextual transformers: it reads the GloVe vector sequence left-to-right and right-to-left, adding word order. With a 3-way softmax output and a class-weight dict, it reached val macro-F1 0.638 — beating averaged GloVe (0.569), which confirms that reading word order recovers signal that averaging destroys, but losing to TF-IDF and the transformers. Validation loss bottomed around epoch 5 then rose (mild overfitting; EarlyStopping restored the best weights). With only ~7.6k short tweets there is not enough data for a from-scratch recurrent model to beat a strong bag-of-features.</w:t>
      </w:r>
    </w:p>
    <w:p>
      <w:pPr>
        <w:pStyle w:val="Heading2"/>
      </w:pPr>
      <w:r>
        <w:t>5.3 Transformer-encoder classifiers</w:t>
      </w:r>
    </w:p>
    <w:p>
      <w:pPr>
        <w:spacing w:after="80" w:before="0"/>
      </w:pPr>
      <w:r>
        <w:rPr>
          <w:b w:val="0"/>
          <w:i w:val="0"/>
          <w:sz w:val="22"/>
        </w:rPr>
        <w:t>Using frozen encoder embeddings with progressively stronger heads reveals where the gains come from. Swapping a linear head for a tuned MLP is the big lever, and it pays off far more on the domain encoders: twitter-roberta + MLP(256,128) reaches 0.784 and FinBERT + MLP(128) 0.776, versus DistilBERT + MLP at only 0.722. Ensembling the two domain encoders (extra work) goes further: concatenating FinBERT and twitter-roberta CLS vectors into a single MLP reaches val macro-F1 0.808 (accuracy 0.859), the best frozen-encoder model, with a soft-vote close behind at 0.802. Finally, end-to-end fine-tuning of distilbert-base-uncased (3 epochs, class-weighted cross-entropy, best checkpoint at epoch 2; extra work) reaches val macro-F1 0.811 — the single highest score, narrowly edging the concat ensemble (+0.003). The transformer space is information-rich and nonlinearly separable, so a nonlinear head extracts far more than a linear one, but only when the embedding actually contains the signal (large gains on FinBERT/twitter-roberta, small on DistilBERT, none on averaged GloVe). The two domain encoders were pretrained on complementary corpora — financial filings vs tweets — so concatenating them gives the classifier both views and lifts every class, especially the minorities.</w:t>
      </w:r>
    </w:p>
    <w:p>
      <w:pPr>
        <w:spacing w:after="80" w:before="0"/>
      </w:pPr>
      <w:r>
        <w:rPr>
          <w:b w:val="0"/>
          <w:i w:val="0"/>
          <w:sz w:val="22"/>
        </w:rPr>
        <w:t>Combining the two encoders is simpler than it sounds. Each one reads a tweet and condenses it into a single summary of 768 numbers, one from FinBERT and one from twitter-roberta. Concatenation joins these two summaries end to end into one vector of 1,536 numbers, which becomes the input to the MLP. Every tweet is therefore described from two angles at once, and because the encoders were pre-trained on different material — financial filings on one side, tweets on the other — they emphasise different cues, giving the classifier more to work with than either could supply alone.</w:t>
      </w:r>
    </w:p>
    <w:p>
      <w:pPr>
        <w:pStyle w:val="Heading1"/>
      </w:pPr>
      <w:r>
        <w:t>6. Evaluation and Results</w:t>
      </w:r>
    </w:p>
    <w:p>
      <w:pPr>
        <w:spacing w:after="80" w:before="0"/>
      </w:pPr>
      <w:r>
        <w:rPr>
          <w:b w:val="0"/>
          <w:i w:val="0"/>
          <w:sz w:val="22"/>
        </w:rPr>
        <w:t>We evaluate every model with Precision, Recall, Accuracy and macro-F1 on the same fixed 1,909-tweet stratified validation set. Because the data is 65% Neutral, accuracy alone is misleading; macro-F1 averages the three per-class F1 scores equally, so it directly rewards correct handling of the minority Bearish and Bullish classes that an investor actually cares about. The full model × feature grid below makes the best combination obvious.</w:t>
      </w:r>
    </w:p>
    <w:p>
      <w:pPr>
        <w:spacing w:before="80" w:after="20"/>
        <w:jc w:val="center"/>
      </w:pPr>
      <w:r>
        <w:drawing>
          <wp:inline xmlns:a="http://schemas.openxmlformats.org/drawingml/2006/main" xmlns:pic="http://schemas.openxmlformats.org/drawingml/2006/picture">
            <wp:extent cx="5852160" cy="3421263"/>
            <wp:docPr id="4" name="Picture 4"/>
            <wp:cNvGraphicFramePr>
              <a:graphicFrameLocks noChangeAspect="1"/>
            </wp:cNvGraphicFramePr>
            <a:graphic>
              <a:graphicData uri="http://schemas.openxmlformats.org/drawingml/2006/picture">
                <pic:pic>
                  <pic:nvPicPr>
                    <pic:cNvPr id="0" name="cell76_0.png"/>
                    <pic:cNvPicPr/>
                  </pic:nvPicPr>
                  <pic:blipFill>
                    <a:blip r:embed="rId12"/>
                    <a:stretch>
                      <a:fillRect/>
                    </a:stretch>
                  </pic:blipFill>
                  <pic:spPr>
                    <a:xfrm>
                      <a:off x="0" y="0"/>
                      <a:ext cx="5852160" cy="3421263"/>
                    </a:xfrm>
                    <a:prstGeom prst="rect"/>
                  </pic:spPr>
                </pic:pic>
              </a:graphicData>
            </a:graphic>
          </wp:inline>
        </w:drawing>
      </w:r>
    </w:p>
    <w:p>
      <w:pPr>
        <w:spacing w:after="120"/>
        <w:jc w:val="center"/>
      </w:pPr>
      <w:r>
        <w:rPr>
          <w:i/>
          <w:color w:val="555555"/>
          <w:sz w:val="17"/>
        </w:rPr>
        <w:t>Figure 4. Validation macro-F1 for every model × feature combination tested. Brighter = higher.</w:t>
      </w:r>
    </w:p>
    <w:p>
      <w:pPr>
        <w:pStyle w:val="Heading2"/>
      </w:pPr>
      <w:r>
        <w:t>6.1 Final scoreboard</w:t>
      </w:r>
    </w:p>
    <w:p>
      <w:pPr>
        <w:spacing w:after="80" w:before="0"/>
      </w:pPr>
      <w:r>
        <w:rPr>
          <w:b w:val="0"/>
          <w:i w:val="0"/>
          <w:sz w:val="22"/>
        </w:rPr>
        <w:t>Every approach beats the 0.262 majority baseline, and the ordering is coherent from fine-tuned and ensembled domain transformers at the top, through the strong TF-IDF linear baseline, down to recurrent and averaged-embedding models and the generative decoders.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5472"/>
            <w:shd w:val="clear" w:fill="1F3B63"/>
          </w:tcPr>
          <w:p>
            <w:pPr>
              <w:spacing w:after="20" w:before="20"/>
            </w:pPr>
            <w:r/>
            <w:r>
              <w:rPr>
                <w:b/>
                <w:color w:val="FFFFFF"/>
                <w:sz w:val="17"/>
              </w:rPr>
              <w:t>Model (representative)</w:t>
            </w:r>
          </w:p>
        </w:tc>
        <w:tc>
          <w:tcPr>
            <w:tcW w:type="dxa" w:w="1728"/>
            <w:shd w:val="clear" w:fill="1F3B63"/>
          </w:tcPr>
          <w:p>
            <w:pPr>
              <w:spacing w:after="20" w:before="20"/>
            </w:pPr>
            <w:r/>
            <w:r>
              <w:rPr>
                <w:b/>
                <w:color w:val="FFFFFF"/>
                <w:sz w:val="17"/>
              </w:rPr>
              <w:t>Feature</w:t>
            </w:r>
          </w:p>
        </w:tc>
        <w:tc>
          <w:tcPr>
            <w:tcW w:type="dxa" w:w="1440"/>
            <w:shd w:val="clear" w:fill="1F3B63"/>
          </w:tcPr>
          <w:p>
            <w:pPr>
              <w:spacing w:after="20" w:before="20"/>
            </w:pPr>
            <w:r/>
            <w:r>
              <w:rPr>
                <w:b/>
                <w:color w:val="FFFFFF"/>
                <w:sz w:val="17"/>
              </w:rPr>
              <w:t>Macro-F1</w:t>
            </w:r>
          </w:p>
        </w:tc>
        <w:tc>
          <w:tcPr>
            <w:tcW w:type="dxa" w:w="1440"/>
            <w:shd w:val="clear" w:fill="1F3B63"/>
          </w:tcPr>
          <w:p>
            <w:pPr>
              <w:spacing w:after="20" w:before="20"/>
            </w:pPr>
            <w:r/>
            <w:r>
              <w:rPr>
                <w:b/>
                <w:color w:val="FFFFFF"/>
                <w:sz w:val="17"/>
              </w:rPr>
              <w:t>Accuracy</w:t>
            </w:r>
          </w:p>
        </w:tc>
      </w:tr>
      <w:tr>
        <w:tc>
          <w:tcPr>
            <w:tcW w:type="dxa" w:w="5472"/>
          </w:tcPr>
          <w:p>
            <w:pPr>
              <w:spacing w:after="20" w:before="20"/>
            </w:pPr>
            <w:r/>
            <w:r>
              <w:rPr>
                <w:b/>
                <w:sz w:val="17"/>
              </w:rPr>
              <w:t>Fine-tuned DistilBERT (end-to-end) — extra</w:t>
            </w:r>
          </w:p>
        </w:tc>
        <w:tc>
          <w:tcPr>
            <w:tcW w:type="dxa" w:w="1728"/>
          </w:tcPr>
          <w:p>
            <w:pPr>
              <w:spacing w:after="20" w:before="20"/>
            </w:pPr>
            <w:r/>
            <w:r>
              <w:rPr>
                <w:sz w:val="17"/>
              </w:rPr>
              <w:t>raw text</w:t>
            </w:r>
          </w:p>
        </w:tc>
        <w:tc>
          <w:tcPr>
            <w:tcW w:type="dxa" w:w="1440"/>
          </w:tcPr>
          <w:p>
            <w:pPr>
              <w:spacing w:after="20" w:before="20"/>
            </w:pPr>
            <w:r/>
            <w:r>
              <w:rPr>
                <w:sz w:val="17"/>
              </w:rPr>
              <w:t>0.811</w:t>
            </w:r>
          </w:p>
        </w:tc>
        <w:tc>
          <w:tcPr>
            <w:tcW w:type="dxa" w:w="1440"/>
          </w:tcPr>
          <w:p>
            <w:pPr>
              <w:spacing w:after="20" w:before="20"/>
            </w:pPr>
            <w:r/>
            <w:r>
              <w:rPr>
                <w:sz w:val="17"/>
              </w:rPr>
              <w:t>0.853</w:t>
            </w:r>
          </w:p>
        </w:tc>
      </w:tr>
      <w:tr>
        <w:tc>
          <w:tcPr>
            <w:tcW w:type="dxa" w:w="5472"/>
            <w:shd w:val="clear" w:fill="EEF2F7"/>
          </w:tcPr>
          <w:p>
            <w:pPr>
              <w:spacing w:after="20" w:before="20"/>
            </w:pPr>
            <w:r/>
            <w:r>
              <w:rPr>
                <w:b/>
                <w:sz w:val="17"/>
              </w:rPr>
              <w:t>Concat FinBERT ⊕ twitter-roberta → MLP — submitted</w:t>
            </w:r>
          </w:p>
        </w:tc>
        <w:tc>
          <w:tcPr>
            <w:tcW w:type="dxa" w:w="1728"/>
            <w:shd w:val="clear" w:fill="EEF2F7"/>
          </w:tcPr>
          <w:p>
            <w:pPr>
              <w:spacing w:after="20" w:before="20"/>
            </w:pPr>
            <w:r/>
            <w:r>
              <w:rPr>
                <w:sz w:val="17"/>
              </w:rPr>
              <w:t>frozen CLS</w:t>
            </w:r>
          </w:p>
        </w:tc>
        <w:tc>
          <w:tcPr>
            <w:tcW w:type="dxa" w:w="1440"/>
            <w:shd w:val="clear" w:fill="EEF2F7"/>
          </w:tcPr>
          <w:p>
            <w:pPr>
              <w:spacing w:after="20" w:before="20"/>
            </w:pPr>
            <w:r/>
            <w:r>
              <w:rPr>
                <w:sz w:val="17"/>
              </w:rPr>
              <w:t>0.808</w:t>
            </w:r>
          </w:p>
        </w:tc>
        <w:tc>
          <w:tcPr>
            <w:tcW w:type="dxa" w:w="1440"/>
            <w:shd w:val="clear" w:fill="EEF2F7"/>
          </w:tcPr>
          <w:p>
            <w:pPr>
              <w:spacing w:after="20" w:before="20"/>
            </w:pPr>
            <w:r/>
            <w:r>
              <w:rPr>
                <w:sz w:val="17"/>
              </w:rPr>
              <w:t>0.859</w:t>
            </w:r>
          </w:p>
        </w:tc>
      </w:tr>
      <w:tr>
        <w:tc>
          <w:tcPr>
            <w:tcW w:type="dxa" w:w="5472"/>
          </w:tcPr>
          <w:p>
            <w:pPr>
              <w:spacing w:after="20" w:before="20"/>
            </w:pPr>
            <w:r/>
            <w:r>
              <w:rPr>
                <w:b/>
                <w:sz w:val="17"/>
              </w:rPr>
              <w:t>Soft-vote of the two domain encoders</w:t>
            </w:r>
          </w:p>
        </w:tc>
        <w:tc>
          <w:tcPr>
            <w:tcW w:type="dxa" w:w="1728"/>
          </w:tcPr>
          <w:p>
            <w:pPr>
              <w:spacing w:after="20" w:before="20"/>
            </w:pPr>
            <w:r/>
            <w:r>
              <w:rPr>
                <w:sz w:val="17"/>
              </w:rPr>
              <w:t>frozen CLS</w:t>
            </w:r>
          </w:p>
        </w:tc>
        <w:tc>
          <w:tcPr>
            <w:tcW w:type="dxa" w:w="1440"/>
          </w:tcPr>
          <w:p>
            <w:pPr>
              <w:spacing w:after="20" w:before="20"/>
            </w:pPr>
            <w:r/>
            <w:r>
              <w:rPr>
                <w:sz w:val="17"/>
              </w:rPr>
              <w:t>0.802</w:t>
            </w:r>
          </w:p>
        </w:tc>
        <w:tc>
          <w:tcPr>
            <w:tcW w:type="dxa" w:w="1440"/>
          </w:tcPr>
          <w:p>
            <w:pPr>
              <w:spacing w:after="20" w:before="20"/>
            </w:pPr>
            <w:r/>
            <w:r>
              <w:rPr>
                <w:sz w:val="17"/>
              </w:rPr>
              <w:t>0.851</w:t>
            </w:r>
          </w:p>
        </w:tc>
      </w:tr>
      <w:tr>
        <w:tc>
          <w:tcPr>
            <w:tcW w:type="dxa" w:w="5472"/>
            <w:shd w:val="clear" w:fill="EEF2F7"/>
          </w:tcPr>
          <w:p>
            <w:pPr>
              <w:spacing w:after="20" w:before="20"/>
            </w:pPr>
            <w:r/>
            <w:r>
              <w:rPr>
                <w:b/>
                <w:sz w:val="17"/>
              </w:rPr>
              <w:t>twitter-roberta (frozen) → MLP</w:t>
            </w:r>
          </w:p>
        </w:tc>
        <w:tc>
          <w:tcPr>
            <w:tcW w:type="dxa" w:w="1728"/>
            <w:shd w:val="clear" w:fill="EEF2F7"/>
          </w:tcPr>
          <w:p>
            <w:pPr>
              <w:spacing w:after="20" w:before="20"/>
            </w:pPr>
            <w:r/>
            <w:r>
              <w:rPr>
                <w:sz w:val="17"/>
              </w:rPr>
              <w:t>frozen CLS</w:t>
            </w:r>
          </w:p>
        </w:tc>
        <w:tc>
          <w:tcPr>
            <w:tcW w:type="dxa" w:w="1440"/>
            <w:shd w:val="clear" w:fill="EEF2F7"/>
          </w:tcPr>
          <w:p>
            <w:pPr>
              <w:spacing w:after="20" w:before="20"/>
            </w:pPr>
            <w:r/>
            <w:r>
              <w:rPr>
                <w:sz w:val="17"/>
              </w:rPr>
              <w:t>0.784</w:t>
            </w:r>
          </w:p>
        </w:tc>
        <w:tc>
          <w:tcPr>
            <w:tcW w:type="dxa" w:w="1440"/>
            <w:shd w:val="clear" w:fill="EEF2F7"/>
          </w:tcPr>
          <w:p>
            <w:pPr>
              <w:spacing w:after="20" w:before="20"/>
            </w:pPr>
            <w:r/>
            <w:r>
              <w:rPr>
                <w:sz w:val="17"/>
              </w:rPr>
              <w:t>-</w:t>
            </w:r>
          </w:p>
        </w:tc>
      </w:tr>
      <w:tr>
        <w:tc>
          <w:tcPr>
            <w:tcW w:type="dxa" w:w="5472"/>
          </w:tcPr>
          <w:p>
            <w:pPr>
              <w:spacing w:after="20" w:before="20"/>
            </w:pPr>
            <w:r/>
            <w:r>
              <w:rPr>
                <w:b/>
                <w:sz w:val="17"/>
              </w:rPr>
              <w:t>FinBERT (frozen) → MLP</w:t>
            </w:r>
          </w:p>
        </w:tc>
        <w:tc>
          <w:tcPr>
            <w:tcW w:type="dxa" w:w="1728"/>
          </w:tcPr>
          <w:p>
            <w:pPr>
              <w:spacing w:after="20" w:before="20"/>
            </w:pPr>
            <w:r/>
            <w:r>
              <w:rPr>
                <w:sz w:val="17"/>
              </w:rPr>
              <w:t>frozen CLS</w:t>
            </w:r>
          </w:p>
        </w:tc>
        <w:tc>
          <w:tcPr>
            <w:tcW w:type="dxa" w:w="1440"/>
          </w:tcPr>
          <w:p>
            <w:pPr>
              <w:spacing w:after="20" w:before="20"/>
            </w:pPr>
            <w:r/>
            <w:r>
              <w:rPr>
                <w:sz w:val="17"/>
              </w:rPr>
              <w:t>0.776</w:t>
            </w:r>
          </w:p>
        </w:tc>
        <w:tc>
          <w:tcPr>
            <w:tcW w:type="dxa" w:w="1440"/>
          </w:tcPr>
          <w:p>
            <w:pPr>
              <w:spacing w:after="20" w:before="20"/>
            </w:pPr>
            <w:r/>
            <w:r>
              <w:rPr>
                <w:sz w:val="17"/>
              </w:rPr>
              <w:t>-</w:t>
            </w:r>
          </w:p>
        </w:tc>
      </w:tr>
      <w:tr>
        <w:tc>
          <w:tcPr>
            <w:tcW w:type="dxa" w:w="5472"/>
            <w:shd w:val="clear" w:fill="EEF2F7"/>
          </w:tcPr>
          <w:p>
            <w:pPr>
              <w:spacing w:after="20" w:before="20"/>
            </w:pPr>
            <w:r/>
            <w:r>
              <w:rPr>
                <w:b/>
                <w:sz w:val="17"/>
              </w:rPr>
              <w:t>twitter-roberta (frozen) → LogReg</w:t>
            </w:r>
          </w:p>
        </w:tc>
        <w:tc>
          <w:tcPr>
            <w:tcW w:type="dxa" w:w="1728"/>
            <w:shd w:val="clear" w:fill="EEF2F7"/>
          </w:tcPr>
          <w:p>
            <w:pPr>
              <w:spacing w:after="20" w:before="20"/>
            </w:pPr>
            <w:r/>
            <w:r>
              <w:rPr>
                <w:sz w:val="17"/>
              </w:rPr>
              <w:t>frozen CLS</w:t>
            </w:r>
          </w:p>
        </w:tc>
        <w:tc>
          <w:tcPr>
            <w:tcW w:type="dxa" w:w="1440"/>
            <w:shd w:val="clear" w:fill="EEF2F7"/>
          </w:tcPr>
          <w:p>
            <w:pPr>
              <w:spacing w:after="20" w:before="20"/>
            </w:pPr>
            <w:r/>
            <w:r>
              <w:rPr>
                <w:sz w:val="17"/>
              </w:rPr>
              <w:t>0.751</w:t>
            </w:r>
          </w:p>
        </w:tc>
        <w:tc>
          <w:tcPr>
            <w:tcW w:type="dxa" w:w="1440"/>
            <w:shd w:val="clear" w:fill="EEF2F7"/>
          </w:tcPr>
          <w:p>
            <w:pPr>
              <w:spacing w:after="20" w:before="20"/>
            </w:pPr>
            <w:r/>
            <w:r>
              <w:rPr>
                <w:sz w:val="17"/>
              </w:rPr>
              <w:t>-</w:t>
            </w:r>
          </w:p>
        </w:tc>
      </w:tr>
      <w:tr>
        <w:tc>
          <w:tcPr>
            <w:tcW w:type="dxa" w:w="5472"/>
          </w:tcPr>
          <w:p>
            <w:pPr>
              <w:spacing w:after="20" w:before="20"/>
            </w:pPr>
            <w:r/>
            <w:r>
              <w:rPr>
                <w:b/>
                <w:sz w:val="17"/>
              </w:rPr>
              <w:t>FinBERT (frozen) → LogReg</w:t>
            </w:r>
          </w:p>
        </w:tc>
        <w:tc>
          <w:tcPr>
            <w:tcW w:type="dxa" w:w="1728"/>
          </w:tcPr>
          <w:p>
            <w:pPr>
              <w:spacing w:after="20" w:before="20"/>
            </w:pPr>
            <w:r/>
            <w:r>
              <w:rPr>
                <w:sz w:val="17"/>
              </w:rPr>
              <w:t>frozen CLS</w:t>
            </w:r>
          </w:p>
        </w:tc>
        <w:tc>
          <w:tcPr>
            <w:tcW w:type="dxa" w:w="1440"/>
          </w:tcPr>
          <w:p>
            <w:pPr>
              <w:spacing w:after="20" w:before="20"/>
            </w:pPr>
            <w:r/>
            <w:r>
              <w:rPr>
                <w:sz w:val="17"/>
              </w:rPr>
              <w:t>0.737</w:t>
            </w:r>
          </w:p>
        </w:tc>
        <w:tc>
          <w:tcPr>
            <w:tcW w:type="dxa" w:w="1440"/>
          </w:tcPr>
          <w:p>
            <w:pPr>
              <w:spacing w:after="20" w:before="20"/>
            </w:pPr>
            <w:r/>
            <w:r>
              <w:rPr>
                <w:sz w:val="17"/>
              </w:rPr>
              <w:t>-</w:t>
            </w:r>
          </w:p>
        </w:tc>
      </w:tr>
      <w:tr>
        <w:tc>
          <w:tcPr>
            <w:tcW w:type="dxa" w:w="5472"/>
            <w:shd w:val="clear" w:fill="EEF2F7"/>
          </w:tcPr>
          <w:p>
            <w:pPr>
              <w:spacing w:after="20" w:before="20"/>
            </w:pPr>
            <w:r/>
            <w:r>
              <w:rPr>
                <w:b/>
                <w:sz w:val="17"/>
              </w:rPr>
              <w:t>TF-IDF → LogReg (best non-transformer)</w:t>
            </w:r>
          </w:p>
        </w:tc>
        <w:tc>
          <w:tcPr>
            <w:tcW w:type="dxa" w:w="1728"/>
            <w:shd w:val="clear" w:fill="EEF2F7"/>
          </w:tcPr>
          <w:p>
            <w:pPr>
              <w:spacing w:after="20" w:before="20"/>
            </w:pPr>
            <w:r/>
            <w:r>
              <w:rPr>
                <w:sz w:val="17"/>
              </w:rPr>
              <w:t>TF-IDF uni</w:t>
            </w:r>
          </w:p>
        </w:tc>
        <w:tc>
          <w:tcPr>
            <w:tcW w:type="dxa" w:w="1440"/>
            <w:shd w:val="clear" w:fill="EEF2F7"/>
          </w:tcPr>
          <w:p>
            <w:pPr>
              <w:spacing w:after="20" w:before="20"/>
            </w:pPr>
            <w:r/>
            <w:r>
              <w:rPr>
                <w:sz w:val="17"/>
              </w:rPr>
              <w:t>0.709</w:t>
            </w:r>
          </w:p>
        </w:tc>
        <w:tc>
          <w:tcPr>
            <w:tcW w:type="dxa" w:w="1440"/>
            <w:shd w:val="clear" w:fill="EEF2F7"/>
          </w:tcPr>
          <w:p>
            <w:pPr>
              <w:spacing w:after="20" w:before="20"/>
            </w:pPr>
            <w:r/>
            <w:r>
              <w:rPr>
                <w:sz w:val="17"/>
              </w:rPr>
              <w:t>0.781</w:t>
            </w:r>
          </w:p>
        </w:tc>
      </w:tr>
      <w:tr>
        <w:tc>
          <w:tcPr>
            <w:tcW w:type="dxa" w:w="5472"/>
          </w:tcPr>
          <w:p>
            <w:pPr>
              <w:spacing w:after="20" w:before="20"/>
            </w:pPr>
            <w:r/>
            <w:r>
              <w:rPr>
                <w:b/>
                <w:sz w:val="17"/>
              </w:rPr>
              <w:t>DistilBERT (frozen, generic) → LogReg</w:t>
            </w:r>
          </w:p>
        </w:tc>
        <w:tc>
          <w:tcPr>
            <w:tcW w:type="dxa" w:w="1728"/>
          </w:tcPr>
          <w:p>
            <w:pPr>
              <w:spacing w:after="20" w:before="20"/>
            </w:pPr>
            <w:r/>
            <w:r>
              <w:rPr>
                <w:sz w:val="17"/>
              </w:rPr>
              <w:t>frozen CLS</w:t>
            </w:r>
          </w:p>
        </w:tc>
        <w:tc>
          <w:tcPr>
            <w:tcW w:type="dxa" w:w="1440"/>
          </w:tcPr>
          <w:p>
            <w:pPr>
              <w:spacing w:after="20" w:before="20"/>
            </w:pPr>
            <w:r/>
            <w:r>
              <w:rPr>
                <w:sz w:val="17"/>
              </w:rPr>
              <w:t>0.697</w:t>
            </w:r>
          </w:p>
        </w:tc>
        <w:tc>
          <w:tcPr>
            <w:tcW w:type="dxa" w:w="1440"/>
          </w:tcPr>
          <w:p>
            <w:pPr>
              <w:spacing w:after="20" w:before="20"/>
            </w:pPr>
            <w:r/>
            <w:r>
              <w:rPr>
                <w:sz w:val="17"/>
              </w:rPr>
              <w:t>-</w:t>
            </w:r>
          </w:p>
        </w:tc>
      </w:tr>
      <w:tr>
        <w:tc>
          <w:tcPr>
            <w:tcW w:type="dxa" w:w="5472"/>
            <w:shd w:val="clear" w:fill="EEF2F7"/>
          </w:tcPr>
          <w:p>
            <w:pPr>
              <w:spacing w:after="20" w:before="20"/>
            </w:pPr>
            <w:r/>
            <w:r>
              <w:rPr>
                <w:b/>
                <w:sz w:val="17"/>
              </w:rPr>
              <w:t>KNN (k=5, cosine)</w:t>
            </w:r>
          </w:p>
        </w:tc>
        <w:tc>
          <w:tcPr>
            <w:tcW w:type="dxa" w:w="1728"/>
            <w:shd w:val="clear" w:fill="EEF2F7"/>
          </w:tcPr>
          <w:p>
            <w:pPr>
              <w:spacing w:after="20" w:before="20"/>
            </w:pPr>
            <w:r/>
            <w:r>
              <w:rPr>
                <w:sz w:val="17"/>
              </w:rPr>
              <w:t>TF-IDF uni</w:t>
            </w:r>
          </w:p>
        </w:tc>
        <w:tc>
          <w:tcPr>
            <w:tcW w:type="dxa" w:w="1440"/>
            <w:shd w:val="clear" w:fill="EEF2F7"/>
          </w:tcPr>
          <w:p>
            <w:pPr>
              <w:spacing w:after="20" w:before="20"/>
            </w:pPr>
            <w:r/>
            <w:r>
              <w:rPr>
                <w:sz w:val="17"/>
              </w:rPr>
              <w:t>0.668</w:t>
            </w:r>
          </w:p>
        </w:tc>
        <w:tc>
          <w:tcPr>
            <w:tcW w:type="dxa" w:w="1440"/>
            <w:shd w:val="clear" w:fill="EEF2F7"/>
          </w:tcPr>
          <w:p>
            <w:pPr>
              <w:spacing w:after="20" w:before="20"/>
            </w:pPr>
            <w:r/>
            <w:r>
              <w:rPr>
                <w:sz w:val="17"/>
              </w:rPr>
              <w:t>0.765</w:t>
            </w:r>
          </w:p>
        </w:tc>
      </w:tr>
      <w:tr>
        <w:tc>
          <w:tcPr>
            <w:tcW w:type="dxa" w:w="5472"/>
          </w:tcPr>
          <w:p>
            <w:pPr>
              <w:spacing w:after="20" w:before="20"/>
            </w:pPr>
            <w:r/>
            <w:r>
              <w:rPr>
                <w:b/>
                <w:sz w:val="17"/>
              </w:rPr>
              <w:t>BiLSTM</w:t>
            </w:r>
          </w:p>
        </w:tc>
        <w:tc>
          <w:tcPr>
            <w:tcW w:type="dxa" w:w="1728"/>
          </w:tcPr>
          <w:p>
            <w:pPr>
              <w:spacing w:after="20" w:before="20"/>
            </w:pPr>
            <w:r/>
            <w:r>
              <w:rPr>
                <w:sz w:val="17"/>
              </w:rPr>
              <w:t>GloVe seq</w:t>
            </w:r>
          </w:p>
        </w:tc>
        <w:tc>
          <w:tcPr>
            <w:tcW w:type="dxa" w:w="1440"/>
          </w:tcPr>
          <w:p>
            <w:pPr>
              <w:spacing w:after="20" w:before="20"/>
            </w:pPr>
            <w:r/>
            <w:r>
              <w:rPr>
                <w:sz w:val="17"/>
              </w:rPr>
              <w:t>0.638</w:t>
            </w:r>
          </w:p>
        </w:tc>
        <w:tc>
          <w:tcPr>
            <w:tcW w:type="dxa" w:w="1440"/>
          </w:tcPr>
          <w:p>
            <w:pPr>
              <w:spacing w:after="20" w:before="20"/>
            </w:pPr>
            <w:r/>
            <w:r>
              <w:rPr>
                <w:sz w:val="17"/>
              </w:rPr>
              <w:t>0.722</w:t>
            </w:r>
          </w:p>
        </w:tc>
      </w:tr>
      <w:tr>
        <w:tc>
          <w:tcPr>
            <w:tcW w:type="dxa" w:w="5472"/>
            <w:shd w:val="clear" w:fill="EEF2F7"/>
          </w:tcPr>
          <w:p>
            <w:pPr>
              <w:spacing w:after="20" w:before="20"/>
            </w:pPr>
            <w:r/>
            <w:r>
              <w:rPr>
                <w:b/>
                <w:sz w:val="17"/>
              </w:rPr>
              <w:t>MLP</w:t>
            </w:r>
          </w:p>
        </w:tc>
        <w:tc>
          <w:tcPr>
            <w:tcW w:type="dxa" w:w="1728"/>
            <w:shd w:val="clear" w:fill="EEF2F7"/>
          </w:tcPr>
          <w:p>
            <w:pPr>
              <w:spacing w:after="20" w:before="20"/>
            </w:pPr>
            <w:r/>
            <w:r>
              <w:rPr>
                <w:sz w:val="17"/>
              </w:rPr>
              <w:t>GloVe avg</w:t>
            </w:r>
          </w:p>
        </w:tc>
        <w:tc>
          <w:tcPr>
            <w:tcW w:type="dxa" w:w="1440"/>
            <w:shd w:val="clear" w:fill="EEF2F7"/>
          </w:tcPr>
          <w:p>
            <w:pPr>
              <w:spacing w:after="20" w:before="20"/>
            </w:pPr>
            <w:r/>
            <w:r>
              <w:rPr>
                <w:sz w:val="17"/>
              </w:rPr>
              <w:t>0.605</w:t>
            </w:r>
          </w:p>
        </w:tc>
        <w:tc>
          <w:tcPr>
            <w:tcW w:type="dxa" w:w="1440"/>
            <w:shd w:val="clear" w:fill="EEF2F7"/>
          </w:tcPr>
          <w:p>
            <w:pPr>
              <w:spacing w:after="20" w:before="20"/>
            </w:pPr>
            <w:r/>
            <w:r>
              <w:rPr>
                <w:sz w:val="17"/>
              </w:rPr>
              <w:t>0.742</w:t>
            </w:r>
          </w:p>
        </w:tc>
      </w:tr>
      <w:tr>
        <w:tc>
          <w:tcPr>
            <w:tcW w:type="dxa" w:w="5472"/>
          </w:tcPr>
          <w:p>
            <w:pPr>
              <w:spacing w:after="20" w:before="20"/>
            </w:pPr>
            <w:r/>
            <w:r>
              <w:rPr>
                <w:b/>
                <w:sz w:val="17"/>
              </w:rPr>
              <w:t>Gaussian Naive Bayes</w:t>
            </w:r>
          </w:p>
        </w:tc>
        <w:tc>
          <w:tcPr>
            <w:tcW w:type="dxa" w:w="1728"/>
          </w:tcPr>
          <w:p>
            <w:pPr>
              <w:spacing w:after="20" w:before="20"/>
            </w:pPr>
            <w:r/>
            <w:r>
              <w:rPr>
                <w:sz w:val="17"/>
              </w:rPr>
              <w:t>GloVe avg</w:t>
            </w:r>
          </w:p>
        </w:tc>
        <w:tc>
          <w:tcPr>
            <w:tcW w:type="dxa" w:w="1440"/>
          </w:tcPr>
          <w:p>
            <w:pPr>
              <w:spacing w:after="20" w:before="20"/>
            </w:pPr>
            <w:r/>
            <w:r>
              <w:rPr>
                <w:sz w:val="17"/>
              </w:rPr>
              <w:t>0.543</w:t>
            </w:r>
          </w:p>
        </w:tc>
        <w:tc>
          <w:tcPr>
            <w:tcW w:type="dxa" w:w="1440"/>
          </w:tcPr>
          <w:p>
            <w:pPr>
              <w:spacing w:after="20" w:before="20"/>
            </w:pPr>
            <w:r/>
            <w:r>
              <w:rPr>
                <w:sz w:val="17"/>
              </w:rPr>
              <w:t>0.660</w:t>
            </w:r>
          </w:p>
        </w:tc>
      </w:tr>
      <w:tr>
        <w:tc>
          <w:tcPr>
            <w:tcW w:type="dxa" w:w="5472"/>
            <w:shd w:val="clear" w:fill="EEF2F7"/>
          </w:tcPr>
          <w:p>
            <w:pPr>
              <w:spacing w:after="20" w:before="20"/>
            </w:pPr>
            <w:r/>
            <w:r>
              <w:rPr>
                <w:b/>
                <w:sz w:val="17"/>
              </w:rPr>
              <w:t>Decoder — Ollama llama3.2:3b (zero-shot)</w:t>
            </w:r>
          </w:p>
        </w:tc>
        <w:tc>
          <w:tcPr>
            <w:tcW w:type="dxa" w:w="1728"/>
            <w:shd w:val="clear" w:fill="EEF2F7"/>
          </w:tcPr>
          <w:p>
            <w:pPr>
              <w:spacing w:after="20" w:before="20"/>
            </w:pPr>
            <w:r/>
            <w:r>
              <w:rPr>
                <w:sz w:val="17"/>
              </w:rPr>
              <w:t>prompt</w:t>
            </w:r>
          </w:p>
        </w:tc>
        <w:tc>
          <w:tcPr>
            <w:tcW w:type="dxa" w:w="1440"/>
            <w:shd w:val="clear" w:fill="EEF2F7"/>
          </w:tcPr>
          <w:p>
            <w:pPr>
              <w:spacing w:after="20" w:before="20"/>
            </w:pPr>
            <w:r/>
            <w:r>
              <w:rPr>
                <w:sz w:val="17"/>
              </w:rPr>
              <w:t>0.446</w:t>
            </w:r>
          </w:p>
        </w:tc>
        <w:tc>
          <w:tcPr>
            <w:tcW w:type="dxa" w:w="1440"/>
            <w:shd w:val="clear" w:fill="EEF2F7"/>
          </w:tcPr>
          <w:p>
            <w:pPr>
              <w:spacing w:after="20" w:before="20"/>
            </w:pPr>
            <w:r/>
            <w:r>
              <w:rPr>
                <w:sz w:val="17"/>
              </w:rPr>
              <w:t>-</w:t>
            </w:r>
          </w:p>
        </w:tc>
      </w:tr>
      <w:tr>
        <w:tc>
          <w:tcPr>
            <w:tcW w:type="dxa" w:w="5472"/>
          </w:tcPr>
          <w:p>
            <w:pPr>
              <w:spacing w:after="20" w:before="20"/>
            </w:pPr>
            <w:r/>
            <w:r>
              <w:rPr>
                <w:b/>
                <w:sz w:val="17"/>
              </w:rPr>
              <w:t>Decoder — GPT-2 (best of 3 modes)</w:t>
            </w:r>
          </w:p>
        </w:tc>
        <w:tc>
          <w:tcPr>
            <w:tcW w:type="dxa" w:w="1728"/>
          </w:tcPr>
          <w:p>
            <w:pPr>
              <w:spacing w:after="20" w:before="20"/>
            </w:pPr>
            <w:r/>
            <w:r>
              <w:rPr>
                <w:sz w:val="17"/>
              </w:rPr>
              <w:t>prompt</w:t>
            </w:r>
          </w:p>
        </w:tc>
        <w:tc>
          <w:tcPr>
            <w:tcW w:type="dxa" w:w="1440"/>
          </w:tcPr>
          <w:p>
            <w:pPr>
              <w:spacing w:after="20" w:before="20"/>
            </w:pPr>
            <w:r/>
            <w:r>
              <w:rPr>
                <w:sz w:val="17"/>
              </w:rPr>
              <w:t>0.247</w:t>
            </w:r>
          </w:p>
        </w:tc>
        <w:tc>
          <w:tcPr>
            <w:tcW w:type="dxa" w:w="1440"/>
          </w:tcPr>
          <w:p>
            <w:pPr>
              <w:spacing w:after="20" w:before="20"/>
            </w:pPr>
            <w:r/>
            <w:r>
              <w:rPr>
                <w:sz w:val="17"/>
              </w:rPr>
              <w:t>-</w:t>
            </w:r>
          </w:p>
        </w:tc>
      </w:tr>
      <w:tr>
        <w:tc>
          <w:tcPr>
            <w:tcW w:type="dxa" w:w="5472"/>
            <w:shd w:val="clear" w:fill="EEF2F7"/>
          </w:tcPr>
          <w:p>
            <w:pPr>
              <w:spacing w:after="20" w:before="20"/>
            </w:pPr>
            <w:r/>
            <w:r>
              <w:rPr>
                <w:b/>
                <w:sz w:val="17"/>
              </w:rPr>
              <w:t>Majority-class baseline</w:t>
            </w:r>
          </w:p>
        </w:tc>
        <w:tc>
          <w:tcPr>
            <w:tcW w:type="dxa" w:w="1728"/>
            <w:shd w:val="clear" w:fill="EEF2F7"/>
          </w:tcPr>
          <w:p>
            <w:pPr>
              <w:spacing w:after="20" w:before="20"/>
            </w:pPr>
            <w:r/>
            <w:r>
              <w:rPr>
                <w:sz w:val="17"/>
              </w:rPr>
              <w:t>-</w:t>
            </w:r>
          </w:p>
        </w:tc>
        <w:tc>
          <w:tcPr>
            <w:tcW w:type="dxa" w:w="1440"/>
            <w:shd w:val="clear" w:fill="EEF2F7"/>
          </w:tcPr>
          <w:p>
            <w:pPr>
              <w:spacing w:after="20" w:before="20"/>
            </w:pPr>
            <w:r/>
            <w:r>
              <w:rPr>
                <w:sz w:val="17"/>
              </w:rPr>
              <w:t>0.262</w:t>
            </w:r>
          </w:p>
        </w:tc>
        <w:tc>
          <w:tcPr>
            <w:tcW w:type="dxa" w:w="1440"/>
            <w:shd w:val="clear" w:fill="EEF2F7"/>
          </w:tcPr>
          <w:p>
            <w:pPr>
              <w:spacing w:after="20" w:before="20"/>
            </w:pPr>
            <w:r/>
            <w:r>
              <w:rPr>
                <w:sz w:val="17"/>
              </w:rPr>
              <w:t>0.647</w:t>
            </w:r>
          </w:p>
        </w:tc>
      </w:tr>
    </w:tbl>
    <w:p>
      <w:pPr>
        <w:spacing w:after="40"/>
      </w:pPr>
    </w:p>
    <w:p>
      <w:pPr>
        <w:spacing w:after="80" w:before="0"/>
      </w:pPr>
      <w:r>
        <w:rPr>
          <w:b w:val="0"/>
          <w:i w:val="0"/>
          <w:sz w:val="22"/>
        </w:rPr>
        <w:t>For the submitted model, the four required metrics broken down per class (validation set, n = 1,909) are shown below. Recall is the share of each true class the model actually recovers — the metric that matters most given the imbalance, because it exposes whether the minority Bearish and Bullish classes are being missed.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304"/>
            <w:shd w:val="clear" w:fill="1F3B63"/>
          </w:tcPr>
          <w:p>
            <w:pPr>
              <w:spacing w:after="20" w:before="20"/>
            </w:pPr>
            <w:r/>
            <w:r>
              <w:rPr>
                <w:b/>
                <w:color w:val="FFFFFF"/>
                <w:sz w:val="18"/>
              </w:rPr>
              <w:t>Class</w:t>
            </w:r>
          </w:p>
        </w:tc>
        <w:tc>
          <w:tcPr>
            <w:tcW w:type="dxa" w:w="2016"/>
            <w:shd w:val="clear" w:fill="1F3B63"/>
          </w:tcPr>
          <w:p>
            <w:pPr>
              <w:spacing w:after="20" w:before="20"/>
            </w:pPr>
            <w:r/>
            <w:r>
              <w:rPr>
                <w:b/>
                <w:color w:val="FFFFFF"/>
                <w:sz w:val="18"/>
              </w:rPr>
              <w:t>Precision</w:t>
            </w:r>
          </w:p>
        </w:tc>
        <w:tc>
          <w:tcPr>
            <w:tcW w:type="dxa" w:w="2016"/>
            <w:shd w:val="clear" w:fill="1F3B63"/>
          </w:tcPr>
          <w:p>
            <w:pPr>
              <w:spacing w:after="20" w:before="20"/>
            </w:pPr>
            <w:r/>
            <w:r>
              <w:rPr>
                <w:b/>
                <w:color w:val="FFFFFF"/>
                <w:sz w:val="18"/>
              </w:rPr>
              <w:t>Recall</w:t>
            </w:r>
          </w:p>
        </w:tc>
        <w:tc>
          <w:tcPr>
            <w:tcW w:type="dxa" w:w="1728"/>
            <w:shd w:val="clear" w:fill="1F3B63"/>
          </w:tcPr>
          <w:p>
            <w:pPr>
              <w:spacing w:after="20" w:before="20"/>
            </w:pPr>
            <w:r/>
            <w:r>
              <w:rPr>
                <w:b/>
                <w:color w:val="FFFFFF"/>
                <w:sz w:val="18"/>
              </w:rPr>
              <w:t>F1</w:t>
            </w:r>
          </w:p>
        </w:tc>
        <w:tc>
          <w:tcPr>
            <w:tcW w:type="dxa" w:w="1584"/>
            <w:shd w:val="clear" w:fill="1F3B63"/>
          </w:tcPr>
          <w:p>
            <w:pPr>
              <w:spacing w:after="20" w:before="20"/>
            </w:pPr>
            <w:r/>
            <w:r>
              <w:rPr>
                <w:b/>
                <w:color w:val="FFFFFF"/>
                <w:sz w:val="18"/>
              </w:rPr>
              <w:t>Support</w:t>
            </w:r>
          </w:p>
        </w:tc>
      </w:tr>
      <w:tr>
        <w:tc>
          <w:tcPr>
            <w:tcW w:type="dxa" w:w="2304"/>
          </w:tcPr>
          <w:p>
            <w:pPr>
              <w:spacing w:after="20" w:before="20"/>
            </w:pPr>
            <w:r/>
            <w:r>
              <w:rPr>
                <w:b/>
                <w:sz w:val="18"/>
              </w:rPr>
              <w:t>Bearish</w:t>
            </w:r>
          </w:p>
        </w:tc>
        <w:tc>
          <w:tcPr>
            <w:tcW w:type="dxa" w:w="2016"/>
          </w:tcPr>
          <w:p>
            <w:pPr>
              <w:spacing w:after="20" w:before="20"/>
            </w:pPr>
            <w:r/>
            <w:r>
              <w:rPr>
                <w:sz w:val="18"/>
              </w:rPr>
              <w:t>0.807</w:t>
            </w:r>
          </w:p>
        </w:tc>
        <w:tc>
          <w:tcPr>
            <w:tcW w:type="dxa" w:w="2016"/>
          </w:tcPr>
          <w:p>
            <w:pPr>
              <w:spacing w:after="20" w:before="20"/>
            </w:pPr>
            <w:r/>
            <w:r>
              <w:rPr>
                <w:sz w:val="18"/>
              </w:rPr>
              <w:t>0.667</w:t>
            </w:r>
          </w:p>
        </w:tc>
        <w:tc>
          <w:tcPr>
            <w:tcW w:type="dxa" w:w="1728"/>
          </w:tcPr>
          <w:p>
            <w:pPr>
              <w:spacing w:after="20" w:before="20"/>
            </w:pPr>
            <w:r/>
            <w:r>
              <w:rPr>
                <w:sz w:val="18"/>
              </w:rPr>
              <w:t>0.730</w:t>
            </w:r>
          </w:p>
        </w:tc>
        <w:tc>
          <w:tcPr>
            <w:tcW w:type="dxa" w:w="1584"/>
          </w:tcPr>
          <w:p>
            <w:pPr>
              <w:spacing w:after="20" w:before="20"/>
            </w:pPr>
            <w:r/>
            <w:r>
              <w:rPr>
                <w:sz w:val="18"/>
              </w:rPr>
              <w:t>288</w:t>
            </w:r>
          </w:p>
        </w:tc>
      </w:tr>
      <w:tr>
        <w:tc>
          <w:tcPr>
            <w:tcW w:type="dxa" w:w="2304"/>
            <w:shd w:val="clear" w:fill="EEF2F7"/>
          </w:tcPr>
          <w:p>
            <w:pPr>
              <w:spacing w:after="20" w:before="20"/>
            </w:pPr>
            <w:r/>
            <w:r>
              <w:rPr>
                <w:b/>
                <w:sz w:val="18"/>
              </w:rPr>
              <w:t>Bullish</w:t>
            </w:r>
          </w:p>
        </w:tc>
        <w:tc>
          <w:tcPr>
            <w:tcW w:type="dxa" w:w="2016"/>
            <w:shd w:val="clear" w:fill="EEF2F7"/>
          </w:tcPr>
          <w:p>
            <w:pPr>
              <w:spacing w:after="20" w:before="20"/>
            </w:pPr>
            <w:r/>
            <w:r>
              <w:rPr>
                <w:sz w:val="18"/>
              </w:rPr>
              <w:t>0.779</w:t>
            </w:r>
          </w:p>
        </w:tc>
        <w:tc>
          <w:tcPr>
            <w:tcW w:type="dxa" w:w="2016"/>
            <w:shd w:val="clear" w:fill="EEF2F7"/>
          </w:tcPr>
          <w:p>
            <w:pPr>
              <w:spacing w:after="20" w:before="20"/>
            </w:pPr>
            <w:r/>
            <w:r>
              <w:rPr>
                <w:sz w:val="18"/>
              </w:rPr>
              <w:t>0.790</w:t>
            </w:r>
          </w:p>
        </w:tc>
        <w:tc>
          <w:tcPr>
            <w:tcW w:type="dxa" w:w="1728"/>
            <w:shd w:val="clear" w:fill="EEF2F7"/>
          </w:tcPr>
          <w:p>
            <w:pPr>
              <w:spacing w:after="20" w:before="20"/>
            </w:pPr>
            <w:r/>
            <w:r>
              <w:rPr>
                <w:sz w:val="18"/>
              </w:rPr>
              <w:t>0.785</w:t>
            </w:r>
          </w:p>
        </w:tc>
        <w:tc>
          <w:tcPr>
            <w:tcW w:type="dxa" w:w="1584"/>
            <w:shd w:val="clear" w:fill="EEF2F7"/>
          </w:tcPr>
          <w:p>
            <w:pPr>
              <w:spacing w:after="20" w:before="20"/>
            </w:pPr>
            <w:r/>
            <w:r>
              <w:rPr>
                <w:sz w:val="18"/>
              </w:rPr>
              <w:t>385</w:t>
            </w:r>
          </w:p>
        </w:tc>
      </w:tr>
      <w:tr>
        <w:tc>
          <w:tcPr>
            <w:tcW w:type="dxa" w:w="2304"/>
          </w:tcPr>
          <w:p>
            <w:pPr>
              <w:spacing w:after="20" w:before="20"/>
            </w:pPr>
            <w:r/>
            <w:r>
              <w:rPr>
                <w:b/>
                <w:sz w:val="18"/>
              </w:rPr>
              <w:t>Neutral</w:t>
            </w:r>
          </w:p>
        </w:tc>
        <w:tc>
          <w:tcPr>
            <w:tcW w:type="dxa" w:w="2016"/>
          </w:tcPr>
          <w:p>
            <w:pPr>
              <w:spacing w:after="20" w:before="20"/>
            </w:pPr>
            <w:r/>
            <w:r>
              <w:rPr>
                <w:sz w:val="18"/>
              </w:rPr>
              <w:t>0.892</w:t>
            </w:r>
          </w:p>
        </w:tc>
        <w:tc>
          <w:tcPr>
            <w:tcW w:type="dxa" w:w="2016"/>
          </w:tcPr>
          <w:p>
            <w:pPr>
              <w:spacing w:after="20" w:before="20"/>
            </w:pPr>
            <w:r/>
            <w:r>
              <w:rPr>
                <w:sz w:val="18"/>
              </w:rPr>
              <w:t>0.925</w:t>
            </w:r>
          </w:p>
        </w:tc>
        <w:tc>
          <w:tcPr>
            <w:tcW w:type="dxa" w:w="1728"/>
          </w:tcPr>
          <w:p>
            <w:pPr>
              <w:spacing w:after="20" w:before="20"/>
            </w:pPr>
            <w:r/>
            <w:r>
              <w:rPr>
                <w:sz w:val="18"/>
              </w:rPr>
              <w:t>0.908</w:t>
            </w:r>
          </w:p>
        </w:tc>
        <w:tc>
          <w:tcPr>
            <w:tcW w:type="dxa" w:w="1584"/>
          </w:tcPr>
          <w:p>
            <w:pPr>
              <w:spacing w:after="20" w:before="20"/>
            </w:pPr>
            <w:r/>
            <w:r>
              <w:rPr>
                <w:sz w:val="18"/>
              </w:rPr>
              <w:t>1,236</w:t>
            </w:r>
          </w:p>
        </w:tc>
      </w:tr>
      <w:tr>
        <w:tc>
          <w:tcPr>
            <w:tcW w:type="dxa" w:w="2304"/>
            <w:shd w:val="clear" w:fill="EEF2F7"/>
          </w:tcPr>
          <w:p>
            <w:pPr>
              <w:spacing w:after="20" w:before="20"/>
            </w:pPr>
            <w:r/>
            <w:r>
              <w:rPr>
                <w:b/>
                <w:sz w:val="18"/>
              </w:rPr>
              <w:t>Macro avg</w:t>
            </w:r>
          </w:p>
        </w:tc>
        <w:tc>
          <w:tcPr>
            <w:tcW w:type="dxa" w:w="2016"/>
            <w:shd w:val="clear" w:fill="EEF2F7"/>
          </w:tcPr>
          <w:p>
            <w:pPr>
              <w:spacing w:after="20" w:before="20"/>
            </w:pPr>
            <w:r/>
            <w:r>
              <w:rPr>
                <w:sz w:val="18"/>
              </w:rPr>
              <w:t>0.826</w:t>
            </w:r>
          </w:p>
        </w:tc>
        <w:tc>
          <w:tcPr>
            <w:tcW w:type="dxa" w:w="2016"/>
            <w:shd w:val="clear" w:fill="EEF2F7"/>
          </w:tcPr>
          <w:p>
            <w:pPr>
              <w:spacing w:after="20" w:before="20"/>
            </w:pPr>
            <w:r/>
            <w:r>
              <w:rPr>
                <w:sz w:val="18"/>
              </w:rPr>
              <w:t>0.794</w:t>
            </w:r>
          </w:p>
        </w:tc>
        <w:tc>
          <w:tcPr>
            <w:tcW w:type="dxa" w:w="1728"/>
            <w:shd w:val="clear" w:fill="EEF2F7"/>
          </w:tcPr>
          <w:p>
            <w:pPr>
              <w:spacing w:after="20" w:before="20"/>
            </w:pPr>
            <w:r/>
            <w:r>
              <w:rPr>
                <w:sz w:val="18"/>
              </w:rPr>
              <w:t>0.808</w:t>
            </w:r>
          </w:p>
        </w:tc>
        <w:tc>
          <w:tcPr>
            <w:tcW w:type="dxa" w:w="1584"/>
            <w:shd w:val="clear" w:fill="EEF2F7"/>
          </w:tcPr>
          <w:p>
            <w:pPr>
              <w:spacing w:after="20" w:before="20"/>
            </w:pPr>
            <w:r/>
            <w:r>
              <w:rPr>
                <w:sz w:val="18"/>
              </w:rPr>
              <w:t>1,909</w:t>
            </w:r>
          </w:p>
        </w:tc>
      </w:tr>
      <w:tr>
        <w:tc>
          <w:tcPr>
            <w:tcW w:type="dxa" w:w="2304"/>
          </w:tcPr>
          <w:p>
            <w:pPr>
              <w:spacing w:after="20" w:before="20"/>
            </w:pPr>
            <w:r/>
            <w:r>
              <w:rPr>
                <w:b/>
                <w:sz w:val="18"/>
              </w:rPr>
              <w:t>Accuracy</w:t>
            </w:r>
          </w:p>
        </w:tc>
        <w:tc>
          <w:tcPr>
            <w:tcW w:type="dxa" w:w="2016"/>
          </w:tcPr>
          <w:p>
            <w:pPr>
              <w:spacing w:after="20" w:before="20"/>
            </w:pPr>
            <w:r/>
            <w:r>
              <w:rPr>
                <w:sz w:val="18"/>
              </w:rPr>
            </w:r>
          </w:p>
        </w:tc>
        <w:tc>
          <w:tcPr>
            <w:tcW w:type="dxa" w:w="2016"/>
          </w:tcPr>
          <w:p>
            <w:pPr>
              <w:spacing w:after="20" w:before="20"/>
            </w:pPr>
            <w:r/>
            <w:r>
              <w:rPr>
                <w:sz w:val="18"/>
              </w:rPr>
            </w:r>
          </w:p>
        </w:tc>
        <w:tc>
          <w:tcPr>
            <w:tcW w:type="dxa" w:w="1728"/>
          </w:tcPr>
          <w:p>
            <w:pPr>
              <w:spacing w:after="20" w:before="20"/>
            </w:pPr>
            <w:r/>
            <w:r>
              <w:rPr>
                <w:sz w:val="18"/>
              </w:rPr>
              <w:t>0.859</w:t>
            </w:r>
          </w:p>
        </w:tc>
        <w:tc>
          <w:tcPr>
            <w:tcW w:type="dxa" w:w="1584"/>
          </w:tcPr>
          <w:p>
            <w:pPr>
              <w:spacing w:after="20" w:before="20"/>
            </w:pPr>
            <w:r/>
            <w:r>
              <w:rPr>
                <w:sz w:val="18"/>
              </w:rPr>
              <w:t>1,909</w:t>
            </w:r>
          </w:p>
        </w:tc>
      </w:tr>
    </w:tbl>
    <w:p>
      <w:pPr>
        <w:spacing w:after="40"/>
      </w:pPr>
    </w:p>
    <w:p>
      <w:pPr>
        <w:spacing w:after="80" w:before="0"/>
      </w:pPr>
      <w:r>
        <w:rPr>
          <w:b w:val="0"/>
          <w:i w:val="0"/>
          <w:sz w:val="22"/>
        </w:rPr>
        <w:t>Recall reads directly in context: the model recovers 92.5% of Neutral tweets, 79.0% of Bullish, but only 66.7% of Bearish — the rarest class is the hardest to catch, and the third of missed Bearish tweets are overwhelmingly labelled Neutral rather than Bullish (see error analysis below). Per-class recall, precision and F1 for every one of the 11 models tested are tabulated in Appendix A.</w:t>
      </w:r>
    </w:p>
    <w:p>
      <w:pPr>
        <w:pStyle w:val="Heading2"/>
      </w:pPr>
      <w:r>
        <w:t>6.2 Error analysis of the submitted model</w:t>
      </w:r>
    </w:p>
    <w:p>
      <w:pPr>
        <w:spacing w:after="80" w:before="0"/>
      </w:pPr>
      <w:r>
        <w:rPr>
          <w:b w:val="0"/>
          <w:i w:val="0"/>
          <w:sz w:val="22"/>
        </w:rPr>
        <w:t>Of the 1,909 validation tweets the submitted concat ensemble misses 270 (14%), and the mistakes are almost entirely about the Neutral boundary. Directional → Neutral dominates (Bearish → Neutral 71, Bullish → Neutral 67 = 138), Neutral → directional is next (93 total), and cross-directional Bull ↔ Bear confusions are rare (39). The model is conservative: it labels factual-sounding headlines Neutral even when they imply direction (e.g. "HollyFrontier OKs new $1 billion stock buyback..." → Neutral), and it almost never flips bullish ↔ bearish. The genuinely ambiguous Neutral class — arguably the hardest, most subjective boundary in financial-news sentiment — is the main reason ~14% of headlines remain misclassified.</w:t>
      </w:r>
    </w:p>
    <w:p>
      <w:pPr>
        <w:spacing w:before="80" w:after="20"/>
        <w:jc w:val="center"/>
      </w:pPr>
      <w:r>
        <w:drawing>
          <wp:inline xmlns:a="http://schemas.openxmlformats.org/drawingml/2006/main" xmlns:pic="http://schemas.openxmlformats.org/drawingml/2006/picture">
            <wp:extent cx="3017520" cy="2308222"/>
            <wp:docPr id="5" name="Picture 5"/>
            <wp:cNvGraphicFramePr>
              <a:graphicFrameLocks noChangeAspect="1"/>
            </wp:cNvGraphicFramePr>
            <a:graphic>
              <a:graphicData uri="http://schemas.openxmlformats.org/drawingml/2006/picture">
                <pic:pic>
                  <pic:nvPicPr>
                    <pic:cNvPr id="0" name="cell89_0.png"/>
                    <pic:cNvPicPr/>
                  </pic:nvPicPr>
                  <pic:blipFill>
                    <a:blip r:embed="rId13"/>
                    <a:stretch>
                      <a:fillRect/>
                    </a:stretch>
                  </pic:blipFill>
                  <pic:spPr>
                    <a:xfrm>
                      <a:off x="0" y="0"/>
                      <a:ext cx="3017520" cy="2308222"/>
                    </a:xfrm>
                    <a:prstGeom prst="rect"/>
                  </pic:spPr>
                </pic:pic>
              </a:graphicData>
            </a:graphic>
          </wp:inline>
        </w:drawing>
      </w:r>
    </w:p>
    <w:p>
      <w:pPr>
        <w:spacing w:after="120"/>
        <w:jc w:val="center"/>
      </w:pPr>
      <w:r>
        <w:rPr>
          <w:i/>
          <w:color w:val="555555"/>
          <w:sz w:val="17"/>
        </w:rPr>
        <w:t>Figure 5. Confusion matrix of the submitted model on the 1,909-tweet validation set.</w:t>
      </w:r>
    </w:p>
    <w:p>
      <w:pPr>
        <w:pStyle w:val="Heading2"/>
      </w:pPr>
      <w:r>
        <w:t>6.3 What the evaluation means</w:t>
      </w:r>
    </w:p>
    <w:p>
      <w:pPr>
        <w:spacing w:after="80" w:before="0"/>
      </w:pPr>
      <w:r>
        <w:rPr>
          <w:b w:val="0"/>
          <w:i w:val="0"/>
          <w:sz w:val="22"/>
        </w:rPr>
        <w:t>Imbalance handling was decisive. Choosing macro-F1 as the headline metric, stratifying the split and CV, and class-weighting took Bearish F1 from 0.00 under the always-Neutral baseline to 0.74 in the best model, and no model collapsed to the majority class once weighting or a nonlinear head was in play (the concat ensemble reaches Bearish 0.73, Bullish 0.78, Neutral 0.91). For an investor reading these tweets, that means the system is genuinely usable on the directional classes that carry trading signal, not just on the easy Neutral majority.</w:t>
      </w:r>
    </w:p>
    <w:p>
      <w:pPr>
        <w:pStyle w:val="Heading1"/>
      </w:pPr>
      <w:r>
        <w:t>7. Extra Work (declared)</w:t>
      </w:r>
    </w:p>
    <w:p>
      <w:pPr>
        <w:pStyle w:val="Heading2"/>
      </w:pPr>
      <w:r>
        <w:t>7.1 Extra feature-engineering and decoder-for-classification methods</w:t>
      </w:r>
    </w:p>
    <w:p>
      <w:pPr>
        <w:spacing w:after="80" w:before="0"/>
      </w:pPr>
      <w:r>
        <w:rPr>
          <w:b w:val="0"/>
          <w:i w:val="0"/>
          <w:sz w:val="22"/>
        </w:rPr>
        <w:t>Three items count as declared extra work under the handout's feature-engineering and decoder provisions: (i) two domain-specialised Transformer encoders (FinBERT, twitter-roberta) beyond the in-class DistilBERT; (ii) mean-pooling as an alternative to CLS pooling for every encoder; and (iii) turning a generative decoder into a classifier. For the decoder we ran a non-instruction-tuned GPT-2 and a local instruct model (Ollama llama3.2:3b) side by side on the same 300-tweet validation sample, using an output indicator ("reply with ONLY 0/1/2") and in-context learning (zero-/one-/few-shot).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032"/>
            <w:shd w:val="clear" w:fill="1F3B63"/>
          </w:tcPr>
          <w:p>
            <w:pPr>
              <w:spacing w:after="20" w:before="20"/>
            </w:pPr>
            <w:r/>
            <w:r>
              <w:rPr>
                <w:b/>
                <w:color w:val="FFFFFF"/>
                <w:sz w:val="18"/>
              </w:rPr>
              <w:t>Backend</w:t>
            </w:r>
          </w:p>
        </w:tc>
        <w:tc>
          <w:tcPr>
            <w:tcW w:type="dxa" w:w="1872"/>
            <w:shd w:val="clear" w:fill="1F3B63"/>
          </w:tcPr>
          <w:p>
            <w:pPr>
              <w:spacing w:after="20" w:before="20"/>
            </w:pPr>
            <w:r/>
            <w:r>
              <w:rPr>
                <w:b/>
                <w:color w:val="FFFFFF"/>
                <w:sz w:val="18"/>
              </w:rPr>
              <w:t>Zero-shot</w:t>
            </w:r>
          </w:p>
        </w:tc>
        <w:tc>
          <w:tcPr>
            <w:tcW w:type="dxa" w:w="1728"/>
            <w:shd w:val="clear" w:fill="1F3B63"/>
          </w:tcPr>
          <w:p>
            <w:pPr>
              <w:spacing w:after="20" w:before="20"/>
            </w:pPr>
            <w:r/>
            <w:r>
              <w:rPr>
                <w:b/>
                <w:color w:val="FFFFFF"/>
                <w:sz w:val="18"/>
              </w:rPr>
              <w:t>One-shot</w:t>
            </w:r>
          </w:p>
        </w:tc>
        <w:tc>
          <w:tcPr>
            <w:tcW w:type="dxa" w:w="1728"/>
            <w:shd w:val="clear" w:fill="1F3B63"/>
          </w:tcPr>
          <w:p>
            <w:pPr>
              <w:spacing w:after="20" w:before="20"/>
            </w:pPr>
            <w:r/>
            <w:r>
              <w:rPr>
                <w:b/>
                <w:color w:val="FFFFFF"/>
                <w:sz w:val="18"/>
              </w:rPr>
              <w:t>Few-shot</w:t>
            </w:r>
          </w:p>
        </w:tc>
        <w:tc>
          <w:tcPr>
            <w:tcW w:type="dxa" w:w="1440"/>
            <w:shd w:val="clear" w:fill="1F3B63"/>
          </w:tcPr>
          <w:p>
            <w:pPr>
              <w:spacing w:after="20" w:before="20"/>
            </w:pPr>
            <w:r/>
            <w:r>
              <w:rPr>
                <w:b/>
                <w:color w:val="FFFFFF"/>
                <w:sz w:val="18"/>
              </w:rPr>
              <w:t>Best</w:t>
            </w:r>
          </w:p>
        </w:tc>
      </w:tr>
      <w:tr>
        <w:tc>
          <w:tcPr>
            <w:tcW w:type="dxa" w:w="4032"/>
          </w:tcPr>
          <w:p>
            <w:pPr>
              <w:spacing w:after="20" w:before="20"/>
            </w:pPr>
            <w:r/>
            <w:r>
              <w:rPr>
                <w:b/>
                <w:sz w:val="18"/>
              </w:rPr>
              <w:t>GPT-2 (base, non-instruct)</w:t>
            </w:r>
          </w:p>
        </w:tc>
        <w:tc>
          <w:tcPr>
            <w:tcW w:type="dxa" w:w="1872"/>
          </w:tcPr>
          <w:p>
            <w:pPr>
              <w:spacing w:after="20" w:before="20"/>
            </w:pPr>
            <w:r/>
            <w:r>
              <w:rPr>
                <w:sz w:val="18"/>
              </w:rPr>
              <w:t>0.247</w:t>
            </w:r>
          </w:p>
        </w:tc>
        <w:tc>
          <w:tcPr>
            <w:tcW w:type="dxa" w:w="1728"/>
          </w:tcPr>
          <w:p>
            <w:pPr>
              <w:spacing w:after="20" w:before="20"/>
            </w:pPr>
            <w:r/>
            <w:r>
              <w:rPr>
                <w:sz w:val="18"/>
              </w:rPr>
              <w:t>0.112</w:t>
            </w:r>
          </w:p>
        </w:tc>
        <w:tc>
          <w:tcPr>
            <w:tcW w:type="dxa" w:w="1728"/>
          </w:tcPr>
          <w:p>
            <w:pPr>
              <w:spacing w:after="20" w:before="20"/>
            </w:pPr>
            <w:r/>
            <w:r>
              <w:rPr>
                <w:sz w:val="18"/>
              </w:rPr>
              <w:t>0.221</w:t>
            </w:r>
          </w:p>
        </w:tc>
        <w:tc>
          <w:tcPr>
            <w:tcW w:type="dxa" w:w="1440"/>
          </w:tcPr>
          <w:p>
            <w:pPr>
              <w:spacing w:after="20" w:before="20"/>
            </w:pPr>
            <w:r/>
            <w:r>
              <w:rPr>
                <w:sz w:val="18"/>
              </w:rPr>
              <w:t>0.247</w:t>
            </w:r>
          </w:p>
        </w:tc>
      </w:tr>
      <w:tr>
        <w:tc>
          <w:tcPr>
            <w:tcW w:type="dxa" w:w="4032"/>
            <w:shd w:val="clear" w:fill="EEF2F7"/>
          </w:tcPr>
          <w:p>
            <w:pPr>
              <w:spacing w:after="20" w:before="20"/>
            </w:pPr>
            <w:r/>
            <w:r>
              <w:rPr>
                <w:b/>
                <w:sz w:val="18"/>
              </w:rPr>
              <w:t>Ollama llama3.2:3b (instruct)</w:t>
            </w:r>
          </w:p>
        </w:tc>
        <w:tc>
          <w:tcPr>
            <w:tcW w:type="dxa" w:w="1872"/>
            <w:shd w:val="clear" w:fill="EEF2F7"/>
          </w:tcPr>
          <w:p>
            <w:pPr>
              <w:spacing w:after="20" w:before="20"/>
            </w:pPr>
            <w:r/>
            <w:r>
              <w:rPr>
                <w:sz w:val="18"/>
              </w:rPr>
              <w:t>0.446</w:t>
            </w:r>
          </w:p>
        </w:tc>
        <w:tc>
          <w:tcPr>
            <w:tcW w:type="dxa" w:w="1728"/>
            <w:shd w:val="clear" w:fill="EEF2F7"/>
          </w:tcPr>
          <w:p>
            <w:pPr>
              <w:spacing w:after="20" w:before="20"/>
            </w:pPr>
            <w:r/>
            <w:r>
              <w:rPr>
                <w:sz w:val="18"/>
              </w:rPr>
              <w:t>0.271</w:t>
            </w:r>
          </w:p>
        </w:tc>
        <w:tc>
          <w:tcPr>
            <w:tcW w:type="dxa" w:w="1728"/>
            <w:shd w:val="clear" w:fill="EEF2F7"/>
          </w:tcPr>
          <w:p>
            <w:pPr>
              <w:spacing w:after="20" w:before="20"/>
            </w:pPr>
            <w:r/>
            <w:r>
              <w:rPr>
                <w:sz w:val="18"/>
              </w:rPr>
              <w:t>0.359</w:t>
            </w:r>
          </w:p>
        </w:tc>
        <w:tc>
          <w:tcPr>
            <w:tcW w:type="dxa" w:w="1440"/>
            <w:shd w:val="clear" w:fill="EEF2F7"/>
          </w:tcPr>
          <w:p>
            <w:pPr>
              <w:spacing w:after="20" w:before="20"/>
            </w:pPr>
            <w:r/>
            <w:r>
              <w:rPr>
                <w:sz w:val="18"/>
              </w:rPr>
              <w:t>0.446</w:t>
            </w:r>
          </w:p>
        </w:tc>
      </w:tr>
      <w:tr>
        <w:tc>
          <w:tcPr>
            <w:tcW w:type="dxa" w:w="4032"/>
          </w:tcPr>
          <w:p>
            <w:pPr>
              <w:spacing w:after="20" w:before="20"/>
            </w:pPr>
            <w:r/>
            <w:r>
              <w:rPr>
                <w:b/>
                <w:sz w:val="18"/>
              </w:rPr>
              <w:t>Majority-class baseline</w:t>
            </w:r>
          </w:p>
        </w:tc>
        <w:tc>
          <w:tcPr>
            <w:tcW w:type="dxa" w:w="1872"/>
          </w:tcPr>
          <w:p>
            <w:pPr>
              <w:spacing w:after="20" w:before="20"/>
            </w:pPr>
            <w:r/>
            <w:r>
              <w:rPr>
                <w:sz w:val="18"/>
              </w:rPr>
              <w:t>0.262</w:t>
            </w:r>
          </w:p>
        </w:tc>
        <w:tc>
          <w:tcPr>
            <w:tcW w:type="dxa" w:w="1728"/>
          </w:tcPr>
          <w:p>
            <w:pPr>
              <w:spacing w:after="20" w:before="20"/>
            </w:pPr>
            <w:r/>
            <w:r>
              <w:rPr>
                <w:sz w:val="18"/>
              </w:rPr>
              <w:t>-</w:t>
            </w:r>
          </w:p>
        </w:tc>
        <w:tc>
          <w:tcPr>
            <w:tcW w:type="dxa" w:w="1728"/>
          </w:tcPr>
          <w:p>
            <w:pPr>
              <w:spacing w:after="20" w:before="20"/>
            </w:pPr>
            <w:r/>
            <w:r>
              <w:rPr>
                <w:sz w:val="18"/>
              </w:rPr>
              <w:t>-</w:t>
            </w:r>
          </w:p>
        </w:tc>
        <w:tc>
          <w:tcPr>
            <w:tcW w:type="dxa" w:w="1440"/>
          </w:tcPr>
          <w:p>
            <w:pPr>
              <w:spacing w:after="20" w:before="20"/>
            </w:pPr>
            <w:r/>
            <w:r>
              <w:rPr>
                <w:sz w:val="18"/>
              </w:rPr>
              <w:t>0.262</w:t>
            </w:r>
          </w:p>
        </w:tc>
      </w:tr>
      <w:tr>
        <w:tc>
          <w:tcPr>
            <w:tcW w:type="dxa" w:w="4032"/>
            <w:shd w:val="clear" w:fill="EEF2F7"/>
          </w:tcPr>
          <w:p>
            <w:pPr>
              <w:spacing w:after="20" w:before="20"/>
            </w:pPr>
            <w:r/>
            <w:r>
              <w:rPr>
                <w:b/>
                <w:sz w:val="18"/>
              </w:rPr>
              <w:t>Best encoder (Section 6)</w:t>
            </w:r>
          </w:p>
        </w:tc>
        <w:tc>
          <w:tcPr>
            <w:tcW w:type="dxa" w:w="1872"/>
            <w:shd w:val="clear" w:fill="EEF2F7"/>
          </w:tcPr>
          <w:p>
            <w:pPr>
              <w:spacing w:after="20" w:before="20"/>
            </w:pPr>
            <w:r/>
            <w:r>
              <w:rPr>
                <w:sz w:val="18"/>
              </w:rPr>
              <w:t>-</w:t>
            </w:r>
          </w:p>
        </w:tc>
        <w:tc>
          <w:tcPr>
            <w:tcW w:type="dxa" w:w="1728"/>
            <w:shd w:val="clear" w:fill="EEF2F7"/>
          </w:tcPr>
          <w:p>
            <w:pPr>
              <w:spacing w:after="20" w:before="20"/>
            </w:pPr>
            <w:r/>
            <w:r>
              <w:rPr>
                <w:sz w:val="18"/>
              </w:rPr>
              <w:t>-</w:t>
            </w:r>
          </w:p>
        </w:tc>
        <w:tc>
          <w:tcPr>
            <w:tcW w:type="dxa" w:w="1728"/>
            <w:shd w:val="clear" w:fill="EEF2F7"/>
          </w:tcPr>
          <w:p>
            <w:pPr>
              <w:spacing w:after="20" w:before="20"/>
            </w:pPr>
            <w:r/>
            <w:r>
              <w:rPr>
                <w:sz w:val="18"/>
              </w:rPr>
              <w:t>-</w:t>
            </w:r>
          </w:p>
        </w:tc>
        <w:tc>
          <w:tcPr>
            <w:tcW w:type="dxa" w:w="1440"/>
            <w:shd w:val="clear" w:fill="EEF2F7"/>
          </w:tcPr>
          <w:p>
            <w:pPr>
              <w:spacing w:after="20" w:before="20"/>
            </w:pPr>
            <w:r/>
            <w:r>
              <w:rPr>
                <w:sz w:val="18"/>
              </w:rPr>
              <w:t>0.811</w:t>
            </w:r>
          </w:p>
        </w:tc>
      </w:tr>
    </w:tbl>
    <w:p>
      <w:pPr>
        <w:spacing w:after="40"/>
      </w:pPr>
    </w:p>
    <w:p>
      <w:pPr>
        <w:spacing w:after="80" w:before="0"/>
      </w:pPr>
      <w:r>
        <w:rPr>
          <w:b w:val="0"/>
          <w:i w:val="0"/>
          <w:sz w:val="22"/>
        </w:rPr>
        <w:t>Four findings emerge. Instruction-tuning is the decisive factor (+0.20 zero-shot macro-F1): given an identical prompt, only the instruct model reliably emits a valid 0/1/2, while GPT-2 — pretrained purely to continue text — stays at or below the 0.262 baseline in every mode. One-shot actually hurt the instruct model (0.271 &lt; 0.446): a single Bearish example destabilised it into predicting Neutral for all 300 samples, a well-known in-context instability for small models. Few-shot partially recovered it (0.359), but Bearish, the rarest class, was never predicted by either model in any mode. And even the instruct model's best (0.446) trails the fine-tuned encoder (0.811) by ~45% relative — generating a label from a language prior is structurally weaker than discriminative features optimised directly on the task. For short, lexicon-driven financial tweets, encoders are the right tool and the decoder is an instructive baseline.</w:t>
      </w:r>
    </w:p>
    <w:p>
      <w:pPr>
        <w:pStyle w:val="Heading2"/>
      </w:pPr>
      <w:r>
        <w:t>7.2 Agentic orchestration of the pipeline (Challenge 2)</w:t>
      </w:r>
    </w:p>
    <w:p>
      <w:pPr>
        <w:spacing w:after="80" w:before="0"/>
      </w:pPr>
      <w:r>
        <w:rPr>
          <w:b w:val="0"/>
          <w:i w:val="0"/>
          <w:sz w:val="22"/>
        </w:rPr>
        <w:t>We wrapped the trained classifiers as tools and built a conversational agent that performs non-trivial coordination rather than a single direct LLM classification. It routes by confidence — returning the fast TF-IDF + LogReg prediction when its top probability is ≥ 0.60, otherwise escalating to the twitter-roberta + LogReg model — reconciles agreement and disagreement by handing genuine fast-vs-deep conflicts to a GPT-2 adjudicator, exposes an automated-evaluation intent, and replies through a chat loop with a full decision trace. A LangChain Tool/agent wrapper is also provided to meet the framework requirement, while the primary implementation is explicit orchestration because small CPU models are unreliable as fully autonomous ReAct agents. On demo tweets the routing behaves sensibly, confidently answering clear Bullish/Bearish/Neutral cases and the auto-eval intent reports macro-F1 0.814 on a 100-tweet subsample. We are honest about the limit: that 0.814 is a small-sample number and not comparable to the full-validation scores; the agent's wrapped classifiers (0.709 and 0.751) are each weaker than the concat ensemble (0.808), so orchestration delivers no macro-F1 gain over the best single model. Its value is the workflow — a usable conversational interface, confidence-based triage, disagreement reconciliation and automated evaluation.</w:t>
      </w:r>
    </w:p>
    <w:p>
      <w:pPr>
        <w:pStyle w:val="Heading1"/>
      </w:pPr>
      <w:r>
        <w:t>8. Conclusions and Final Model</w:t>
      </w:r>
    </w:p>
    <w:p>
      <w:pPr>
        <w:spacing w:after="80" w:before="0"/>
      </w:pPr>
      <w:r>
        <w:rPr>
          <w:b w:val="0"/>
          <w:i w:val="0"/>
          <w:sz w:val="22"/>
        </w:rPr>
        <w:t>The clearest lesson from our experiments concerns the reader rather than the decider — the encoder that turns a tweet into numbers, not the classifier that labels them. Financial tweets are full of specialised language, from cashtags such as $AAPL to percentage moves and phrases like 'downgraded' or 'beats estimates', and a general-purpose reader simply misses it. Our results form a short ladder. A general reader with no financial knowledge (frozen DistilBERT) paired with a simple decider scores 0.697. Switching to a reader already trained on finance and tweets (twitter-roberta) is the single largest step, lifting the score to 0.751. A stronger decider — an MLP in place of logistic regression — raises it to 0.784, and combining our two finance readers takes it to 0.808. A separate route, fine-tuning the general reader on our own data, reaches 0.811, essentially the same level. Both paths that make the reader finance-aware converge near 0.81, and once that point is reached the decider and the remaining refinements matter only at the margin. Because the gains shrink at every step (+0.05, then +0.03, then +0.02), we submit the lighter, cache-friendly pair of frozen finance readers rather than the heavier fine-tuned model.</w:t>
      </w:r>
    </w:p>
    <w:p>
      <w:pPr>
        <w:spacing w:after="60" w:before="0"/>
      </w:pPr>
      <w:r>
        <w:rPr>
          <w:b w:val="0"/>
          <w:i w:val="0"/>
          <w:sz w:val="22"/>
        </w:rPr>
        <w:t>The same ladder, with the plain description and the exact models used at each step:</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648"/>
            <w:shd w:val="clear" w:fill="1F3B63"/>
          </w:tcPr>
          <w:p>
            <w:pPr>
              <w:spacing w:after="20" w:before="20"/>
            </w:pPr>
            <w:r/>
            <w:r>
              <w:rPr>
                <w:b/>
                <w:color w:val="FFFFFF"/>
                <w:sz w:val="16"/>
              </w:rPr>
              <w:t>Step</w:t>
            </w:r>
          </w:p>
        </w:tc>
        <w:tc>
          <w:tcPr>
            <w:tcW w:type="dxa" w:w="2664"/>
            <w:shd w:val="clear" w:fill="1F3B63"/>
          </w:tcPr>
          <w:p>
            <w:pPr>
              <w:spacing w:after="20" w:before="20"/>
            </w:pPr>
            <w:r/>
            <w:r>
              <w:rPr>
                <w:b/>
                <w:color w:val="FFFFFF"/>
                <w:sz w:val="16"/>
              </w:rPr>
              <w:t>What we changed</w:t>
            </w:r>
          </w:p>
        </w:tc>
        <w:tc>
          <w:tcPr>
            <w:tcW w:type="dxa" w:w="2664"/>
            <w:shd w:val="clear" w:fill="1F3B63"/>
          </w:tcPr>
          <w:p>
            <w:pPr>
              <w:spacing w:after="20" w:before="20"/>
            </w:pPr>
            <w:r/>
            <w:r>
              <w:rPr>
                <w:b/>
                <w:color w:val="FFFFFF"/>
                <w:sz w:val="16"/>
              </w:rPr>
              <w:t>Reader (encoder)</w:t>
            </w:r>
          </w:p>
        </w:tc>
        <w:tc>
          <w:tcPr>
            <w:tcW w:type="dxa" w:w="1944"/>
            <w:shd w:val="clear" w:fill="1F3B63"/>
          </w:tcPr>
          <w:p>
            <w:pPr>
              <w:spacing w:after="20" w:before="20"/>
            </w:pPr>
            <w:r/>
            <w:r>
              <w:rPr>
                <w:b/>
                <w:color w:val="FFFFFF"/>
                <w:sz w:val="16"/>
              </w:rPr>
              <w:t>Decider (classifier)</w:t>
            </w:r>
          </w:p>
        </w:tc>
        <w:tc>
          <w:tcPr>
            <w:tcW w:type="dxa" w:w="864"/>
            <w:shd w:val="clear" w:fill="1F3B63"/>
          </w:tcPr>
          <w:p>
            <w:pPr>
              <w:spacing w:after="20" w:before="20"/>
            </w:pPr>
            <w:r/>
            <w:r>
              <w:rPr>
                <w:b/>
                <w:color w:val="FFFFFF"/>
                <w:sz w:val="16"/>
              </w:rPr>
              <w:t>Macro-F1</w:t>
            </w:r>
          </w:p>
        </w:tc>
        <w:tc>
          <w:tcPr>
            <w:tcW w:type="dxa" w:w="792"/>
            <w:shd w:val="clear" w:fill="1F3B63"/>
          </w:tcPr>
          <w:p>
            <w:pPr>
              <w:spacing w:after="20" w:before="20"/>
            </w:pPr>
            <w:r/>
            <w:r>
              <w:rPr>
                <w:b/>
                <w:color w:val="FFFFFF"/>
                <w:sz w:val="16"/>
              </w:rPr>
              <w:t>Gain</w:t>
            </w:r>
          </w:p>
        </w:tc>
      </w:tr>
      <w:tr>
        <w:tc>
          <w:tcPr>
            <w:tcW w:type="dxa" w:w="648"/>
          </w:tcPr>
          <w:p>
            <w:pPr>
              <w:spacing w:after="20" w:before="20"/>
            </w:pPr>
            <w:r/>
            <w:r>
              <w:rPr>
                <w:b/>
                <w:sz w:val="16"/>
              </w:rPr>
              <w:t>Start</w:t>
            </w:r>
          </w:p>
        </w:tc>
        <w:tc>
          <w:tcPr>
            <w:tcW w:type="dxa" w:w="2664"/>
          </w:tcPr>
          <w:p>
            <w:pPr>
              <w:spacing w:after="20" w:before="20"/>
            </w:pPr>
            <w:r/>
            <w:r>
              <w:rPr>
                <w:sz w:val="16"/>
              </w:rPr>
              <w:t>plain reader, no finance + simple decider</w:t>
            </w:r>
          </w:p>
        </w:tc>
        <w:tc>
          <w:tcPr>
            <w:tcW w:type="dxa" w:w="2664"/>
          </w:tcPr>
          <w:p>
            <w:pPr>
              <w:spacing w:after="20" w:before="20"/>
            </w:pPr>
            <w:r/>
            <w:r>
              <w:rPr>
                <w:sz w:val="16"/>
              </w:rPr>
              <w:t>DistilBERT – frozen, general-purpose</w:t>
            </w:r>
          </w:p>
        </w:tc>
        <w:tc>
          <w:tcPr>
            <w:tcW w:type="dxa" w:w="1944"/>
          </w:tcPr>
          <w:p>
            <w:pPr>
              <w:spacing w:after="20" w:before="20"/>
            </w:pPr>
            <w:r/>
            <w:r>
              <w:rPr>
                <w:sz w:val="16"/>
              </w:rPr>
              <w:t>Logistic Regression</w:t>
            </w:r>
          </w:p>
        </w:tc>
        <w:tc>
          <w:tcPr>
            <w:tcW w:type="dxa" w:w="864"/>
          </w:tcPr>
          <w:p>
            <w:pPr>
              <w:spacing w:after="20" w:before="20"/>
            </w:pPr>
            <w:r/>
            <w:r>
              <w:rPr>
                <w:sz w:val="16"/>
              </w:rPr>
              <w:t>0.697</w:t>
            </w:r>
          </w:p>
        </w:tc>
        <w:tc>
          <w:tcPr>
            <w:tcW w:type="dxa" w:w="792"/>
          </w:tcPr>
          <w:p>
            <w:pPr>
              <w:spacing w:after="20" w:before="20"/>
            </w:pPr>
            <w:r/>
            <w:r>
              <w:rPr>
                <w:sz w:val="16"/>
              </w:rPr>
              <w:t>—</w:t>
            </w:r>
          </w:p>
        </w:tc>
      </w:tr>
      <w:tr>
        <w:tc>
          <w:tcPr>
            <w:tcW w:type="dxa" w:w="648"/>
            <w:shd w:val="clear" w:fill="EEF2F7"/>
          </w:tcPr>
          <w:p>
            <w:pPr>
              <w:spacing w:after="20" w:before="20"/>
            </w:pPr>
            <w:r/>
            <w:r>
              <w:rPr>
                <w:b/>
                <w:sz w:val="16"/>
              </w:rPr>
              <w:t>1</w:t>
            </w:r>
          </w:p>
        </w:tc>
        <w:tc>
          <w:tcPr>
            <w:tcW w:type="dxa" w:w="2664"/>
            <w:shd w:val="clear" w:fill="EEF2F7"/>
          </w:tcPr>
          <w:p>
            <w:pPr>
              <w:spacing w:after="20" w:before="20"/>
            </w:pPr>
            <w:r/>
            <w:r>
              <w:rPr>
                <w:sz w:val="16"/>
              </w:rPr>
              <w:t>swap to a finance-aware reader</w:t>
            </w:r>
          </w:p>
        </w:tc>
        <w:tc>
          <w:tcPr>
            <w:tcW w:type="dxa" w:w="2664"/>
            <w:shd w:val="clear" w:fill="EEF2F7"/>
          </w:tcPr>
          <w:p>
            <w:pPr>
              <w:spacing w:after="20" w:before="20"/>
            </w:pPr>
            <w:r/>
            <w:r>
              <w:rPr>
                <w:sz w:val="16"/>
              </w:rPr>
              <w:t>twitter-roberta – frozen, finance/tweets</w:t>
            </w:r>
          </w:p>
        </w:tc>
        <w:tc>
          <w:tcPr>
            <w:tcW w:type="dxa" w:w="1944"/>
            <w:shd w:val="clear" w:fill="EEF2F7"/>
          </w:tcPr>
          <w:p>
            <w:pPr>
              <w:spacing w:after="20" w:before="20"/>
            </w:pPr>
            <w:r/>
            <w:r>
              <w:rPr>
                <w:sz w:val="16"/>
              </w:rPr>
              <w:t>Logistic Regression</w:t>
            </w:r>
          </w:p>
        </w:tc>
        <w:tc>
          <w:tcPr>
            <w:tcW w:type="dxa" w:w="864"/>
            <w:shd w:val="clear" w:fill="EEF2F7"/>
          </w:tcPr>
          <w:p>
            <w:pPr>
              <w:spacing w:after="20" w:before="20"/>
            </w:pPr>
            <w:r/>
            <w:r>
              <w:rPr>
                <w:sz w:val="16"/>
              </w:rPr>
              <w:t>0.751</w:t>
            </w:r>
          </w:p>
        </w:tc>
        <w:tc>
          <w:tcPr>
            <w:tcW w:type="dxa" w:w="792"/>
            <w:shd w:val="clear" w:fill="EEF2F7"/>
          </w:tcPr>
          <w:p>
            <w:pPr>
              <w:spacing w:after="20" w:before="20"/>
            </w:pPr>
            <w:r/>
            <w:r>
              <w:rPr>
                <w:sz w:val="16"/>
              </w:rPr>
              <w:t>+0.05</w:t>
            </w:r>
          </w:p>
        </w:tc>
      </w:tr>
      <w:tr>
        <w:tc>
          <w:tcPr>
            <w:tcW w:type="dxa" w:w="648"/>
          </w:tcPr>
          <w:p>
            <w:pPr>
              <w:spacing w:after="20" w:before="20"/>
            </w:pPr>
            <w:r/>
            <w:r>
              <w:rPr>
                <w:b/>
                <w:sz w:val="16"/>
              </w:rPr>
              <w:t>2</w:t>
            </w:r>
          </w:p>
        </w:tc>
        <w:tc>
          <w:tcPr>
            <w:tcW w:type="dxa" w:w="2664"/>
          </w:tcPr>
          <w:p>
            <w:pPr>
              <w:spacing w:after="20" w:before="20"/>
            </w:pPr>
            <w:r/>
            <w:r>
              <w:rPr>
                <w:sz w:val="16"/>
              </w:rPr>
              <w:t>give it a smarter decider</w:t>
            </w:r>
          </w:p>
        </w:tc>
        <w:tc>
          <w:tcPr>
            <w:tcW w:type="dxa" w:w="2664"/>
          </w:tcPr>
          <w:p>
            <w:pPr>
              <w:spacing w:after="20" w:before="20"/>
            </w:pPr>
            <w:r/>
            <w:r>
              <w:rPr>
                <w:sz w:val="16"/>
              </w:rPr>
              <w:t>twitter-roberta – frozen</w:t>
            </w:r>
          </w:p>
        </w:tc>
        <w:tc>
          <w:tcPr>
            <w:tcW w:type="dxa" w:w="1944"/>
          </w:tcPr>
          <w:p>
            <w:pPr>
              <w:spacing w:after="20" w:before="20"/>
            </w:pPr>
            <w:r/>
            <w:r>
              <w:rPr>
                <w:sz w:val="16"/>
              </w:rPr>
              <w:t>MLP (256, 128)</w:t>
            </w:r>
          </w:p>
        </w:tc>
        <w:tc>
          <w:tcPr>
            <w:tcW w:type="dxa" w:w="864"/>
          </w:tcPr>
          <w:p>
            <w:pPr>
              <w:spacing w:after="20" w:before="20"/>
            </w:pPr>
            <w:r/>
            <w:r>
              <w:rPr>
                <w:sz w:val="16"/>
              </w:rPr>
              <w:t>0.784</w:t>
            </w:r>
          </w:p>
        </w:tc>
        <w:tc>
          <w:tcPr>
            <w:tcW w:type="dxa" w:w="792"/>
          </w:tcPr>
          <w:p>
            <w:pPr>
              <w:spacing w:after="20" w:before="20"/>
            </w:pPr>
            <w:r/>
            <w:r>
              <w:rPr>
                <w:sz w:val="16"/>
              </w:rPr>
              <w:t>+0.03</w:t>
            </w:r>
          </w:p>
        </w:tc>
      </w:tr>
      <w:tr>
        <w:tc>
          <w:tcPr>
            <w:tcW w:type="dxa" w:w="648"/>
            <w:shd w:val="clear" w:fill="EEF2F7"/>
          </w:tcPr>
          <w:p>
            <w:pPr>
              <w:spacing w:after="20" w:before="20"/>
            </w:pPr>
            <w:r/>
            <w:r>
              <w:rPr>
                <w:b/>
                <w:sz w:val="16"/>
              </w:rPr>
              <w:t>3</w:t>
            </w:r>
          </w:p>
        </w:tc>
        <w:tc>
          <w:tcPr>
            <w:tcW w:type="dxa" w:w="2664"/>
            <w:shd w:val="clear" w:fill="EEF2F7"/>
          </w:tcPr>
          <w:p>
            <w:pPr>
              <w:spacing w:after="20" w:before="20"/>
            </w:pPr>
            <w:r/>
            <w:r>
              <w:rPr>
                <w:sz w:val="16"/>
              </w:rPr>
              <w:t>combine two finance readers (submitted)</w:t>
            </w:r>
          </w:p>
        </w:tc>
        <w:tc>
          <w:tcPr>
            <w:tcW w:type="dxa" w:w="2664"/>
            <w:shd w:val="clear" w:fill="EEF2F7"/>
          </w:tcPr>
          <w:p>
            <w:pPr>
              <w:spacing w:after="20" w:before="20"/>
            </w:pPr>
            <w:r/>
            <w:r>
              <w:rPr>
                <w:sz w:val="16"/>
              </w:rPr>
              <w:t>FinBERT + twitter-roberta – frozen, combined</w:t>
            </w:r>
          </w:p>
        </w:tc>
        <w:tc>
          <w:tcPr>
            <w:tcW w:type="dxa" w:w="1944"/>
            <w:shd w:val="clear" w:fill="EEF2F7"/>
          </w:tcPr>
          <w:p>
            <w:pPr>
              <w:spacing w:after="20" w:before="20"/>
            </w:pPr>
            <w:r/>
            <w:r>
              <w:rPr>
                <w:sz w:val="16"/>
              </w:rPr>
              <w:t>MLP (256, 128)</w:t>
            </w:r>
          </w:p>
        </w:tc>
        <w:tc>
          <w:tcPr>
            <w:tcW w:type="dxa" w:w="864"/>
            <w:shd w:val="clear" w:fill="EEF2F7"/>
          </w:tcPr>
          <w:p>
            <w:pPr>
              <w:spacing w:after="20" w:before="20"/>
            </w:pPr>
            <w:r/>
            <w:r>
              <w:rPr>
                <w:sz w:val="16"/>
              </w:rPr>
              <w:t>0.808</w:t>
            </w:r>
          </w:p>
        </w:tc>
        <w:tc>
          <w:tcPr>
            <w:tcW w:type="dxa" w:w="792"/>
            <w:shd w:val="clear" w:fill="EEF2F7"/>
          </w:tcPr>
          <w:p>
            <w:pPr>
              <w:spacing w:after="20" w:before="20"/>
            </w:pPr>
            <w:r/>
            <w:r>
              <w:rPr>
                <w:sz w:val="16"/>
              </w:rPr>
              <w:t>+0.02</w:t>
            </w:r>
          </w:p>
        </w:tc>
      </w:tr>
      <w:tr>
        <w:tc>
          <w:tcPr>
            <w:tcW w:type="dxa" w:w="648"/>
          </w:tcPr>
          <w:p>
            <w:pPr>
              <w:spacing w:after="20" w:before="20"/>
            </w:pPr>
            <w:r/>
            <w:r>
              <w:rPr>
                <w:b/>
                <w:sz w:val="16"/>
              </w:rPr>
              <w:t>Alt</w:t>
            </w:r>
          </w:p>
        </w:tc>
        <w:tc>
          <w:tcPr>
            <w:tcW w:type="dxa" w:w="2664"/>
          </w:tcPr>
          <w:p>
            <w:pPr>
              <w:spacing w:after="20" w:before="20"/>
            </w:pPr>
            <w:r/>
            <w:r>
              <w:rPr>
                <w:sz w:val="16"/>
              </w:rPr>
              <w:t>instead: fine-tune the plain reader</w:t>
            </w:r>
          </w:p>
        </w:tc>
        <w:tc>
          <w:tcPr>
            <w:tcW w:type="dxa" w:w="2664"/>
          </w:tcPr>
          <w:p>
            <w:pPr>
              <w:spacing w:after="20" w:before="20"/>
            </w:pPr>
            <w:r/>
            <w:r>
              <w:rPr>
                <w:sz w:val="16"/>
              </w:rPr>
              <w:t>DistilBERT – fine-tuned end-to-end</w:t>
            </w:r>
          </w:p>
        </w:tc>
        <w:tc>
          <w:tcPr>
            <w:tcW w:type="dxa" w:w="1944"/>
          </w:tcPr>
          <w:p>
            <w:pPr>
              <w:spacing w:after="20" w:before="20"/>
            </w:pPr>
            <w:r/>
            <w:r>
              <w:rPr>
                <w:sz w:val="16"/>
              </w:rPr>
              <w:t>built-in head (end-to-end)</w:t>
            </w:r>
          </w:p>
        </w:tc>
        <w:tc>
          <w:tcPr>
            <w:tcW w:type="dxa" w:w="864"/>
          </w:tcPr>
          <w:p>
            <w:pPr>
              <w:spacing w:after="20" w:before="20"/>
            </w:pPr>
            <w:r/>
            <w:r>
              <w:rPr>
                <w:sz w:val="16"/>
              </w:rPr>
              <w:t>0.811</w:t>
            </w:r>
          </w:p>
        </w:tc>
        <w:tc>
          <w:tcPr>
            <w:tcW w:type="dxa" w:w="792"/>
          </w:tcPr>
          <w:p>
            <w:pPr>
              <w:spacing w:after="20" w:before="20"/>
            </w:pPr>
            <w:r/>
            <w:r>
              <w:rPr>
                <w:sz w:val="16"/>
              </w:rPr>
              <w:t>≈ step 3</w:t>
            </w:r>
          </w:p>
        </w:tc>
      </w:tr>
    </w:tbl>
    <w:p>
      <w:pPr>
        <w:spacing w:after="40"/>
      </w:pPr>
    </w:p>
    <w:p>
      <w:pPr>
        <w:spacing w:after="120" w:before="0"/>
      </w:pPr>
      <w:r>
        <w:rPr>
          <w:b w:val="0"/>
          <w:i/>
          <w:sz w:val="19"/>
        </w:rPr>
        <w:t>Read top to bottom, the score climbs 0.697 → 0.751 → 0.784 → 0.808 as we first give the reader finance knowledge, then a smarter decider, then a second finance reader; the “Alt” row is the separate fine-tuning route, which lands at essentially the same 0.81.</w:t>
      </w:r>
    </w:p>
    <w:p>
      <w:pPr>
        <w:spacing w:after="80"/>
      </w:pPr>
      <w:r>
        <w:rPr>
          <w:b/>
          <w:i w:val="0"/>
          <w:sz w:val="22"/>
        </w:rPr>
        <w:t xml:space="preserve">Submitted model: </w:t>
      </w:r>
      <w:r>
        <w:rPr>
          <w:b w:val="0"/>
          <w:i w:val="0"/>
          <w:sz w:val="22"/>
        </w:rPr>
        <w:t xml:space="preserve">concatenation of FinBERT and twitter-roberta CLS embeddings → MLP(256,128), validation macro-F1 0.808, accuracy 0.859 (Bearish 0.73 / Bullish 0.78 / Neutral 0.91). </w:t>
      </w:r>
    </w:p>
    <w:p>
      <w:pPr>
        <w:spacing w:after="80" w:before="0"/>
      </w:pPr>
      <w:r>
        <w:rPr>
          <w:b w:val="0"/>
          <w:i w:val="0"/>
          <w:sz w:val="22"/>
        </w:rPr>
        <w:t>Fine-tuned DistilBERT scores marginally higher (0.811) but only by +0.003 macro-F1, within noise. We submit the concat ensemble because its frozen embeddings are already cached, it needs no full-model inference at test time, and the margin is negligible. Refitting this pipeline on the full 9,543-tweet training set and predicting the 2,388 blind test tweets yields pred_12.csv (columns exactly id,label, labels in {0,1,2}) with a predicted distribution of Bearish 14.0%, Bullish 18.7%, Neutral 67.3% — close to the training distribution and consistent with the model's mild conservative Neutral bias, with no class collapse. On the blind test we expect performance a little below 0.808, with the same conservative Neutral boundary as the main risk.</w:t>
      </w:r>
    </w:p>
    <w:p>
      <w:r>
        <w:br w:type="page"/>
      </w:r>
    </w:p>
    <w:p>
      <w:pPr>
        <w:pStyle w:val="Heading1"/>
      </w:pPr>
      <w:r>
        <w:t>Appendix A — Full per-class evaluation of all models</w:t>
      </w:r>
    </w:p>
    <w:p>
      <w:pPr>
        <w:spacing w:after="80" w:before="0"/>
      </w:pPr>
      <w:r>
        <w:rPr>
          <w:b w:val="0"/>
          <w:i w:val="0"/>
          <w:sz w:val="22"/>
        </w:rPr>
        <w:t>Per-class Precision, Recall and F1 on the fixed 1,909-tweet validation set (support: Bearish 288, Bullish 385, Neutral 1,236), reproduced from the scikit-learn classification reports printed by the shared evaluate() routine in tm_tests_12.ipynb. Models are ordered by macro-F1. The submitted model is the concatenation ensemble; the fine-tuned encoder is declared extra work.</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600"/>
            <w:shd w:val="clear" w:fill="1F3B63"/>
          </w:tcPr>
          <w:p>
            <w:pPr>
              <w:spacing w:after="20" w:before="20"/>
            </w:pPr>
            <w:r/>
            <w:r>
              <w:rPr>
                <w:b/>
                <w:color w:val="FFFFFF"/>
                <w:sz w:val="16"/>
              </w:rPr>
              <w:t>Model / Feature</w:t>
            </w:r>
          </w:p>
        </w:tc>
        <w:tc>
          <w:tcPr>
            <w:tcW w:type="dxa" w:w="1224"/>
            <w:shd w:val="clear" w:fill="1F3B63"/>
          </w:tcPr>
          <w:p>
            <w:pPr>
              <w:spacing w:after="20" w:before="20"/>
            </w:pPr>
            <w:r/>
            <w:r>
              <w:rPr>
                <w:b/>
                <w:color w:val="FFFFFF"/>
                <w:sz w:val="16"/>
              </w:rPr>
              <w:t>Class</w:t>
            </w:r>
          </w:p>
        </w:tc>
        <w:tc>
          <w:tcPr>
            <w:tcW w:type="dxa" w:w="1224"/>
            <w:shd w:val="clear" w:fill="1F3B63"/>
          </w:tcPr>
          <w:p>
            <w:pPr>
              <w:spacing w:after="20" w:before="20"/>
            </w:pPr>
            <w:r/>
            <w:r>
              <w:rPr>
                <w:b/>
                <w:color w:val="FFFFFF"/>
                <w:sz w:val="16"/>
              </w:rPr>
              <w:t>Precision</w:t>
            </w:r>
          </w:p>
        </w:tc>
        <w:tc>
          <w:tcPr>
            <w:tcW w:type="dxa" w:w="1152"/>
            <w:shd w:val="clear" w:fill="1F3B63"/>
          </w:tcPr>
          <w:p>
            <w:pPr>
              <w:spacing w:after="20" w:before="20"/>
            </w:pPr>
            <w:r/>
            <w:r>
              <w:rPr>
                <w:b/>
                <w:color w:val="FFFFFF"/>
                <w:sz w:val="16"/>
              </w:rPr>
              <w:t>Recall</w:t>
            </w:r>
          </w:p>
        </w:tc>
        <w:tc>
          <w:tcPr>
            <w:tcW w:type="dxa" w:w="1008"/>
            <w:shd w:val="clear" w:fill="1F3B63"/>
          </w:tcPr>
          <w:p>
            <w:pPr>
              <w:spacing w:after="20" w:before="20"/>
            </w:pPr>
            <w:r/>
            <w:r>
              <w:rPr>
                <w:b/>
                <w:color w:val="FFFFFF"/>
                <w:sz w:val="16"/>
              </w:rPr>
              <w:t>F1</w:t>
            </w:r>
          </w:p>
        </w:tc>
        <w:tc>
          <w:tcPr>
            <w:tcW w:type="dxa" w:w="1224"/>
            <w:shd w:val="clear" w:fill="1F3B63"/>
          </w:tcPr>
          <w:p>
            <w:pPr>
              <w:spacing w:after="20" w:before="20"/>
            </w:pPr>
            <w:r/>
            <w:r>
              <w:rPr>
                <w:b/>
                <w:color w:val="FFFFFF"/>
                <w:sz w:val="16"/>
              </w:rPr>
              <w:t>Accuracy</w:t>
            </w:r>
          </w:p>
        </w:tc>
        <w:tc>
          <w:tcPr>
            <w:tcW w:type="dxa" w:w="1224"/>
            <w:shd w:val="clear" w:fill="1F3B63"/>
          </w:tcPr>
          <w:p>
            <w:pPr>
              <w:spacing w:after="20" w:before="20"/>
            </w:pPr>
            <w:r/>
            <w:r>
              <w:rPr>
                <w:b/>
                <w:color w:val="FFFFFF"/>
                <w:sz w:val="16"/>
              </w:rPr>
              <w:t>Macro-F1</w:t>
            </w:r>
          </w:p>
        </w:tc>
      </w:tr>
      <w:tr>
        <w:tc>
          <w:tcPr>
            <w:tcW w:type="dxa" w:w="3600"/>
            <w:vMerge w:val="restart"/>
          </w:tcPr>
          <w:p>
            <w:pPr>
              <w:spacing w:after="0"/>
            </w:pPr>
            <w:r/>
            <w:r>
              <w:rPr>
                <w:b/>
                <w:sz w:val="15"/>
              </w:rPr>
              <w:t>Fine-tuned DistilBERT (extra)</w:t>
            </w:r>
          </w:p>
          <w:p>
            <w:pPr>
              <w:spacing w:after="0"/>
            </w:pPr>
            <w:r>
              <w:rPr>
                <w:i/>
                <w:color w:val="555555"/>
                <w:sz w:val="14"/>
              </w:rPr>
              <w:t>raw text</w:t>
            </w:r>
          </w:p>
        </w:tc>
        <w:tc>
          <w:tcPr>
            <w:tcW w:type="dxa" w:w="1224"/>
          </w:tcPr>
          <w:p>
            <w:pPr>
              <w:spacing w:after="0"/>
              <w:jc w:val="center"/>
            </w:pPr>
            <w:r/>
            <w:r>
              <w:rPr>
                <w:sz w:val="15"/>
              </w:rPr>
              <w:t>Bearish</w:t>
            </w:r>
          </w:p>
        </w:tc>
        <w:tc>
          <w:tcPr>
            <w:tcW w:type="dxa" w:w="1224"/>
          </w:tcPr>
          <w:p>
            <w:pPr>
              <w:spacing w:after="0"/>
              <w:jc w:val="center"/>
            </w:pPr>
            <w:r/>
            <w:r>
              <w:rPr>
                <w:sz w:val="15"/>
              </w:rPr>
              <w:t>0.72</w:t>
            </w:r>
          </w:p>
        </w:tc>
        <w:tc>
          <w:tcPr>
            <w:tcW w:type="dxa" w:w="1152"/>
          </w:tcPr>
          <w:p>
            <w:pPr>
              <w:spacing w:after="0"/>
              <w:jc w:val="center"/>
            </w:pPr>
            <w:r/>
            <w:r>
              <w:rPr>
                <w:sz w:val="15"/>
              </w:rPr>
              <w:t>0.76</w:t>
            </w:r>
          </w:p>
        </w:tc>
        <w:tc>
          <w:tcPr>
            <w:tcW w:type="dxa" w:w="1008"/>
          </w:tcPr>
          <w:p>
            <w:pPr>
              <w:spacing w:after="0"/>
              <w:jc w:val="center"/>
            </w:pPr>
            <w:r/>
            <w:r>
              <w:rPr>
                <w:sz w:val="15"/>
              </w:rPr>
              <w:t>0.74</w:t>
            </w:r>
          </w:p>
        </w:tc>
        <w:tc>
          <w:tcPr>
            <w:tcW w:type="dxa" w:w="1224"/>
          </w:tcPr>
          <w:p>
            <w:pPr>
              <w:spacing w:after="0"/>
              <w:jc w:val="center"/>
            </w:pPr>
            <w:r/>
            <w:r>
              <w:rPr>
                <w:b/>
                <w:sz w:val="15"/>
              </w:rPr>
              <w:t>0.853</w:t>
            </w:r>
          </w:p>
        </w:tc>
        <w:tc>
          <w:tcPr>
            <w:tcW w:type="dxa" w:w="1224"/>
          </w:tcPr>
          <w:p>
            <w:pPr>
              <w:spacing w:after="0"/>
              <w:jc w:val="center"/>
            </w:pPr>
            <w:r/>
            <w:r>
              <w:rPr>
                <w:b/>
                <w:sz w:val="15"/>
              </w:rPr>
              <w:t>0.811</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0.82</w:t>
            </w:r>
          </w:p>
        </w:tc>
        <w:tc>
          <w:tcPr>
            <w:tcW w:type="dxa" w:w="1152"/>
          </w:tcPr>
          <w:p>
            <w:pPr>
              <w:spacing w:after="0"/>
              <w:jc w:val="center"/>
            </w:pPr>
            <w:r/>
            <w:r>
              <w:rPr>
                <w:sz w:val="15"/>
              </w:rPr>
              <w:t>0.77</w:t>
            </w:r>
          </w:p>
        </w:tc>
        <w:tc>
          <w:tcPr>
            <w:tcW w:type="dxa" w:w="1008"/>
          </w:tcPr>
          <w:p>
            <w:pPr>
              <w:spacing w:after="0"/>
              <w:jc w:val="center"/>
            </w:pPr>
            <w:r/>
            <w:r>
              <w:rPr>
                <w:sz w:val="15"/>
              </w:rPr>
              <w:t>0.79</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0.89</w:t>
            </w:r>
          </w:p>
        </w:tc>
        <w:tc>
          <w:tcPr>
            <w:tcW w:type="dxa" w:w="1152"/>
          </w:tcPr>
          <w:p>
            <w:pPr>
              <w:spacing w:after="0"/>
              <w:jc w:val="center"/>
            </w:pPr>
            <w:r/>
            <w:r>
              <w:rPr>
                <w:sz w:val="15"/>
              </w:rPr>
              <w:t>0.90</w:t>
            </w:r>
          </w:p>
        </w:tc>
        <w:tc>
          <w:tcPr>
            <w:tcW w:type="dxa" w:w="1008"/>
          </w:tcPr>
          <w:p>
            <w:pPr>
              <w:spacing w:after="0"/>
              <w:jc w:val="center"/>
            </w:pPr>
            <w:r/>
            <w:r>
              <w:rPr>
                <w:sz w:val="15"/>
              </w:rPr>
              <w:t>0.90</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3600"/>
            <w:vMerge w:val="restart"/>
            <w:shd w:val="clear" w:fill="EEF2F7"/>
          </w:tcPr>
          <w:p>
            <w:pPr>
              <w:spacing w:after="0"/>
            </w:pPr>
            <w:r/>
            <w:r>
              <w:rPr>
                <w:b/>
                <w:sz w:val="15"/>
              </w:rPr>
              <w:t>Concat FinBERT+twitter-roberta + MLP (submitted)</w:t>
            </w:r>
          </w:p>
          <w:p>
            <w:pPr>
              <w:spacing w:after="0"/>
            </w:pPr>
            <w:r>
              <w:rPr>
                <w:i/>
                <w:color w:val="555555"/>
                <w:sz w:val="14"/>
              </w:rPr>
              <w:t>frozen CLS</w:t>
            </w:r>
          </w:p>
        </w:tc>
        <w:tc>
          <w:tcPr>
            <w:tcW w:type="dxa" w:w="1224"/>
            <w:shd w:val="clear" w:fill="EEF2F7"/>
          </w:tcPr>
          <w:p>
            <w:pPr>
              <w:spacing w:after="0"/>
              <w:jc w:val="center"/>
            </w:pPr>
            <w:r/>
            <w:r>
              <w:rPr>
                <w:sz w:val="15"/>
              </w:rPr>
              <w:t>Bearish</w:t>
            </w:r>
          </w:p>
        </w:tc>
        <w:tc>
          <w:tcPr>
            <w:tcW w:type="dxa" w:w="1224"/>
            <w:shd w:val="clear" w:fill="EEF2F7"/>
          </w:tcPr>
          <w:p>
            <w:pPr>
              <w:spacing w:after="0"/>
              <w:jc w:val="center"/>
            </w:pPr>
            <w:r/>
            <w:r>
              <w:rPr>
                <w:sz w:val="15"/>
              </w:rPr>
              <w:t>0.81</w:t>
            </w:r>
          </w:p>
        </w:tc>
        <w:tc>
          <w:tcPr>
            <w:tcW w:type="dxa" w:w="1152"/>
            <w:shd w:val="clear" w:fill="EEF2F7"/>
          </w:tcPr>
          <w:p>
            <w:pPr>
              <w:spacing w:after="0"/>
              <w:jc w:val="center"/>
            </w:pPr>
            <w:r/>
            <w:r>
              <w:rPr>
                <w:sz w:val="15"/>
              </w:rPr>
              <w:t>0.67</w:t>
            </w:r>
          </w:p>
        </w:tc>
        <w:tc>
          <w:tcPr>
            <w:tcW w:type="dxa" w:w="1008"/>
            <w:shd w:val="clear" w:fill="EEF2F7"/>
          </w:tcPr>
          <w:p>
            <w:pPr>
              <w:spacing w:after="0"/>
              <w:jc w:val="center"/>
            </w:pPr>
            <w:r/>
            <w:r>
              <w:rPr>
                <w:sz w:val="15"/>
              </w:rPr>
              <w:t>0.73</w:t>
            </w:r>
          </w:p>
        </w:tc>
        <w:tc>
          <w:tcPr>
            <w:tcW w:type="dxa" w:w="1224"/>
            <w:shd w:val="clear" w:fill="EEF2F7"/>
          </w:tcPr>
          <w:p>
            <w:pPr>
              <w:spacing w:after="0"/>
              <w:jc w:val="center"/>
            </w:pPr>
            <w:r/>
            <w:r>
              <w:rPr>
                <w:b/>
                <w:sz w:val="15"/>
              </w:rPr>
              <w:t>0.859</w:t>
            </w:r>
          </w:p>
        </w:tc>
        <w:tc>
          <w:tcPr>
            <w:tcW w:type="dxa" w:w="1224"/>
            <w:shd w:val="clear" w:fill="EEF2F7"/>
          </w:tcPr>
          <w:p>
            <w:pPr>
              <w:spacing w:after="0"/>
              <w:jc w:val="center"/>
            </w:pPr>
            <w:r/>
            <w:r>
              <w:rPr>
                <w:b/>
                <w:sz w:val="15"/>
              </w:rPr>
              <w:t>0.808</w:t>
            </w:r>
          </w:p>
        </w:tc>
      </w:tr>
      <w:tr>
        <w:tc>
          <w:tcPr>
            <w:tcW w:type="dxa" w:w="1378"/>
            <w:vMerge/>
            <w:shd w:val="clear" w:fill="EEF2F7"/>
          </w:tcPr>
          <w:p/>
        </w:tc>
        <w:tc>
          <w:tcPr>
            <w:tcW w:type="dxa" w:w="1224"/>
            <w:shd w:val="clear" w:fill="EEF2F7"/>
          </w:tcPr>
          <w:p>
            <w:pPr>
              <w:spacing w:after="0"/>
              <w:jc w:val="center"/>
            </w:pPr>
            <w:r/>
            <w:r>
              <w:rPr>
                <w:sz w:val="15"/>
              </w:rPr>
              <w:t>Bullish</w:t>
            </w:r>
          </w:p>
        </w:tc>
        <w:tc>
          <w:tcPr>
            <w:tcW w:type="dxa" w:w="1224"/>
            <w:shd w:val="clear" w:fill="EEF2F7"/>
          </w:tcPr>
          <w:p>
            <w:pPr>
              <w:spacing w:after="0"/>
              <w:jc w:val="center"/>
            </w:pPr>
            <w:r/>
            <w:r>
              <w:rPr>
                <w:sz w:val="15"/>
              </w:rPr>
              <w:t>0.78</w:t>
            </w:r>
          </w:p>
        </w:tc>
        <w:tc>
          <w:tcPr>
            <w:tcW w:type="dxa" w:w="1152"/>
            <w:shd w:val="clear" w:fill="EEF2F7"/>
          </w:tcPr>
          <w:p>
            <w:pPr>
              <w:spacing w:after="0"/>
              <w:jc w:val="center"/>
            </w:pPr>
            <w:r/>
            <w:r>
              <w:rPr>
                <w:sz w:val="15"/>
              </w:rPr>
              <w:t>0.79</w:t>
            </w:r>
          </w:p>
        </w:tc>
        <w:tc>
          <w:tcPr>
            <w:tcW w:type="dxa" w:w="1008"/>
            <w:shd w:val="clear" w:fill="EEF2F7"/>
          </w:tcPr>
          <w:p>
            <w:pPr>
              <w:spacing w:after="0"/>
              <w:jc w:val="center"/>
            </w:pPr>
            <w:r/>
            <w:r>
              <w:rPr>
                <w:sz w:val="15"/>
              </w:rPr>
              <w:t>0.78</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1378"/>
            <w:vMerge/>
            <w:shd w:val="clear" w:fill="EEF2F7"/>
          </w:tcPr>
          <w:p/>
        </w:tc>
        <w:tc>
          <w:tcPr>
            <w:tcW w:type="dxa" w:w="1224"/>
            <w:shd w:val="clear" w:fill="EEF2F7"/>
          </w:tcPr>
          <w:p>
            <w:pPr>
              <w:spacing w:after="0"/>
              <w:jc w:val="center"/>
            </w:pPr>
            <w:r/>
            <w:r>
              <w:rPr>
                <w:sz w:val="15"/>
              </w:rPr>
              <w:t>Neutral</w:t>
            </w:r>
          </w:p>
        </w:tc>
        <w:tc>
          <w:tcPr>
            <w:tcW w:type="dxa" w:w="1224"/>
            <w:shd w:val="clear" w:fill="EEF2F7"/>
          </w:tcPr>
          <w:p>
            <w:pPr>
              <w:spacing w:after="0"/>
              <w:jc w:val="center"/>
            </w:pPr>
            <w:r/>
            <w:r>
              <w:rPr>
                <w:sz w:val="15"/>
              </w:rPr>
              <w:t>0.89</w:t>
            </w:r>
          </w:p>
        </w:tc>
        <w:tc>
          <w:tcPr>
            <w:tcW w:type="dxa" w:w="1152"/>
            <w:shd w:val="clear" w:fill="EEF2F7"/>
          </w:tcPr>
          <w:p>
            <w:pPr>
              <w:spacing w:after="0"/>
              <w:jc w:val="center"/>
            </w:pPr>
            <w:r/>
            <w:r>
              <w:rPr>
                <w:sz w:val="15"/>
              </w:rPr>
              <w:t>0.92</w:t>
            </w:r>
          </w:p>
        </w:tc>
        <w:tc>
          <w:tcPr>
            <w:tcW w:type="dxa" w:w="1008"/>
            <w:shd w:val="clear" w:fill="EEF2F7"/>
          </w:tcPr>
          <w:p>
            <w:pPr>
              <w:spacing w:after="0"/>
              <w:jc w:val="center"/>
            </w:pPr>
            <w:r/>
            <w:r>
              <w:rPr>
                <w:sz w:val="15"/>
              </w:rPr>
              <w:t>0.91</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3600"/>
            <w:vMerge w:val="restart"/>
          </w:tcPr>
          <w:p>
            <w:pPr>
              <w:spacing w:after="0"/>
            </w:pPr>
            <w:r/>
            <w:r>
              <w:rPr>
                <w:b/>
                <w:sz w:val="15"/>
              </w:rPr>
              <w:t>Soft-vote of the two domain encoders</w:t>
            </w:r>
          </w:p>
          <w:p>
            <w:pPr>
              <w:spacing w:after="0"/>
            </w:pPr>
            <w:r>
              <w:rPr>
                <w:i/>
                <w:color w:val="555555"/>
                <w:sz w:val="14"/>
              </w:rPr>
              <w:t>frozen CLS</w:t>
            </w:r>
          </w:p>
        </w:tc>
        <w:tc>
          <w:tcPr>
            <w:tcW w:type="dxa" w:w="1224"/>
          </w:tcPr>
          <w:p>
            <w:pPr>
              <w:spacing w:after="0"/>
              <w:jc w:val="center"/>
            </w:pPr>
            <w:r/>
            <w:r>
              <w:rPr>
                <w:sz w:val="15"/>
              </w:rPr>
              <w:t>Bearish</w:t>
            </w:r>
          </w:p>
        </w:tc>
        <w:tc>
          <w:tcPr>
            <w:tcW w:type="dxa" w:w="1224"/>
          </w:tcPr>
          <w:p>
            <w:pPr>
              <w:spacing w:after="0"/>
              <w:jc w:val="center"/>
            </w:pPr>
            <w:r/>
            <w:r>
              <w:rPr>
                <w:sz w:val="15"/>
              </w:rPr>
              <w:t>0.75</w:t>
            </w:r>
          </w:p>
        </w:tc>
        <w:tc>
          <w:tcPr>
            <w:tcW w:type="dxa" w:w="1152"/>
          </w:tcPr>
          <w:p>
            <w:pPr>
              <w:spacing w:after="0"/>
              <w:jc w:val="center"/>
            </w:pPr>
            <w:r/>
            <w:r>
              <w:rPr>
                <w:sz w:val="15"/>
              </w:rPr>
              <w:t>0.71</w:t>
            </w:r>
          </w:p>
        </w:tc>
        <w:tc>
          <w:tcPr>
            <w:tcW w:type="dxa" w:w="1008"/>
          </w:tcPr>
          <w:p>
            <w:pPr>
              <w:spacing w:after="0"/>
              <w:jc w:val="center"/>
            </w:pPr>
            <w:r/>
            <w:r>
              <w:rPr>
                <w:sz w:val="15"/>
              </w:rPr>
              <w:t>0.73</w:t>
            </w:r>
          </w:p>
        </w:tc>
        <w:tc>
          <w:tcPr>
            <w:tcW w:type="dxa" w:w="1224"/>
          </w:tcPr>
          <w:p>
            <w:pPr>
              <w:spacing w:after="0"/>
              <w:jc w:val="center"/>
            </w:pPr>
            <w:r/>
            <w:r>
              <w:rPr>
                <w:b/>
                <w:sz w:val="15"/>
              </w:rPr>
              <w:t>0.851</w:t>
            </w:r>
          </w:p>
        </w:tc>
        <w:tc>
          <w:tcPr>
            <w:tcW w:type="dxa" w:w="1224"/>
          </w:tcPr>
          <w:p>
            <w:pPr>
              <w:spacing w:after="0"/>
              <w:jc w:val="center"/>
            </w:pPr>
            <w:r/>
            <w:r>
              <w:rPr>
                <w:b/>
                <w:sz w:val="15"/>
              </w:rPr>
              <w:t>0.802</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0.81</w:t>
            </w:r>
          </w:p>
        </w:tc>
        <w:tc>
          <w:tcPr>
            <w:tcW w:type="dxa" w:w="1152"/>
          </w:tcPr>
          <w:p>
            <w:pPr>
              <w:spacing w:after="0"/>
              <w:jc w:val="center"/>
            </w:pPr>
            <w:r/>
            <w:r>
              <w:rPr>
                <w:sz w:val="15"/>
              </w:rPr>
              <w:t>0.75</w:t>
            </w:r>
          </w:p>
        </w:tc>
        <w:tc>
          <w:tcPr>
            <w:tcW w:type="dxa" w:w="1008"/>
          </w:tcPr>
          <w:p>
            <w:pPr>
              <w:spacing w:after="0"/>
              <w:jc w:val="center"/>
            </w:pPr>
            <w:r/>
            <w:r>
              <w:rPr>
                <w:sz w:val="15"/>
              </w:rPr>
              <w:t>0.78</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0.88</w:t>
            </w:r>
          </w:p>
        </w:tc>
        <w:tc>
          <w:tcPr>
            <w:tcW w:type="dxa" w:w="1152"/>
          </w:tcPr>
          <w:p>
            <w:pPr>
              <w:spacing w:after="0"/>
              <w:jc w:val="center"/>
            </w:pPr>
            <w:r/>
            <w:r>
              <w:rPr>
                <w:sz w:val="15"/>
              </w:rPr>
              <w:t>0.92</w:t>
            </w:r>
          </w:p>
        </w:tc>
        <w:tc>
          <w:tcPr>
            <w:tcW w:type="dxa" w:w="1008"/>
          </w:tcPr>
          <w:p>
            <w:pPr>
              <w:spacing w:after="0"/>
              <w:jc w:val="center"/>
            </w:pPr>
            <w:r/>
            <w:r>
              <w:rPr>
                <w:sz w:val="15"/>
              </w:rPr>
              <w:t>0.90</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3600"/>
            <w:vMerge w:val="restart"/>
            <w:shd w:val="clear" w:fill="EEF2F7"/>
          </w:tcPr>
          <w:p>
            <w:pPr>
              <w:spacing w:after="0"/>
            </w:pPr>
            <w:r/>
            <w:r>
              <w:rPr>
                <w:b/>
                <w:sz w:val="15"/>
              </w:rPr>
              <w:t>twitter-roberta (frozen) + LogReg</w:t>
            </w:r>
          </w:p>
          <w:p>
            <w:pPr>
              <w:spacing w:after="0"/>
            </w:pPr>
            <w:r>
              <w:rPr>
                <w:i/>
                <w:color w:val="555555"/>
                <w:sz w:val="14"/>
              </w:rPr>
              <w:t>frozen CLS</w:t>
            </w:r>
          </w:p>
        </w:tc>
        <w:tc>
          <w:tcPr>
            <w:tcW w:type="dxa" w:w="1224"/>
            <w:shd w:val="clear" w:fill="EEF2F7"/>
          </w:tcPr>
          <w:p>
            <w:pPr>
              <w:spacing w:after="0"/>
              <w:jc w:val="center"/>
            </w:pPr>
            <w:r/>
            <w:r>
              <w:rPr>
                <w:sz w:val="15"/>
              </w:rPr>
              <w:t>Bearish</w:t>
            </w:r>
          </w:p>
        </w:tc>
        <w:tc>
          <w:tcPr>
            <w:tcW w:type="dxa" w:w="1224"/>
            <w:shd w:val="clear" w:fill="EEF2F7"/>
          </w:tcPr>
          <w:p>
            <w:pPr>
              <w:spacing w:after="0"/>
              <w:jc w:val="center"/>
            </w:pPr>
            <w:r/>
            <w:r>
              <w:rPr>
                <w:sz w:val="15"/>
              </w:rPr>
              <w:t>0.59</w:t>
            </w:r>
          </w:p>
        </w:tc>
        <w:tc>
          <w:tcPr>
            <w:tcW w:type="dxa" w:w="1152"/>
            <w:shd w:val="clear" w:fill="EEF2F7"/>
          </w:tcPr>
          <w:p>
            <w:pPr>
              <w:spacing w:after="0"/>
              <w:jc w:val="center"/>
            </w:pPr>
            <w:r/>
            <w:r>
              <w:rPr>
                <w:sz w:val="15"/>
              </w:rPr>
              <w:t>0.77</w:t>
            </w:r>
          </w:p>
        </w:tc>
        <w:tc>
          <w:tcPr>
            <w:tcW w:type="dxa" w:w="1008"/>
            <w:shd w:val="clear" w:fill="EEF2F7"/>
          </w:tcPr>
          <w:p>
            <w:pPr>
              <w:spacing w:after="0"/>
              <w:jc w:val="center"/>
            </w:pPr>
            <w:r/>
            <w:r>
              <w:rPr>
                <w:sz w:val="15"/>
              </w:rPr>
              <w:t>0.67</w:t>
            </w:r>
          </w:p>
        </w:tc>
        <w:tc>
          <w:tcPr>
            <w:tcW w:type="dxa" w:w="1224"/>
            <w:shd w:val="clear" w:fill="EEF2F7"/>
          </w:tcPr>
          <w:p>
            <w:pPr>
              <w:spacing w:after="0"/>
              <w:jc w:val="center"/>
            </w:pPr>
            <w:r/>
            <w:r>
              <w:rPr>
                <w:b/>
                <w:sz w:val="15"/>
              </w:rPr>
              <w:t>0.797</w:t>
            </w:r>
          </w:p>
        </w:tc>
        <w:tc>
          <w:tcPr>
            <w:tcW w:type="dxa" w:w="1224"/>
            <w:shd w:val="clear" w:fill="EEF2F7"/>
          </w:tcPr>
          <w:p>
            <w:pPr>
              <w:spacing w:after="0"/>
              <w:jc w:val="center"/>
            </w:pPr>
            <w:r/>
            <w:r>
              <w:rPr>
                <w:b/>
                <w:sz w:val="15"/>
              </w:rPr>
              <w:t>0.751</w:t>
            </w:r>
          </w:p>
        </w:tc>
      </w:tr>
      <w:tr>
        <w:tc>
          <w:tcPr>
            <w:tcW w:type="dxa" w:w="1378"/>
            <w:vMerge/>
            <w:shd w:val="clear" w:fill="EEF2F7"/>
          </w:tcPr>
          <w:p/>
        </w:tc>
        <w:tc>
          <w:tcPr>
            <w:tcW w:type="dxa" w:w="1224"/>
            <w:shd w:val="clear" w:fill="EEF2F7"/>
          </w:tcPr>
          <w:p>
            <w:pPr>
              <w:spacing w:after="0"/>
              <w:jc w:val="center"/>
            </w:pPr>
            <w:r/>
            <w:r>
              <w:rPr>
                <w:sz w:val="15"/>
              </w:rPr>
              <w:t>Bullish</w:t>
            </w:r>
          </w:p>
        </w:tc>
        <w:tc>
          <w:tcPr>
            <w:tcW w:type="dxa" w:w="1224"/>
            <w:shd w:val="clear" w:fill="EEF2F7"/>
          </w:tcPr>
          <w:p>
            <w:pPr>
              <w:spacing w:after="0"/>
              <w:jc w:val="center"/>
            </w:pPr>
            <w:r/>
            <w:r>
              <w:rPr>
                <w:sz w:val="15"/>
              </w:rPr>
              <w:t>0.68</w:t>
            </w:r>
          </w:p>
        </w:tc>
        <w:tc>
          <w:tcPr>
            <w:tcW w:type="dxa" w:w="1152"/>
            <w:shd w:val="clear" w:fill="EEF2F7"/>
          </w:tcPr>
          <w:p>
            <w:pPr>
              <w:spacing w:after="0"/>
              <w:jc w:val="center"/>
            </w:pPr>
            <w:r/>
            <w:r>
              <w:rPr>
                <w:sz w:val="15"/>
              </w:rPr>
              <w:t>0.79</w:t>
            </w:r>
          </w:p>
        </w:tc>
        <w:tc>
          <w:tcPr>
            <w:tcW w:type="dxa" w:w="1008"/>
            <w:shd w:val="clear" w:fill="EEF2F7"/>
          </w:tcPr>
          <w:p>
            <w:pPr>
              <w:spacing w:after="0"/>
              <w:jc w:val="center"/>
            </w:pPr>
            <w:r/>
            <w:r>
              <w:rPr>
                <w:sz w:val="15"/>
              </w:rPr>
              <w:t>0.73</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1378"/>
            <w:vMerge/>
            <w:shd w:val="clear" w:fill="EEF2F7"/>
          </w:tcPr>
          <w:p/>
        </w:tc>
        <w:tc>
          <w:tcPr>
            <w:tcW w:type="dxa" w:w="1224"/>
            <w:shd w:val="clear" w:fill="EEF2F7"/>
          </w:tcPr>
          <w:p>
            <w:pPr>
              <w:spacing w:after="0"/>
              <w:jc w:val="center"/>
            </w:pPr>
            <w:r/>
            <w:r>
              <w:rPr>
                <w:sz w:val="15"/>
              </w:rPr>
              <w:t>Neutral</w:t>
            </w:r>
          </w:p>
        </w:tc>
        <w:tc>
          <w:tcPr>
            <w:tcW w:type="dxa" w:w="1224"/>
            <w:shd w:val="clear" w:fill="EEF2F7"/>
          </w:tcPr>
          <w:p>
            <w:pPr>
              <w:spacing w:after="0"/>
              <w:jc w:val="center"/>
            </w:pPr>
            <w:r/>
            <w:r>
              <w:rPr>
                <w:sz w:val="15"/>
              </w:rPr>
              <w:t>0.92</w:t>
            </w:r>
          </w:p>
        </w:tc>
        <w:tc>
          <w:tcPr>
            <w:tcW w:type="dxa" w:w="1152"/>
            <w:shd w:val="clear" w:fill="EEF2F7"/>
          </w:tcPr>
          <w:p>
            <w:pPr>
              <w:spacing w:after="0"/>
              <w:jc w:val="center"/>
            </w:pPr>
            <w:r/>
            <w:r>
              <w:rPr>
                <w:sz w:val="15"/>
              </w:rPr>
              <w:t>0.81</w:t>
            </w:r>
          </w:p>
        </w:tc>
        <w:tc>
          <w:tcPr>
            <w:tcW w:type="dxa" w:w="1008"/>
            <w:shd w:val="clear" w:fill="EEF2F7"/>
          </w:tcPr>
          <w:p>
            <w:pPr>
              <w:spacing w:after="0"/>
              <w:jc w:val="center"/>
            </w:pPr>
            <w:r/>
            <w:r>
              <w:rPr>
                <w:sz w:val="15"/>
              </w:rPr>
              <w:t>0.86</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3600"/>
            <w:vMerge w:val="restart"/>
          </w:tcPr>
          <w:p>
            <w:pPr>
              <w:spacing w:after="0"/>
            </w:pPr>
            <w:r/>
            <w:r>
              <w:rPr>
                <w:b/>
                <w:sz w:val="15"/>
              </w:rPr>
              <w:t>FinBERT (frozen) + LogReg</w:t>
            </w:r>
          </w:p>
          <w:p>
            <w:pPr>
              <w:spacing w:after="0"/>
            </w:pPr>
            <w:r>
              <w:rPr>
                <w:i/>
                <w:color w:val="555555"/>
                <w:sz w:val="14"/>
              </w:rPr>
              <w:t>frozen CLS</w:t>
            </w:r>
          </w:p>
        </w:tc>
        <w:tc>
          <w:tcPr>
            <w:tcW w:type="dxa" w:w="1224"/>
          </w:tcPr>
          <w:p>
            <w:pPr>
              <w:spacing w:after="0"/>
              <w:jc w:val="center"/>
            </w:pPr>
            <w:r/>
            <w:r>
              <w:rPr>
                <w:sz w:val="15"/>
              </w:rPr>
              <w:t>Bearish</w:t>
            </w:r>
          </w:p>
        </w:tc>
        <w:tc>
          <w:tcPr>
            <w:tcW w:type="dxa" w:w="1224"/>
          </w:tcPr>
          <w:p>
            <w:pPr>
              <w:spacing w:after="0"/>
              <w:jc w:val="center"/>
            </w:pPr>
            <w:r/>
            <w:r>
              <w:rPr>
                <w:sz w:val="15"/>
              </w:rPr>
              <w:t>0.59</w:t>
            </w:r>
          </w:p>
        </w:tc>
        <w:tc>
          <w:tcPr>
            <w:tcW w:type="dxa" w:w="1152"/>
          </w:tcPr>
          <w:p>
            <w:pPr>
              <w:spacing w:after="0"/>
              <w:jc w:val="center"/>
            </w:pPr>
            <w:r/>
            <w:r>
              <w:rPr>
                <w:sz w:val="15"/>
              </w:rPr>
              <w:t>0.76</w:t>
            </w:r>
          </w:p>
        </w:tc>
        <w:tc>
          <w:tcPr>
            <w:tcW w:type="dxa" w:w="1008"/>
          </w:tcPr>
          <w:p>
            <w:pPr>
              <w:spacing w:after="0"/>
              <w:jc w:val="center"/>
            </w:pPr>
            <w:r/>
            <w:r>
              <w:rPr>
                <w:sz w:val="15"/>
              </w:rPr>
              <w:t>0.67</w:t>
            </w:r>
          </w:p>
        </w:tc>
        <w:tc>
          <w:tcPr>
            <w:tcW w:type="dxa" w:w="1224"/>
          </w:tcPr>
          <w:p>
            <w:pPr>
              <w:spacing w:after="0"/>
              <w:jc w:val="center"/>
            </w:pPr>
            <w:r/>
            <w:r>
              <w:rPr>
                <w:b/>
                <w:sz w:val="15"/>
              </w:rPr>
              <w:t>0.786</w:t>
            </w:r>
          </w:p>
        </w:tc>
        <w:tc>
          <w:tcPr>
            <w:tcW w:type="dxa" w:w="1224"/>
          </w:tcPr>
          <w:p>
            <w:pPr>
              <w:spacing w:after="0"/>
              <w:jc w:val="center"/>
            </w:pPr>
            <w:r/>
            <w:r>
              <w:rPr>
                <w:b/>
                <w:sz w:val="15"/>
              </w:rPr>
              <w:t>0.737</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0.65</w:t>
            </w:r>
          </w:p>
        </w:tc>
        <w:tc>
          <w:tcPr>
            <w:tcW w:type="dxa" w:w="1152"/>
          </w:tcPr>
          <w:p>
            <w:pPr>
              <w:spacing w:after="0"/>
              <w:jc w:val="center"/>
            </w:pPr>
            <w:r/>
            <w:r>
              <w:rPr>
                <w:sz w:val="15"/>
              </w:rPr>
              <w:t>0.74</w:t>
            </w:r>
          </w:p>
        </w:tc>
        <w:tc>
          <w:tcPr>
            <w:tcW w:type="dxa" w:w="1008"/>
          </w:tcPr>
          <w:p>
            <w:pPr>
              <w:spacing w:after="0"/>
              <w:jc w:val="center"/>
            </w:pPr>
            <w:r/>
            <w:r>
              <w:rPr>
                <w:sz w:val="15"/>
              </w:rPr>
              <w:t>0.69</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0.90</w:t>
            </w:r>
          </w:p>
        </w:tc>
        <w:tc>
          <w:tcPr>
            <w:tcW w:type="dxa" w:w="1152"/>
          </w:tcPr>
          <w:p>
            <w:pPr>
              <w:spacing w:after="0"/>
              <w:jc w:val="center"/>
            </w:pPr>
            <w:r/>
            <w:r>
              <w:rPr>
                <w:sz w:val="15"/>
              </w:rPr>
              <w:t>0.81</w:t>
            </w:r>
          </w:p>
        </w:tc>
        <w:tc>
          <w:tcPr>
            <w:tcW w:type="dxa" w:w="1008"/>
          </w:tcPr>
          <w:p>
            <w:pPr>
              <w:spacing w:after="0"/>
              <w:jc w:val="center"/>
            </w:pPr>
            <w:r/>
            <w:r>
              <w:rPr>
                <w:sz w:val="15"/>
              </w:rPr>
              <w:t>0.85</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3600"/>
            <w:vMerge w:val="restart"/>
            <w:shd w:val="clear" w:fill="EEF2F7"/>
          </w:tcPr>
          <w:p>
            <w:pPr>
              <w:spacing w:after="0"/>
            </w:pPr>
            <w:r/>
            <w:r>
              <w:rPr>
                <w:b/>
                <w:sz w:val="15"/>
              </w:rPr>
              <w:t>TF-IDF + LogReg (class-weighted)</w:t>
            </w:r>
          </w:p>
          <w:p>
            <w:pPr>
              <w:spacing w:after="0"/>
            </w:pPr>
            <w:r>
              <w:rPr>
                <w:i/>
                <w:color w:val="555555"/>
                <w:sz w:val="14"/>
              </w:rPr>
              <w:t>TF-IDF uni</w:t>
            </w:r>
          </w:p>
        </w:tc>
        <w:tc>
          <w:tcPr>
            <w:tcW w:type="dxa" w:w="1224"/>
            <w:shd w:val="clear" w:fill="EEF2F7"/>
          </w:tcPr>
          <w:p>
            <w:pPr>
              <w:spacing w:after="0"/>
              <w:jc w:val="center"/>
            </w:pPr>
            <w:r/>
            <w:r>
              <w:rPr>
                <w:sz w:val="15"/>
              </w:rPr>
              <w:t>Bearish</w:t>
            </w:r>
          </w:p>
        </w:tc>
        <w:tc>
          <w:tcPr>
            <w:tcW w:type="dxa" w:w="1224"/>
            <w:shd w:val="clear" w:fill="EEF2F7"/>
          </w:tcPr>
          <w:p>
            <w:pPr>
              <w:spacing w:after="0"/>
              <w:jc w:val="center"/>
            </w:pPr>
            <w:r/>
            <w:r>
              <w:rPr>
                <w:sz w:val="15"/>
              </w:rPr>
              <w:t>0.57</w:t>
            </w:r>
          </w:p>
        </w:tc>
        <w:tc>
          <w:tcPr>
            <w:tcW w:type="dxa" w:w="1152"/>
            <w:shd w:val="clear" w:fill="EEF2F7"/>
          </w:tcPr>
          <w:p>
            <w:pPr>
              <w:spacing w:after="0"/>
              <w:jc w:val="center"/>
            </w:pPr>
            <w:r/>
            <w:r>
              <w:rPr>
                <w:sz w:val="15"/>
              </w:rPr>
              <w:t>0.60</w:t>
            </w:r>
          </w:p>
        </w:tc>
        <w:tc>
          <w:tcPr>
            <w:tcW w:type="dxa" w:w="1008"/>
            <w:shd w:val="clear" w:fill="EEF2F7"/>
          </w:tcPr>
          <w:p>
            <w:pPr>
              <w:spacing w:after="0"/>
              <w:jc w:val="center"/>
            </w:pPr>
            <w:r/>
            <w:r>
              <w:rPr>
                <w:sz w:val="15"/>
              </w:rPr>
              <w:t>0.59</w:t>
            </w:r>
          </w:p>
        </w:tc>
        <w:tc>
          <w:tcPr>
            <w:tcW w:type="dxa" w:w="1224"/>
            <w:shd w:val="clear" w:fill="EEF2F7"/>
          </w:tcPr>
          <w:p>
            <w:pPr>
              <w:spacing w:after="0"/>
              <w:jc w:val="center"/>
            </w:pPr>
            <w:r/>
            <w:r>
              <w:rPr>
                <w:b/>
                <w:sz w:val="15"/>
              </w:rPr>
              <w:t>0.781</w:t>
            </w:r>
          </w:p>
        </w:tc>
        <w:tc>
          <w:tcPr>
            <w:tcW w:type="dxa" w:w="1224"/>
            <w:shd w:val="clear" w:fill="EEF2F7"/>
          </w:tcPr>
          <w:p>
            <w:pPr>
              <w:spacing w:after="0"/>
              <w:jc w:val="center"/>
            </w:pPr>
            <w:r/>
            <w:r>
              <w:rPr>
                <w:b/>
                <w:sz w:val="15"/>
              </w:rPr>
              <w:t>0.709</w:t>
            </w:r>
          </w:p>
        </w:tc>
      </w:tr>
      <w:tr>
        <w:tc>
          <w:tcPr>
            <w:tcW w:type="dxa" w:w="1378"/>
            <w:vMerge/>
            <w:shd w:val="clear" w:fill="EEF2F7"/>
          </w:tcPr>
          <w:p/>
        </w:tc>
        <w:tc>
          <w:tcPr>
            <w:tcW w:type="dxa" w:w="1224"/>
            <w:shd w:val="clear" w:fill="EEF2F7"/>
          </w:tcPr>
          <w:p>
            <w:pPr>
              <w:spacing w:after="0"/>
              <w:jc w:val="center"/>
            </w:pPr>
            <w:r/>
            <w:r>
              <w:rPr>
                <w:sz w:val="15"/>
              </w:rPr>
              <w:t>Bullish</w:t>
            </w:r>
          </w:p>
        </w:tc>
        <w:tc>
          <w:tcPr>
            <w:tcW w:type="dxa" w:w="1224"/>
            <w:shd w:val="clear" w:fill="EEF2F7"/>
          </w:tcPr>
          <w:p>
            <w:pPr>
              <w:spacing w:after="0"/>
              <w:jc w:val="center"/>
            </w:pPr>
            <w:r/>
            <w:r>
              <w:rPr>
                <w:sz w:val="15"/>
              </w:rPr>
              <w:t>0.68</w:t>
            </w:r>
          </w:p>
        </w:tc>
        <w:tc>
          <w:tcPr>
            <w:tcW w:type="dxa" w:w="1152"/>
            <w:shd w:val="clear" w:fill="EEF2F7"/>
          </w:tcPr>
          <w:p>
            <w:pPr>
              <w:spacing w:after="0"/>
              <w:jc w:val="center"/>
            </w:pPr>
            <w:r/>
            <w:r>
              <w:rPr>
                <w:sz w:val="15"/>
              </w:rPr>
              <w:t>0.69</w:t>
            </w:r>
          </w:p>
        </w:tc>
        <w:tc>
          <w:tcPr>
            <w:tcW w:type="dxa" w:w="1008"/>
            <w:shd w:val="clear" w:fill="EEF2F7"/>
          </w:tcPr>
          <w:p>
            <w:pPr>
              <w:spacing w:after="0"/>
              <w:jc w:val="center"/>
            </w:pPr>
            <w:r/>
            <w:r>
              <w:rPr>
                <w:sz w:val="15"/>
              </w:rPr>
              <w:t>0.68</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1378"/>
            <w:vMerge/>
            <w:shd w:val="clear" w:fill="EEF2F7"/>
          </w:tcPr>
          <w:p/>
        </w:tc>
        <w:tc>
          <w:tcPr>
            <w:tcW w:type="dxa" w:w="1224"/>
            <w:shd w:val="clear" w:fill="EEF2F7"/>
          </w:tcPr>
          <w:p>
            <w:pPr>
              <w:spacing w:after="0"/>
              <w:jc w:val="center"/>
            </w:pPr>
            <w:r/>
            <w:r>
              <w:rPr>
                <w:sz w:val="15"/>
              </w:rPr>
              <w:t>Neutral</w:t>
            </w:r>
          </w:p>
        </w:tc>
        <w:tc>
          <w:tcPr>
            <w:tcW w:type="dxa" w:w="1224"/>
            <w:shd w:val="clear" w:fill="EEF2F7"/>
          </w:tcPr>
          <w:p>
            <w:pPr>
              <w:spacing w:after="0"/>
              <w:jc w:val="center"/>
            </w:pPr>
            <w:r/>
            <w:r>
              <w:rPr>
                <w:sz w:val="15"/>
              </w:rPr>
              <w:t>0.87</w:t>
            </w:r>
          </w:p>
        </w:tc>
        <w:tc>
          <w:tcPr>
            <w:tcW w:type="dxa" w:w="1152"/>
            <w:shd w:val="clear" w:fill="EEF2F7"/>
          </w:tcPr>
          <w:p>
            <w:pPr>
              <w:spacing w:after="0"/>
              <w:jc w:val="center"/>
            </w:pPr>
            <w:r/>
            <w:r>
              <w:rPr>
                <w:sz w:val="15"/>
              </w:rPr>
              <w:t>0.85</w:t>
            </w:r>
          </w:p>
        </w:tc>
        <w:tc>
          <w:tcPr>
            <w:tcW w:type="dxa" w:w="1008"/>
            <w:shd w:val="clear" w:fill="EEF2F7"/>
          </w:tcPr>
          <w:p>
            <w:pPr>
              <w:spacing w:after="0"/>
              <w:jc w:val="center"/>
            </w:pPr>
            <w:r/>
            <w:r>
              <w:rPr>
                <w:sz w:val="15"/>
              </w:rPr>
              <w:t>0.86</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3600"/>
            <w:vMerge w:val="restart"/>
          </w:tcPr>
          <w:p>
            <w:pPr>
              <w:spacing w:after="0"/>
            </w:pPr>
            <w:r/>
            <w:r>
              <w:rPr>
                <w:b/>
                <w:sz w:val="15"/>
              </w:rPr>
              <w:t>DistilBERT (frozen, generic) + LogReg</w:t>
            </w:r>
          </w:p>
          <w:p>
            <w:pPr>
              <w:spacing w:after="0"/>
            </w:pPr>
            <w:r>
              <w:rPr>
                <w:i/>
                <w:color w:val="555555"/>
                <w:sz w:val="14"/>
              </w:rPr>
              <w:t>frozen CLS</w:t>
            </w:r>
          </w:p>
        </w:tc>
        <w:tc>
          <w:tcPr>
            <w:tcW w:type="dxa" w:w="1224"/>
          </w:tcPr>
          <w:p>
            <w:pPr>
              <w:spacing w:after="0"/>
              <w:jc w:val="center"/>
            </w:pPr>
            <w:r/>
            <w:r>
              <w:rPr>
                <w:sz w:val="15"/>
              </w:rPr>
              <w:t>Bearish</w:t>
            </w:r>
          </w:p>
        </w:tc>
        <w:tc>
          <w:tcPr>
            <w:tcW w:type="dxa" w:w="1224"/>
          </w:tcPr>
          <w:p>
            <w:pPr>
              <w:spacing w:after="0"/>
              <w:jc w:val="center"/>
            </w:pPr>
            <w:r/>
            <w:r>
              <w:rPr>
                <w:sz w:val="15"/>
              </w:rPr>
              <w:t>0.51</w:t>
            </w:r>
          </w:p>
        </w:tc>
        <w:tc>
          <w:tcPr>
            <w:tcW w:type="dxa" w:w="1152"/>
          </w:tcPr>
          <w:p>
            <w:pPr>
              <w:spacing w:after="0"/>
              <w:jc w:val="center"/>
            </w:pPr>
            <w:r/>
            <w:r>
              <w:rPr>
                <w:sz w:val="15"/>
              </w:rPr>
              <w:t>0.69</w:t>
            </w:r>
          </w:p>
        </w:tc>
        <w:tc>
          <w:tcPr>
            <w:tcW w:type="dxa" w:w="1008"/>
          </w:tcPr>
          <w:p>
            <w:pPr>
              <w:spacing w:after="0"/>
              <w:jc w:val="center"/>
            </w:pPr>
            <w:r/>
            <w:r>
              <w:rPr>
                <w:sz w:val="15"/>
              </w:rPr>
              <w:t>0.59</w:t>
            </w:r>
          </w:p>
        </w:tc>
        <w:tc>
          <w:tcPr>
            <w:tcW w:type="dxa" w:w="1224"/>
          </w:tcPr>
          <w:p>
            <w:pPr>
              <w:spacing w:after="0"/>
              <w:jc w:val="center"/>
            </w:pPr>
            <w:r/>
            <w:r>
              <w:rPr>
                <w:b/>
                <w:sz w:val="15"/>
              </w:rPr>
              <w:t>0.757</w:t>
            </w:r>
          </w:p>
        </w:tc>
        <w:tc>
          <w:tcPr>
            <w:tcW w:type="dxa" w:w="1224"/>
          </w:tcPr>
          <w:p>
            <w:pPr>
              <w:spacing w:after="0"/>
              <w:jc w:val="center"/>
            </w:pPr>
            <w:r/>
            <w:r>
              <w:rPr>
                <w:b/>
                <w:sz w:val="15"/>
              </w:rPr>
              <w:t>0.697</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0.62</w:t>
            </w:r>
          </w:p>
        </w:tc>
        <w:tc>
          <w:tcPr>
            <w:tcW w:type="dxa" w:w="1152"/>
          </w:tcPr>
          <w:p>
            <w:pPr>
              <w:spacing w:after="0"/>
              <w:jc w:val="center"/>
            </w:pPr>
            <w:r/>
            <w:r>
              <w:rPr>
                <w:sz w:val="15"/>
              </w:rPr>
              <w:t>0.71</w:t>
            </w:r>
          </w:p>
        </w:tc>
        <w:tc>
          <w:tcPr>
            <w:tcW w:type="dxa" w:w="1008"/>
          </w:tcPr>
          <w:p>
            <w:pPr>
              <w:spacing w:after="0"/>
              <w:jc w:val="center"/>
            </w:pPr>
            <w:r/>
            <w:r>
              <w:rPr>
                <w:sz w:val="15"/>
              </w:rPr>
              <w:t>0.67</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0.90</w:t>
            </w:r>
          </w:p>
        </w:tc>
        <w:tc>
          <w:tcPr>
            <w:tcW w:type="dxa" w:w="1152"/>
          </w:tcPr>
          <w:p>
            <w:pPr>
              <w:spacing w:after="0"/>
              <w:jc w:val="center"/>
            </w:pPr>
            <w:r/>
            <w:r>
              <w:rPr>
                <w:sz w:val="15"/>
              </w:rPr>
              <w:t>0.79</w:t>
            </w:r>
          </w:p>
        </w:tc>
        <w:tc>
          <w:tcPr>
            <w:tcW w:type="dxa" w:w="1008"/>
          </w:tcPr>
          <w:p>
            <w:pPr>
              <w:spacing w:after="0"/>
              <w:jc w:val="center"/>
            </w:pPr>
            <w:r/>
            <w:r>
              <w:rPr>
                <w:sz w:val="15"/>
              </w:rPr>
              <w:t>0.84</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3600"/>
            <w:vMerge w:val="restart"/>
            <w:shd w:val="clear" w:fill="EEF2F7"/>
          </w:tcPr>
          <w:p>
            <w:pPr>
              <w:spacing w:after="0"/>
            </w:pPr>
            <w:r/>
            <w:r>
              <w:rPr>
                <w:b/>
                <w:sz w:val="15"/>
              </w:rPr>
              <w:t>KNN (k=5, cosine)</w:t>
            </w:r>
          </w:p>
          <w:p>
            <w:pPr>
              <w:spacing w:after="0"/>
            </w:pPr>
            <w:r>
              <w:rPr>
                <w:i/>
                <w:color w:val="555555"/>
                <w:sz w:val="14"/>
              </w:rPr>
              <w:t>TF-IDF uni</w:t>
            </w:r>
          </w:p>
        </w:tc>
        <w:tc>
          <w:tcPr>
            <w:tcW w:type="dxa" w:w="1224"/>
            <w:shd w:val="clear" w:fill="EEF2F7"/>
          </w:tcPr>
          <w:p>
            <w:pPr>
              <w:spacing w:after="0"/>
              <w:jc w:val="center"/>
            </w:pPr>
            <w:r/>
            <w:r>
              <w:rPr>
                <w:sz w:val="15"/>
              </w:rPr>
              <w:t>Bearish</w:t>
            </w:r>
          </w:p>
        </w:tc>
        <w:tc>
          <w:tcPr>
            <w:tcW w:type="dxa" w:w="1224"/>
            <w:shd w:val="clear" w:fill="EEF2F7"/>
          </w:tcPr>
          <w:p>
            <w:pPr>
              <w:spacing w:after="0"/>
              <w:jc w:val="center"/>
            </w:pPr>
            <w:r/>
            <w:r>
              <w:rPr>
                <w:sz w:val="15"/>
              </w:rPr>
              <w:t>0.62</w:t>
            </w:r>
          </w:p>
        </w:tc>
        <w:tc>
          <w:tcPr>
            <w:tcW w:type="dxa" w:w="1152"/>
            <w:shd w:val="clear" w:fill="EEF2F7"/>
          </w:tcPr>
          <w:p>
            <w:pPr>
              <w:spacing w:after="0"/>
              <w:jc w:val="center"/>
            </w:pPr>
            <w:r/>
            <w:r>
              <w:rPr>
                <w:sz w:val="15"/>
              </w:rPr>
              <w:t>0.47</w:t>
            </w:r>
          </w:p>
        </w:tc>
        <w:tc>
          <w:tcPr>
            <w:tcW w:type="dxa" w:w="1008"/>
            <w:shd w:val="clear" w:fill="EEF2F7"/>
          </w:tcPr>
          <w:p>
            <w:pPr>
              <w:spacing w:after="0"/>
              <w:jc w:val="center"/>
            </w:pPr>
            <w:r/>
            <w:r>
              <w:rPr>
                <w:sz w:val="15"/>
              </w:rPr>
              <w:t>0.53</w:t>
            </w:r>
          </w:p>
        </w:tc>
        <w:tc>
          <w:tcPr>
            <w:tcW w:type="dxa" w:w="1224"/>
            <w:shd w:val="clear" w:fill="EEF2F7"/>
          </w:tcPr>
          <w:p>
            <w:pPr>
              <w:spacing w:after="0"/>
              <w:jc w:val="center"/>
            </w:pPr>
            <w:r/>
            <w:r>
              <w:rPr>
                <w:b/>
                <w:sz w:val="15"/>
              </w:rPr>
              <w:t>0.765</w:t>
            </w:r>
          </w:p>
        </w:tc>
        <w:tc>
          <w:tcPr>
            <w:tcW w:type="dxa" w:w="1224"/>
            <w:shd w:val="clear" w:fill="EEF2F7"/>
          </w:tcPr>
          <w:p>
            <w:pPr>
              <w:spacing w:after="0"/>
              <w:jc w:val="center"/>
            </w:pPr>
            <w:r/>
            <w:r>
              <w:rPr>
                <w:b/>
                <w:sz w:val="15"/>
              </w:rPr>
              <w:t>0.668</w:t>
            </w:r>
          </w:p>
        </w:tc>
      </w:tr>
      <w:tr>
        <w:tc>
          <w:tcPr>
            <w:tcW w:type="dxa" w:w="1378"/>
            <w:vMerge/>
            <w:shd w:val="clear" w:fill="EEF2F7"/>
          </w:tcPr>
          <w:p/>
        </w:tc>
        <w:tc>
          <w:tcPr>
            <w:tcW w:type="dxa" w:w="1224"/>
            <w:shd w:val="clear" w:fill="EEF2F7"/>
          </w:tcPr>
          <w:p>
            <w:pPr>
              <w:spacing w:after="0"/>
              <w:jc w:val="center"/>
            </w:pPr>
            <w:r/>
            <w:r>
              <w:rPr>
                <w:sz w:val="15"/>
              </w:rPr>
              <w:t>Bullish</w:t>
            </w:r>
          </w:p>
        </w:tc>
        <w:tc>
          <w:tcPr>
            <w:tcW w:type="dxa" w:w="1224"/>
            <w:shd w:val="clear" w:fill="EEF2F7"/>
          </w:tcPr>
          <w:p>
            <w:pPr>
              <w:spacing w:after="0"/>
              <w:jc w:val="center"/>
            </w:pPr>
            <w:r/>
            <w:r>
              <w:rPr>
                <w:sz w:val="15"/>
              </w:rPr>
              <w:t>0.62</w:t>
            </w:r>
          </w:p>
        </w:tc>
        <w:tc>
          <w:tcPr>
            <w:tcW w:type="dxa" w:w="1152"/>
            <w:shd w:val="clear" w:fill="EEF2F7"/>
          </w:tcPr>
          <w:p>
            <w:pPr>
              <w:spacing w:after="0"/>
              <w:jc w:val="center"/>
            </w:pPr>
            <w:r/>
            <w:r>
              <w:rPr>
                <w:sz w:val="15"/>
              </w:rPr>
              <w:t>0.61</w:t>
            </w:r>
          </w:p>
        </w:tc>
        <w:tc>
          <w:tcPr>
            <w:tcW w:type="dxa" w:w="1008"/>
            <w:shd w:val="clear" w:fill="EEF2F7"/>
          </w:tcPr>
          <w:p>
            <w:pPr>
              <w:spacing w:after="0"/>
              <w:jc w:val="center"/>
            </w:pPr>
            <w:r/>
            <w:r>
              <w:rPr>
                <w:sz w:val="15"/>
              </w:rPr>
              <w:t>0.61</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1378"/>
            <w:vMerge/>
            <w:shd w:val="clear" w:fill="EEF2F7"/>
          </w:tcPr>
          <w:p/>
        </w:tc>
        <w:tc>
          <w:tcPr>
            <w:tcW w:type="dxa" w:w="1224"/>
            <w:shd w:val="clear" w:fill="EEF2F7"/>
          </w:tcPr>
          <w:p>
            <w:pPr>
              <w:spacing w:after="0"/>
              <w:jc w:val="center"/>
            </w:pPr>
            <w:r/>
            <w:r>
              <w:rPr>
                <w:sz w:val="15"/>
              </w:rPr>
              <w:t>Neutral</w:t>
            </w:r>
          </w:p>
        </w:tc>
        <w:tc>
          <w:tcPr>
            <w:tcW w:type="dxa" w:w="1224"/>
            <w:shd w:val="clear" w:fill="EEF2F7"/>
          </w:tcPr>
          <w:p>
            <w:pPr>
              <w:spacing w:after="0"/>
              <w:jc w:val="center"/>
            </w:pPr>
            <w:r/>
            <w:r>
              <w:rPr>
                <w:sz w:val="15"/>
              </w:rPr>
              <w:t>0.83</w:t>
            </w:r>
          </w:p>
        </w:tc>
        <w:tc>
          <w:tcPr>
            <w:tcW w:type="dxa" w:w="1152"/>
            <w:shd w:val="clear" w:fill="EEF2F7"/>
          </w:tcPr>
          <w:p>
            <w:pPr>
              <w:spacing w:after="0"/>
              <w:jc w:val="center"/>
            </w:pPr>
            <w:r/>
            <w:r>
              <w:rPr>
                <w:sz w:val="15"/>
              </w:rPr>
              <w:t>0.89</w:t>
            </w:r>
          </w:p>
        </w:tc>
        <w:tc>
          <w:tcPr>
            <w:tcW w:type="dxa" w:w="1008"/>
            <w:shd w:val="clear" w:fill="EEF2F7"/>
          </w:tcPr>
          <w:p>
            <w:pPr>
              <w:spacing w:after="0"/>
              <w:jc w:val="center"/>
            </w:pPr>
            <w:r/>
            <w:r>
              <w:rPr>
                <w:sz w:val="15"/>
              </w:rPr>
              <w:t>0.86</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3600"/>
            <w:vMerge w:val="restart"/>
          </w:tcPr>
          <w:p>
            <w:pPr>
              <w:spacing w:after="0"/>
            </w:pPr>
            <w:r/>
            <w:r>
              <w:rPr>
                <w:b/>
                <w:sz w:val="15"/>
              </w:rPr>
              <w:t>BiLSTM</w:t>
            </w:r>
          </w:p>
          <w:p>
            <w:pPr>
              <w:spacing w:after="0"/>
            </w:pPr>
            <w:r>
              <w:rPr>
                <w:i/>
                <w:color w:val="555555"/>
                <w:sz w:val="14"/>
              </w:rPr>
              <w:t>GloVe seq</w:t>
            </w:r>
          </w:p>
        </w:tc>
        <w:tc>
          <w:tcPr>
            <w:tcW w:type="dxa" w:w="1224"/>
          </w:tcPr>
          <w:p>
            <w:pPr>
              <w:spacing w:after="0"/>
              <w:jc w:val="center"/>
            </w:pPr>
            <w:r/>
            <w:r>
              <w:rPr>
                <w:sz w:val="15"/>
              </w:rPr>
              <w:t>Bearish</w:t>
            </w:r>
          </w:p>
        </w:tc>
        <w:tc>
          <w:tcPr>
            <w:tcW w:type="dxa" w:w="1224"/>
          </w:tcPr>
          <w:p>
            <w:pPr>
              <w:spacing w:after="0"/>
              <w:jc w:val="center"/>
            </w:pPr>
            <w:r/>
            <w:r>
              <w:rPr>
                <w:sz w:val="15"/>
              </w:rPr>
              <w:t>0.40</w:t>
            </w:r>
          </w:p>
        </w:tc>
        <w:tc>
          <w:tcPr>
            <w:tcW w:type="dxa" w:w="1152"/>
          </w:tcPr>
          <w:p>
            <w:pPr>
              <w:spacing w:after="0"/>
              <w:jc w:val="center"/>
            </w:pPr>
            <w:r/>
            <w:r>
              <w:rPr>
                <w:sz w:val="15"/>
              </w:rPr>
              <w:t>0.69</w:t>
            </w:r>
          </w:p>
        </w:tc>
        <w:tc>
          <w:tcPr>
            <w:tcW w:type="dxa" w:w="1008"/>
          </w:tcPr>
          <w:p>
            <w:pPr>
              <w:spacing w:after="0"/>
              <w:jc w:val="center"/>
            </w:pPr>
            <w:r/>
            <w:r>
              <w:rPr>
                <w:sz w:val="15"/>
              </w:rPr>
              <w:t>0.51</w:t>
            </w:r>
          </w:p>
        </w:tc>
        <w:tc>
          <w:tcPr>
            <w:tcW w:type="dxa" w:w="1224"/>
          </w:tcPr>
          <w:p>
            <w:pPr>
              <w:spacing w:after="0"/>
              <w:jc w:val="center"/>
            </w:pPr>
            <w:r/>
            <w:r>
              <w:rPr>
                <w:b/>
                <w:sz w:val="15"/>
              </w:rPr>
              <w:t>0.722</w:t>
            </w:r>
          </w:p>
        </w:tc>
        <w:tc>
          <w:tcPr>
            <w:tcW w:type="dxa" w:w="1224"/>
          </w:tcPr>
          <w:p>
            <w:pPr>
              <w:spacing w:after="0"/>
              <w:jc w:val="center"/>
            </w:pPr>
            <w:r/>
            <w:r>
              <w:rPr>
                <w:b/>
                <w:sz w:val="15"/>
              </w:rPr>
              <w:t>0.638</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0.68</w:t>
            </w:r>
          </w:p>
        </w:tc>
        <w:tc>
          <w:tcPr>
            <w:tcW w:type="dxa" w:w="1152"/>
          </w:tcPr>
          <w:p>
            <w:pPr>
              <w:spacing w:after="0"/>
              <w:jc w:val="center"/>
            </w:pPr>
            <w:r/>
            <w:r>
              <w:rPr>
                <w:sz w:val="15"/>
              </w:rPr>
              <w:t>0.49</w:t>
            </w:r>
          </w:p>
        </w:tc>
        <w:tc>
          <w:tcPr>
            <w:tcW w:type="dxa" w:w="1008"/>
          </w:tcPr>
          <w:p>
            <w:pPr>
              <w:spacing w:after="0"/>
              <w:jc w:val="center"/>
            </w:pPr>
            <w:r/>
            <w:r>
              <w:rPr>
                <w:sz w:val="15"/>
              </w:rPr>
              <w:t>0.57</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0.87</w:t>
            </w:r>
          </w:p>
        </w:tc>
        <w:tc>
          <w:tcPr>
            <w:tcW w:type="dxa" w:w="1152"/>
          </w:tcPr>
          <w:p>
            <w:pPr>
              <w:spacing w:after="0"/>
              <w:jc w:val="center"/>
            </w:pPr>
            <w:r/>
            <w:r>
              <w:rPr>
                <w:sz w:val="15"/>
              </w:rPr>
              <w:t>0.80</w:t>
            </w:r>
          </w:p>
        </w:tc>
        <w:tc>
          <w:tcPr>
            <w:tcW w:type="dxa" w:w="1008"/>
          </w:tcPr>
          <w:p>
            <w:pPr>
              <w:spacing w:after="0"/>
              <w:jc w:val="center"/>
            </w:pPr>
            <w:r/>
            <w:r>
              <w:rPr>
                <w:sz w:val="15"/>
              </w:rPr>
              <w:t>0.84</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3600"/>
            <w:vMerge w:val="restart"/>
            <w:shd w:val="clear" w:fill="EEF2F7"/>
          </w:tcPr>
          <w:p>
            <w:pPr>
              <w:spacing w:after="0"/>
            </w:pPr>
            <w:r/>
            <w:r>
              <w:rPr>
                <w:b/>
                <w:sz w:val="15"/>
              </w:rPr>
              <w:t>MLP (tuned)</w:t>
            </w:r>
          </w:p>
          <w:p>
            <w:pPr>
              <w:spacing w:after="0"/>
            </w:pPr>
            <w:r>
              <w:rPr>
                <w:i/>
                <w:color w:val="555555"/>
                <w:sz w:val="14"/>
              </w:rPr>
              <w:t>GloVe avg</w:t>
            </w:r>
          </w:p>
        </w:tc>
        <w:tc>
          <w:tcPr>
            <w:tcW w:type="dxa" w:w="1224"/>
            <w:shd w:val="clear" w:fill="EEF2F7"/>
          </w:tcPr>
          <w:p>
            <w:pPr>
              <w:spacing w:after="0"/>
              <w:jc w:val="center"/>
            </w:pPr>
            <w:r/>
            <w:r>
              <w:rPr>
                <w:sz w:val="15"/>
              </w:rPr>
              <w:t>Bearish</w:t>
            </w:r>
          </w:p>
        </w:tc>
        <w:tc>
          <w:tcPr>
            <w:tcW w:type="dxa" w:w="1224"/>
            <w:shd w:val="clear" w:fill="EEF2F7"/>
          </w:tcPr>
          <w:p>
            <w:pPr>
              <w:spacing w:after="0"/>
              <w:jc w:val="center"/>
            </w:pPr>
            <w:r/>
            <w:r>
              <w:rPr>
                <w:sz w:val="15"/>
              </w:rPr>
              <w:t>0.61</w:t>
            </w:r>
          </w:p>
        </w:tc>
        <w:tc>
          <w:tcPr>
            <w:tcW w:type="dxa" w:w="1152"/>
            <w:shd w:val="clear" w:fill="EEF2F7"/>
          </w:tcPr>
          <w:p>
            <w:pPr>
              <w:spacing w:after="0"/>
              <w:jc w:val="center"/>
            </w:pPr>
            <w:r/>
            <w:r>
              <w:rPr>
                <w:sz w:val="15"/>
              </w:rPr>
              <w:t>0.32</w:t>
            </w:r>
          </w:p>
        </w:tc>
        <w:tc>
          <w:tcPr>
            <w:tcW w:type="dxa" w:w="1008"/>
            <w:shd w:val="clear" w:fill="EEF2F7"/>
          </w:tcPr>
          <w:p>
            <w:pPr>
              <w:spacing w:after="0"/>
              <w:jc w:val="center"/>
            </w:pPr>
            <w:r/>
            <w:r>
              <w:rPr>
                <w:sz w:val="15"/>
              </w:rPr>
              <w:t>0.42</w:t>
            </w:r>
          </w:p>
        </w:tc>
        <w:tc>
          <w:tcPr>
            <w:tcW w:type="dxa" w:w="1224"/>
            <w:shd w:val="clear" w:fill="EEF2F7"/>
          </w:tcPr>
          <w:p>
            <w:pPr>
              <w:spacing w:after="0"/>
              <w:jc w:val="center"/>
            </w:pPr>
            <w:r/>
            <w:r>
              <w:rPr>
                <w:b/>
                <w:sz w:val="15"/>
              </w:rPr>
              <w:t>0.742</w:t>
            </w:r>
          </w:p>
        </w:tc>
        <w:tc>
          <w:tcPr>
            <w:tcW w:type="dxa" w:w="1224"/>
            <w:shd w:val="clear" w:fill="EEF2F7"/>
          </w:tcPr>
          <w:p>
            <w:pPr>
              <w:spacing w:after="0"/>
              <w:jc w:val="center"/>
            </w:pPr>
            <w:r/>
            <w:r>
              <w:rPr>
                <w:b/>
                <w:sz w:val="15"/>
              </w:rPr>
              <w:t>0.605</w:t>
            </w:r>
          </w:p>
        </w:tc>
      </w:tr>
      <w:tr>
        <w:tc>
          <w:tcPr>
            <w:tcW w:type="dxa" w:w="1378"/>
            <w:vMerge/>
            <w:shd w:val="clear" w:fill="EEF2F7"/>
          </w:tcPr>
          <w:p/>
        </w:tc>
        <w:tc>
          <w:tcPr>
            <w:tcW w:type="dxa" w:w="1224"/>
            <w:shd w:val="clear" w:fill="EEF2F7"/>
          </w:tcPr>
          <w:p>
            <w:pPr>
              <w:spacing w:after="0"/>
              <w:jc w:val="center"/>
            </w:pPr>
            <w:r/>
            <w:r>
              <w:rPr>
                <w:sz w:val="15"/>
              </w:rPr>
              <w:t>Bullish</w:t>
            </w:r>
          </w:p>
        </w:tc>
        <w:tc>
          <w:tcPr>
            <w:tcW w:type="dxa" w:w="1224"/>
            <w:shd w:val="clear" w:fill="EEF2F7"/>
          </w:tcPr>
          <w:p>
            <w:pPr>
              <w:spacing w:after="0"/>
              <w:jc w:val="center"/>
            </w:pPr>
            <w:r/>
            <w:r>
              <w:rPr>
                <w:sz w:val="15"/>
              </w:rPr>
              <w:t>0.60</w:t>
            </w:r>
          </w:p>
        </w:tc>
        <w:tc>
          <w:tcPr>
            <w:tcW w:type="dxa" w:w="1152"/>
            <w:shd w:val="clear" w:fill="EEF2F7"/>
          </w:tcPr>
          <w:p>
            <w:pPr>
              <w:spacing w:after="0"/>
              <w:jc w:val="center"/>
            </w:pPr>
            <w:r/>
            <w:r>
              <w:rPr>
                <w:sz w:val="15"/>
              </w:rPr>
              <w:t>0.51</w:t>
            </w:r>
          </w:p>
        </w:tc>
        <w:tc>
          <w:tcPr>
            <w:tcW w:type="dxa" w:w="1008"/>
            <w:shd w:val="clear" w:fill="EEF2F7"/>
          </w:tcPr>
          <w:p>
            <w:pPr>
              <w:spacing w:after="0"/>
              <w:jc w:val="center"/>
            </w:pPr>
            <w:r/>
            <w:r>
              <w:rPr>
                <w:sz w:val="15"/>
              </w:rPr>
              <w:t>0.55</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1378"/>
            <w:vMerge/>
            <w:shd w:val="clear" w:fill="EEF2F7"/>
          </w:tcPr>
          <w:p/>
        </w:tc>
        <w:tc>
          <w:tcPr>
            <w:tcW w:type="dxa" w:w="1224"/>
            <w:shd w:val="clear" w:fill="EEF2F7"/>
          </w:tcPr>
          <w:p>
            <w:pPr>
              <w:spacing w:after="0"/>
              <w:jc w:val="center"/>
            </w:pPr>
            <w:r/>
            <w:r>
              <w:rPr>
                <w:sz w:val="15"/>
              </w:rPr>
              <w:t>Neutral</w:t>
            </w:r>
          </w:p>
        </w:tc>
        <w:tc>
          <w:tcPr>
            <w:tcW w:type="dxa" w:w="1224"/>
            <w:shd w:val="clear" w:fill="EEF2F7"/>
          </w:tcPr>
          <w:p>
            <w:pPr>
              <w:spacing w:after="0"/>
              <w:jc w:val="center"/>
            </w:pPr>
            <w:r/>
            <w:r>
              <w:rPr>
                <w:sz w:val="15"/>
              </w:rPr>
              <w:t>0.79</w:t>
            </w:r>
          </w:p>
        </w:tc>
        <w:tc>
          <w:tcPr>
            <w:tcW w:type="dxa" w:w="1152"/>
            <w:shd w:val="clear" w:fill="EEF2F7"/>
          </w:tcPr>
          <w:p>
            <w:pPr>
              <w:spacing w:after="0"/>
              <w:jc w:val="center"/>
            </w:pPr>
            <w:r/>
            <w:r>
              <w:rPr>
                <w:sz w:val="15"/>
              </w:rPr>
              <w:t>0.91</w:t>
            </w:r>
          </w:p>
        </w:tc>
        <w:tc>
          <w:tcPr>
            <w:tcW w:type="dxa" w:w="1008"/>
            <w:shd w:val="clear" w:fill="EEF2F7"/>
          </w:tcPr>
          <w:p>
            <w:pPr>
              <w:spacing w:after="0"/>
              <w:jc w:val="center"/>
            </w:pPr>
            <w:r/>
            <w:r>
              <w:rPr>
                <w:sz w:val="15"/>
              </w:rPr>
              <w:t>0.85</w:t>
            </w:r>
          </w:p>
        </w:tc>
        <w:tc>
          <w:tcPr>
            <w:tcW w:type="dxa" w:w="1224"/>
            <w:shd w:val="clear" w:fill="EEF2F7"/>
          </w:tcPr>
          <w:p>
            <w:pPr>
              <w:spacing w:after="0"/>
              <w:jc w:val="center"/>
            </w:pPr>
            <w:r/>
            <w:r>
              <w:rPr>
                <w:b/>
                <w:sz w:val="15"/>
              </w:rPr>
            </w:r>
          </w:p>
        </w:tc>
        <w:tc>
          <w:tcPr>
            <w:tcW w:type="dxa" w:w="1224"/>
            <w:shd w:val="clear" w:fill="EEF2F7"/>
          </w:tcPr>
          <w:p>
            <w:pPr>
              <w:spacing w:after="0"/>
              <w:jc w:val="center"/>
            </w:pPr>
            <w:r/>
            <w:r>
              <w:rPr>
                <w:b/>
                <w:sz w:val="15"/>
              </w:rPr>
            </w:r>
          </w:p>
        </w:tc>
      </w:tr>
      <w:tr>
        <w:tc>
          <w:tcPr>
            <w:tcW w:type="dxa" w:w="3600"/>
            <w:vMerge w:val="restart"/>
          </w:tcPr>
          <w:p>
            <w:pPr>
              <w:spacing w:after="0"/>
            </w:pPr>
            <w:r/>
            <w:r>
              <w:rPr>
                <w:b/>
                <w:sz w:val="15"/>
              </w:rPr>
              <w:t>Gaussian Naive Bayes</w:t>
            </w:r>
          </w:p>
          <w:p>
            <w:pPr>
              <w:spacing w:after="0"/>
            </w:pPr>
            <w:r>
              <w:rPr>
                <w:i/>
                <w:color w:val="555555"/>
                <w:sz w:val="14"/>
              </w:rPr>
              <w:t>GloVe avg</w:t>
            </w:r>
          </w:p>
        </w:tc>
        <w:tc>
          <w:tcPr>
            <w:tcW w:type="dxa" w:w="1224"/>
          </w:tcPr>
          <w:p>
            <w:pPr>
              <w:spacing w:after="0"/>
              <w:jc w:val="center"/>
            </w:pPr>
            <w:r/>
            <w:r>
              <w:rPr>
                <w:sz w:val="15"/>
              </w:rPr>
              <w:t>Bearish</w:t>
            </w:r>
          </w:p>
        </w:tc>
        <w:tc>
          <w:tcPr>
            <w:tcW w:type="dxa" w:w="1224"/>
          </w:tcPr>
          <w:p>
            <w:pPr>
              <w:spacing w:after="0"/>
              <w:jc w:val="center"/>
            </w:pPr>
            <w:r/>
            <w:r>
              <w:rPr>
                <w:sz w:val="15"/>
              </w:rPr>
              <w:t>0.38</w:t>
            </w:r>
          </w:p>
        </w:tc>
        <w:tc>
          <w:tcPr>
            <w:tcW w:type="dxa" w:w="1152"/>
          </w:tcPr>
          <w:p>
            <w:pPr>
              <w:spacing w:after="0"/>
              <w:jc w:val="center"/>
            </w:pPr>
            <w:r/>
            <w:r>
              <w:rPr>
                <w:sz w:val="15"/>
              </w:rPr>
              <w:t>0.31</w:t>
            </w:r>
          </w:p>
        </w:tc>
        <w:tc>
          <w:tcPr>
            <w:tcW w:type="dxa" w:w="1008"/>
          </w:tcPr>
          <w:p>
            <w:pPr>
              <w:spacing w:after="0"/>
              <w:jc w:val="center"/>
            </w:pPr>
            <w:r/>
            <w:r>
              <w:rPr>
                <w:sz w:val="15"/>
              </w:rPr>
              <w:t>0.34</w:t>
            </w:r>
          </w:p>
        </w:tc>
        <w:tc>
          <w:tcPr>
            <w:tcW w:type="dxa" w:w="1224"/>
          </w:tcPr>
          <w:p>
            <w:pPr>
              <w:spacing w:after="0"/>
              <w:jc w:val="center"/>
            </w:pPr>
            <w:r/>
            <w:r>
              <w:rPr>
                <w:b/>
                <w:sz w:val="15"/>
              </w:rPr>
              <w:t>0.660</w:t>
            </w:r>
          </w:p>
        </w:tc>
        <w:tc>
          <w:tcPr>
            <w:tcW w:type="dxa" w:w="1224"/>
          </w:tcPr>
          <w:p>
            <w:pPr>
              <w:spacing w:after="0"/>
              <w:jc w:val="center"/>
            </w:pPr>
            <w:r/>
            <w:r>
              <w:rPr>
                <w:b/>
                <w:sz w:val="15"/>
              </w:rPr>
              <w:t>0.543</w:t>
            </w:r>
          </w:p>
        </w:tc>
      </w:tr>
      <w:tr>
        <w:tc>
          <w:tcPr>
            <w:tcW w:type="dxa" w:w="1378"/>
            <w:vMerge/>
          </w:tcPr>
          <w:p/>
        </w:tc>
        <w:tc>
          <w:tcPr>
            <w:tcW w:type="dxa" w:w="1224"/>
          </w:tcPr>
          <w:p>
            <w:pPr>
              <w:spacing w:after="0"/>
              <w:jc w:val="center"/>
            </w:pPr>
            <w:r/>
            <w:r>
              <w:rPr>
                <w:sz w:val="15"/>
              </w:rPr>
              <w:t>Bullish</w:t>
            </w:r>
          </w:p>
        </w:tc>
        <w:tc>
          <w:tcPr>
            <w:tcW w:type="dxa" w:w="1224"/>
          </w:tcPr>
          <w:p>
            <w:pPr>
              <w:spacing w:after="0"/>
              <w:jc w:val="center"/>
            </w:pPr>
            <w:r/>
            <w:r>
              <w:rPr>
                <w:sz w:val="15"/>
              </w:rPr>
              <w:t>0.43</w:t>
            </w:r>
          </w:p>
        </w:tc>
        <w:tc>
          <w:tcPr>
            <w:tcW w:type="dxa" w:w="1152"/>
          </w:tcPr>
          <w:p>
            <w:pPr>
              <w:spacing w:after="0"/>
              <w:jc w:val="center"/>
            </w:pPr>
            <w:r/>
            <w:r>
              <w:rPr>
                <w:sz w:val="15"/>
              </w:rPr>
              <w:t>0.58</w:t>
            </w:r>
          </w:p>
        </w:tc>
        <w:tc>
          <w:tcPr>
            <w:tcW w:type="dxa" w:w="1008"/>
          </w:tcPr>
          <w:p>
            <w:pPr>
              <w:spacing w:after="0"/>
              <w:jc w:val="center"/>
            </w:pPr>
            <w:r/>
            <w:r>
              <w:rPr>
                <w:sz w:val="15"/>
              </w:rPr>
              <w:t>0.49</w:t>
            </w:r>
          </w:p>
        </w:tc>
        <w:tc>
          <w:tcPr>
            <w:tcW w:type="dxa" w:w="1224"/>
          </w:tcPr>
          <w:p>
            <w:pPr>
              <w:spacing w:after="0"/>
              <w:jc w:val="center"/>
            </w:pPr>
            <w:r/>
            <w:r>
              <w:rPr>
                <w:b/>
                <w:sz w:val="15"/>
              </w:rPr>
            </w:r>
          </w:p>
        </w:tc>
        <w:tc>
          <w:tcPr>
            <w:tcW w:type="dxa" w:w="1224"/>
          </w:tcPr>
          <w:p>
            <w:pPr>
              <w:spacing w:after="0"/>
              <w:jc w:val="center"/>
            </w:pPr>
            <w:r/>
            <w:r>
              <w:rPr>
                <w:b/>
                <w:sz w:val="15"/>
              </w:rPr>
            </w:r>
          </w:p>
        </w:tc>
      </w:tr>
      <w:tr>
        <w:tc>
          <w:tcPr>
            <w:tcW w:type="dxa" w:w="1378"/>
            <w:vMerge/>
          </w:tcPr>
          <w:p/>
        </w:tc>
        <w:tc>
          <w:tcPr>
            <w:tcW w:type="dxa" w:w="1224"/>
          </w:tcPr>
          <w:p>
            <w:pPr>
              <w:spacing w:after="0"/>
              <w:jc w:val="center"/>
            </w:pPr>
            <w:r/>
            <w:r>
              <w:rPr>
                <w:sz w:val="15"/>
              </w:rPr>
              <w:t>Neutral</w:t>
            </w:r>
          </w:p>
        </w:tc>
        <w:tc>
          <w:tcPr>
            <w:tcW w:type="dxa" w:w="1224"/>
          </w:tcPr>
          <w:p>
            <w:pPr>
              <w:spacing w:after="0"/>
              <w:jc w:val="center"/>
            </w:pPr>
            <w:r/>
            <w:r>
              <w:rPr>
                <w:sz w:val="15"/>
              </w:rPr>
              <w:t>0.83</w:t>
            </w:r>
          </w:p>
        </w:tc>
        <w:tc>
          <w:tcPr>
            <w:tcW w:type="dxa" w:w="1152"/>
          </w:tcPr>
          <w:p>
            <w:pPr>
              <w:spacing w:after="0"/>
              <w:jc w:val="center"/>
            </w:pPr>
            <w:r/>
            <w:r>
              <w:rPr>
                <w:sz w:val="15"/>
              </w:rPr>
              <w:t>0.76</w:t>
            </w:r>
          </w:p>
        </w:tc>
        <w:tc>
          <w:tcPr>
            <w:tcW w:type="dxa" w:w="1008"/>
          </w:tcPr>
          <w:p>
            <w:pPr>
              <w:spacing w:after="0"/>
              <w:jc w:val="center"/>
            </w:pPr>
            <w:r/>
            <w:r>
              <w:rPr>
                <w:sz w:val="15"/>
              </w:rPr>
              <w:t>0.79</w:t>
            </w:r>
          </w:p>
        </w:tc>
        <w:tc>
          <w:tcPr>
            <w:tcW w:type="dxa" w:w="1224"/>
          </w:tcPr>
          <w:p>
            <w:pPr>
              <w:spacing w:after="0"/>
              <w:jc w:val="center"/>
            </w:pPr>
            <w:r/>
            <w:r>
              <w:rPr>
                <w:b/>
                <w:sz w:val="15"/>
              </w:rPr>
            </w:r>
          </w:p>
        </w:tc>
        <w:tc>
          <w:tcPr>
            <w:tcW w:type="dxa" w:w="1224"/>
          </w:tcPr>
          <w:p>
            <w:pPr>
              <w:spacing w:after="0"/>
              <w:jc w:val="center"/>
            </w:pPr>
            <w:r/>
            <w:r>
              <w:rPr>
                <w:b/>
                <w:sz w:val="15"/>
              </w:rPr>
            </w:r>
          </w:p>
        </w:tc>
      </w:tr>
    </w:tbl>
    <w:p>
      <w:pPr>
        <w:spacing w:after="40"/>
      </w:pPr>
    </w:p>
    <w:p>
      <w:pPr>
        <w:spacing w:after="40" w:before="0"/>
      </w:pPr>
      <w:r>
        <w:rPr>
          <w:b w:val="0"/>
          <w:i w:val="0"/>
          <w:sz w:val="18"/>
        </w:rPr>
        <w:t>Reading note: across every model, Neutral recall is the highest and Bearish recall the lowest, and class-weighting plus a nonlinear head is what lifts Bearish recall from 0.31 (Gaussian NB) to 0.67–0.76 in the top models — the central evaluation story of the project.</w:t>
      </w:r>
    </w:p>
    <w:p>
      <w:r>
        <w:br w:type="page"/>
      </w:r>
    </w:p>
    <w:p>
      <w:pPr>
        <w:pStyle w:val="Heading1"/>
      </w:pPr>
      <w:r>
        <w:t>Appendix B — Confusion-matrix gallery</w:t>
      </w:r>
    </w:p>
    <w:p>
      <w:pPr>
        <w:spacing w:after="80" w:before="0"/>
      </w:pPr>
      <w:r>
        <w:rPr>
          <w:b w:val="0"/>
          <w:i w:val="0"/>
          <w:sz w:val="22"/>
        </w:rPr>
        <w:t>Validation-set confusion matrices (true label by row, predicted by column) for every classifier in Section 5 not already shown in the main body. The exploratory-analysis charts (label distribution, word clouds, domain signals), the model × feature heatmap and the submitted model's confusion matrix appear as Figures 1–5 in the main report.</w:t>
      </w:r>
    </w:p>
    <w:tbl>
      <w:tblPr>
        <w:tblW w:type="auto" w:w="0"/>
        <w:jc w:val="center"/>
        <w:tblLook w:firstColumn="1" w:firstRow="1" w:lastColumn="0" w:lastRow="0" w:noHBand="0" w:noVBand="1" w:val="04A0"/>
      </w:tblPr>
      <w:tblGrid>
        <w:gridCol w:w="4824"/>
        <w:gridCol w:w="4824"/>
      </w:tblGrid>
      <w:tr>
        <w:tc>
          <w:tcPr>
            <w:tcW w:type="dxa" w:w="4824"/>
          </w:tcPr>
          <w:p>
            <w:pPr>
              <w:spacing w:after="20"/>
              <w:jc w:val="center"/>
            </w:pPr>
            <w:r>
              <w:drawing>
                <wp:inline xmlns:a="http://schemas.openxmlformats.org/drawingml/2006/main" xmlns:pic="http://schemas.openxmlformats.org/drawingml/2006/picture">
                  <wp:extent cx="2468880" cy="2364214"/>
                  <wp:docPr id="6" name="Picture 6"/>
                  <wp:cNvGraphicFramePr>
                    <a:graphicFrameLocks noChangeAspect="1"/>
                  </wp:cNvGraphicFramePr>
                  <a:graphic>
                    <a:graphicData uri="http://schemas.openxmlformats.org/drawingml/2006/picture">
                      <pic:pic>
                        <pic:nvPicPr>
                          <pic:cNvPr id="0" name="cell57_0.png"/>
                          <pic:cNvPicPr/>
                        </pic:nvPicPr>
                        <pic:blipFill>
                          <a:blip r:embed="rId14"/>
                          <a:stretch>
                            <a:fillRect/>
                          </a:stretch>
                        </pic:blipFill>
                        <pic:spPr>
                          <a:xfrm>
                            <a:off x="0" y="0"/>
                            <a:ext cx="2468880" cy="2364214"/>
                          </a:xfrm>
                          <a:prstGeom prst="rect"/>
                        </pic:spPr>
                      </pic:pic>
                    </a:graphicData>
                  </a:graphic>
                </wp:inline>
              </w:drawing>
            </w:r>
          </w:p>
          <w:p>
            <w:pPr>
              <w:spacing w:after="80"/>
              <w:jc w:val="center"/>
            </w:pPr>
            <w:r>
              <w:rPr>
                <w:i/>
                <w:color w:val="555555"/>
                <w:sz w:val="16"/>
              </w:rPr>
              <w:t>B-1. KNN (k=5) on TF-IDF</w:t>
            </w:r>
          </w:p>
        </w:tc>
        <w:tc>
          <w:tcPr>
            <w:tcW w:type="dxa" w:w="4824"/>
          </w:tcPr>
          <w:p>
            <w:pPr>
              <w:spacing w:after="20"/>
              <w:jc w:val="center"/>
            </w:pPr>
            <w:r>
              <w:drawing>
                <wp:inline xmlns:a="http://schemas.openxmlformats.org/drawingml/2006/main" xmlns:pic="http://schemas.openxmlformats.org/drawingml/2006/picture">
                  <wp:extent cx="2468880" cy="2364214"/>
                  <wp:docPr id="7" name="Picture 7"/>
                  <wp:cNvGraphicFramePr>
                    <a:graphicFrameLocks noChangeAspect="1"/>
                  </wp:cNvGraphicFramePr>
                  <a:graphic>
                    <a:graphicData uri="http://schemas.openxmlformats.org/drawingml/2006/picture">
                      <pic:pic>
                        <pic:nvPicPr>
                          <pic:cNvPr id="0" name="cell59_0.png"/>
                          <pic:cNvPicPr/>
                        </pic:nvPicPr>
                        <pic:blipFill>
                          <a:blip r:embed="rId15"/>
                          <a:stretch>
                            <a:fillRect/>
                          </a:stretch>
                        </pic:blipFill>
                        <pic:spPr>
                          <a:xfrm>
                            <a:off x="0" y="0"/>
                            <a:ext cx="2468880" cy="2364214"/>
                          </a:xfrm>
                          <a:prstGeom prst="rect"/>
                        </pic:spPr>
                      </pic:pic>
                    </a:graphicData>
                  </a:graphic>
                </wp:inline>
              </w:drawing>
            </w:r>
          </w:p>
          <w:p>
            <w:pPr>
              <w:spacing w:after="80"/>
              <w:jc w:val="center"/>
            </w:pPr>
            <w:r>
              <w:rPr>
                <w:i/>
                <w:color w:val="555555"/>
                <w:sz w:val="16"/>
              </w:rPr>
              <w:t>B-2. Logistic Regression on TF-IDF</w:t>
            </w:r>
          </w:p>
        </w:tc>
      </w:tr>
    </w:tbl>
    <w:p>
      <w:pPr>
        <w:spacing w:after="40"/>
      </w:pPr>
    </w:p>
    <w:tbl>
      <w:tblPr>
        <w:tblW w:type="auto" w:w="0"/>
        <w:jc w:val="center"/>
        <w:tblLook w:firstColumn="1" w:firstRow="1" w:lastColumn="0" w:lastRow="0" w:noHBand="0" w:noVBand="1" w:val="04A0"/>
      </w:tblPr>
      <w:tblGrid>
        <w:gridCol w:w="4824"/>
        <w:gridCol w:w="4824"/>
      </w:tblGrid>
      <w:tr>
        <w:tc>
          <w:tcPr>
            <w:tcW w:type="dxa" w:w="4824"/>
          </w:tcPr>
          <w:p>
            <w:pPr>
              <w:spacing w:after="20"/>
              <w:jc w:val="center"/>
            </w:pPr>
            <w:r>
              <w:drawing>
                <wp:inline xmlns:a="http://schemas.openxmlformats.org/drawingml/2006/main" xmlns:pic="http://schemas.openxmlformats.org/drawingml/2006/picture">
                  <wp:extent cx="2468880" cy="2364214"/>
                  <wp:docPr id="8" name="Picture 8"/>
                  <wp:cNvGraphicFramePr>
                    <a:graphicFrameLocks noChangeAspect="1"/>
                  </wp:cNvGraphicFramePr>
                  <a:graphic>
                    <a:graphicData uri="http://schemas.openxmlformats.org/drawingml/2006/picture">
                      <pic:pic>
                        <pic:nvPicPr>
                          <pic:cNvPr id="0" name="cell61_0.png"/>
                          <pic:cNvPicPr/>
                        </pic:nvPicPr>
                        <pic:blipFill>
                          <a:blip r:embed="rId16"/>
                          <a:stretch>
                            <a:fillRect/>
                          </a:stretch>
                        </pic:blipFill>
                        <pic:spPr>
                          <a:xfrm>
                            <a:off x="0" y="0"/>
                            <a:ext cx="2468880" cy="2364214"/>
                          </a:xfrm>
                          <a:prstGeom prst="rect"/>
                        </pic:spPr>
                      </pic:pic>
                    </a:graphicData>
                  </a:graphic>
                </wp:inline>
              </w:drawing>
            </w:r>
          </w:p>
          <w:p>
            <w:pPr>
              <w:spacing w:after="80"/>
              <w:jc w:val="center"/>
            </w:pPr>
            <w:r>
              <w:rPr>
                <w:i/>
                <w:color w:val="555555"/>
                <w:sz w:val="16"/>
              </w:rPr>
              <w:t>B-3. Gaussian Naive Bayes on averaged GloVe</w:t>
            </w:r>
          </w:p>
        </w:tc>
        <w:tc>
          <w:tcPr>
            <w:tcW w:type="dxa" w:w="4824"/>
          </w:tcPr>
          <w:p>
            <w:pPr>
              <w:spacing w:after="20"/>
              <w:jc w:val="center"/>
            </w:pPr>
            <w:r>
              <w:drawing>
                <wp:inline xmlns:a="http://schemas.openxmlformats.org/drawingml/2006/main" xmlns:pic="http://schemas.openxmlformats.org/drawingml/2006/picture">
                  <wp:extent cx="2468880" cy="2364214"/>
                  <wp:docPr id="9" name="Picture 9"/>
                  <wp:cNvGraphicFramePr>
                    <a:graphicFrameLocks noChangeAspect="1"/>
                  </wp:cNvGraphicFramePr>
                  <a:graphic>
                    <a:graphicData uri="http://schemas.openxmlformats.org/drawingml/2006/picture">
                      <pic:pic>
                        <pic:nvPicPr>
                          <pic:cNvPr id="0" name="cell63_0.png"/>
                          <pic:cNvPicPr/>
                        </pic:nvPicPr>
                        <pic:blipFill>
                          <a:blip r:embed="rId17"/>
                          <a:stretch>
                            <a:fillRect/>
                          </a:stretch>
                        </pic:blipFill>
                        <pic:spPr>
                          <a:xfrm>
                            <a:off x="0" y="0"/>
                            <a:ext cx="2468880" cy="2364214"/>
                          </a:xfrm>
                          <a:prstGeom prst="rect"/>
                        </pic:spPr>
                      </pic:pic>
                    </a:graphicData>
                  </a:graphic>
                </wp:inline>
              </w:drawing>
            </w:r>
          </w:p>
          <w:p>
            <w:pPr>
              <w:spacing w:after="80"/>
              <w:jc w:val="center"/>
            </w:pPr>
            <w:r>
              <w:rPr>
                <w:i/>
                <w:color w:val="555555"/>
                <w:sz w:val="16"/>
              </w:rPr>
              <w:t>B-4. MLP on averaged GloVe</w:t>
            </w:r>
          </w:p>
        </w:tc>
      </w:tr>
    </w:tbl>
    <w:p>
      <w:pPr>
        <w:spacing w:after="40"/>
      </w:pPr>
    </w:p>
    <w:tbl>
      <w:tblPr>
        <w:tblW w:type="auto" w:w="0"/>
        <w:jc w:val="center"/>
        <w:tblLook w:firstColumn="1" w:firstRow="1" w:lastColumn="0" w:lastRow="0" w:noHBand="0" w:noVBand="1" w:val="04A0"/>
      </w:tblPr>
      <w:tblGrid>
        <w:gridCol w:w="4824"/>
        <w:gridCol w:w="4824"/>
      </w:tblGrid>
      <w:tr>
        <w:tc>
          <w:tcPr>
            <w:tcW w:type="dxa" w:w="4824"/>
          </w:tcPr>
          <w:p>
            <w:pPr>
              <w:spacing w:after="20"/>
              <w:jc w:val="center"/>
            </w:pPr>
            <w:r>
              <w:drawing>
                <wp:inline xmlns:a="http://schemas.openxmlformats.org/drawingml/2006/main" xmlns:pic="http://schemas.openxmlformats.org/drawingml/2006/picture">
                  <wp:extent cx="2468880" cy="2364214"/>
                  <wp:docPr id="10" name="Picture 10"/>
                  <wp:cNvGraphicFramePr>
                    <a:graphicFrameLocks noChangeAspect="1"/>
                  </wp:cNvGraphicFramePr>
                  <a:graphic>
                    <a:graphicData uri="http://schemas.openxmlformats.org/drawingml/2006/picture">
                      <pic:pic>
                        <pic:nvPicPr>
                          <pic:cNvPr id="0" name="cell66_0.png"/>
                          <pic:cNvPicPr/>
                        </pic:nvPicPr>
                        <pic:blipFill>
                          <a:blip r:embed="rId18"/>
                          <a:stretch>
                            <a:fillRect/>
                          </a:stretch>
                        </pic:blipFill>
                        <pic:spPr>
                          <a:xfrm>
                            <a:off x="0" y="0"/>
                            <a:ext cx="2468880" cy="2364214"/>
                          </a:xfrm>
                          <a:prstGeom prst="rect"/>
                        </pic:spPr>
                      </pic:pic>
                    </a:graphicData>
                  </a:graphic>
                </wp:inline>
              </w:drawing>
            </w:r>
          </w:p>
          <w:p>
            <w:pPr>
              <w:spacing w:after="80"/>
              <w:jc w:val="center"/>
            </w:pPr>
            <w:r>
              <w:rPr>
                <w:i/>
                <w:color w:val="555555"/>
                <w:sz w:val="16"/>
              </w:rPr>
              <w:t>B-5. BiLSTM on GloVe sequences</w:t>
            </w:r>
          </w:p>
        </w:tc>
        <w:tc>
          <w:tcPr>
            <w:tcW w:type="dxa" w:w="4824"/>
          </w:tcPr>
          <w:p>
            <w:pPr>
              <w:spacing w:after="20"/>
              <w:jc w:val="center"/>
            </w:pPr>
            <w:r>
              <w:drawing>
                <wp:inline xmlns:a="http://schemas.openxmlformats.org/drawingml/2006/main" xmlns:pic="http://schemas.openxmlformats.org/drawingml/2006/picture">
                  <wp:extent cx="2468880" cy="2364214"/>
                  <wp:docPr id="11" name="Picture 11"/>
                  <wp:cNvGraphicFramePr>
                    <a:graphicFrameLocks noChangeAspect="1"/>
                  </wp:cNvGraphicFramePr>
                  <a:graphic>
                    <a:graphicData uri="http://schemas.openxmlformats.org/drawingml/2006/picture">
                      <pic:pic>
                        <pic:nvPicPr>
                          <pic:cNvPr id="0" name="cell69_0.png"/>
                          <pic:cNvPicPr/>
                        </pic:nvPicPr>
                        <pic:blipFill>
                          <a:blip r:embed="rId19"/>
                          <a:stretch>
                            <a:fillRect/>
                          </a:stretch>
                        </pic:blipFill>
                        <pic:spPr>
                          <a:xfrm>
                            <a:off x="0" y="0"/>
                            <a:ext cx="2468880" cy="2364214"/>
                          </a:xfrm>
                          <a:prstGeom prst="rect"/>
                        </pic:spPr>
                      </pic:pic>
                    </a:graphicData>
                  </a:graphic>
                </wp:inline>
              </w:drawing>
            </w:r>
          </w:p>
          <w:p>
            <w:pPr>
              <w:spacing w:after="80"/>
              <w:jc w:val="center"/>
            </w:pPr>
            <w:r>
              <w:rPr>
                <w:i/>
                <w:color w:val="555555"/>
                <w:sz w:val="16"/>
              </w:rPr>
              <w:t>B-6. DistilBERT (frozen) + LogReg</w:t>
            </w:r>
          </w:p>
        </w:tc>
      </w:tr>
    </w:tbl>
    <w:p>
      <w:pPr>
        <w:spacing w:after="40"/>
      </w:pPr>
    </w:p>
    <w:tbl>
      <w:tblPr>
        <w:tblW w:type="auto" w:w="0"/>
        <w:jc w:val="center"/>
        <w:tblLook w:firstColumn="1" w:firstRow="1" w:lastColumn="0" w:lastRow="0" w:noHBand="0" w:noVBand="1" w:val="04A0"/>
      </w:tblPr>
      <w:tblGrid>
        <w:gridCol w:w="4824"/>
        <w:gridCol w:w="4824"/>
      </w:tblGrid>
      <w:tr>
        <w:tc>
          <w:tcPr>
            <w:tcW w:type="dxa" w:w="4824"/>
          </w:tcPr>
          <w:p>
            <w:pPr>
              <w:spacing w:after="20"/>
              <w:jc w:val="center"/>
            </w:pPr>
            <w:r>
              <w:drawing>
                <wp:inline xmlns:a="http://schemas.openxmlformats.org/drawingml/2006/main" xmlns:pic="http://schemas.openxmlformats.org/drawingml/2006/picture">
                  <wp:extent cx="2468880" cy="2364214"/>
                  <wp:docPr id="12" name="Picture 12"/>
                  <wp:cNvGraphicFramePr>
                    <a:graphicFrameLocks noChangeAspect="1"/>
                  </wp:cNvGraphicFramePr>
                  <a:graphic>
                    <a:graphicData uri="http://schemas.openxmlformats.org/drawingml/2006/picture">
                      <pic:pic>
                        <pic:nvPicPr>
                          <pic:cNvPr id="0" name="cell69_1.png"/>
                          <pic:cNvPicPr/>
                        </pic:nvPicPr>
                        <pic:blipFill>
                          <a:blip r:embed="rId20"/>
                          <a:stretch>
                            <a:fillRect/>
                          </a:stretch>
                        </pic:blipFill>
                        <pic:spPr>
                          <a:xfrm>
                            <a:off x="0" y="0"/>
                            <a:ext cx="2468880" cy="2364214"/>
                          </a:xfrm>
                          <a:prstGeom prst="rect"/>
                        </pic:spPr>
                      </pic:pic>
                    </a:graphicData>
                  </a:graphic>
                </wp:inline>
              </w:drawing>
            </w:r>
          </w:p>
          <w:p>
            <w:pPr>
              <w:spacing w:after="80"/>
              <w:jc w:val="center"/>
            </w:pPr>
            <w:r>
              <w:rPr>
                <w:i/>
                <w:color w:val="555555"/>
                <w:sz w:val="16"/>
              </w:rPr>
              <w:t>B-7. FinBERT (frozen) + LogReg</w:t>
            </w:r>
          </w:p>
        </w:tc>
        <w:tc>
          <w:tcPr>
            <w:tcW w:type="dxa" w:w="4824"/>
          </w:tcPr>
          <w:p>
            <w:pPr>
              <w:spacing w:after="20"/>
              <w:jc w:val="center"/>
            </w:pPr>
            <w:r>
              <w:drawing>
                <wp:inline xmlns:a="http://schemas.openxmlformats.org/drawingml/2006/main" xmlns:pic="http://schemas.openxmlformats.org/drawingml/2006/picture">
                  <wp:extent cx="2468880" cy="2364214"/>
                  <wp:docPr id="13" name="Picture 13"/>
                  <wp:cNvGraphicFramePr>
                    <a:graphicFrameLocks noChangeAspect="1"/>
                  </wp:cNvGraphicFramePr>
                  <a:graphic>
                    <a:graphicData uri="http://schemas.openxmlformats.org/drawingml/2006/picture">
                      <pic:pic>
                        <pic:nvPicPr>
                          <pic:cNvPr id="0" name="cell69_2.png"/>
                          <pic:cNvPicPr/>
                        </pic:nvPicPr>
                        <pic:blipFill>
                          <a:blip r:embed="rId21"/>
                          <a:stretch>
                            <a:fillRect/>
                          </a:stretch>
                        </pic:blipFill>
                        <pic:spPr>
                          <a:xfrm>
                            <a:off x="0" y="0"/>
                            <a:ext cx="2468880" cy="2364214"/>
                          </a:xfrm>
                          <a:prstGeom prst="rect"/>
                        </pic:spPr>
                      </pic:pic>
                    </a:graphicData>
                  </a:graphic>
                </wp:inline>
              </w:drawing>
            </w:r>
          </w:p>
          <w:p>
            <w:pPr>
              <w:spacing w:after="80"/>
              <w:jc w:val="center"/>
            </w:pPr>
            <w:r>
              <w:rPr>
                <w:i/>
                <w:color w:val="555555"/>
                <w:sz w:val="16"/>
              </w:rPr>
              <w:t>B-8. twitter-roberta (frozen) + LogReg</w:t>
            </w:r>
          </w:p>
        </w:tc>
      </w:tr>
    </w:tbl>
    <w:p>
      <w:pPr>
        <w:spacing w:after="40"/>
      </w:pPr>
    </w:p>
    <w:p>
      <w:r>
        <w:br w:type="page"/>
      </w:r>
    </w:p>
    <w:p>
      <w:pPr>
        <w:pStyle w:val="Heading1"/>
      </w:pPr>
      <w:r>
        <w:t>Appendix C — Supplementary experimental data</w:t>
      </w:r>
    </w:p>
    <w:p>
      <w:pPr>
        <w:pStyle w:val="Heading2"/>
      </w:pPr>
      <w:r>
        <w:t>C.1 Preprocessing and feature-engineering probe scores</w:t>
      </w:r>
    </w:p>
    <w:p>
      <w:pPr>
        <w:spacing w:after="60" w:before="0"/>
      </w:pPr>
      <w:r>
        <w:rPr>
          <w:b w:val="0"/>
          <w:i w:val="0"/>
          <w:sz w:val="22"/>
        </w:rPr>
        <w:t>Each representation was scored with a fixed Logistic Regression probe on the same split, so representations are compared on equal footing.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fill="1F3B63"/>
          </w:tcPr>
          <w:p>
            <w:pPr>
              <w:spacing w:after="20" w:before="20"/>
            </w:pPr>
            <w:r/>
            <w:r>
              <w:rPr>
                <w:b/>
                <w:color w:val="FFFFFF"/>
                <w:sz w:val="17"/>
              </w:rPr>
              <w:t>Stage / Representation</w:t>
            </w:r>
          </w:p>
        </w:tc>
        <w:tc>
          <w:tcPr>
            <w:tcW w:type="dxa" w:w="3744"/>
            <w:shd w:val="clear" w:fill="1F3B63"/>
          </w:tcPr>
          <w:p>
            <w:pPr>
              <w:spacing w:after="20" w:before="20"/>
            </w:pPr>
            <w:r/>
            <w:r>
              <w:rPr>
                <w:b/>
                <w:color w:val="FFFFFF"/>
                <w:sz w:val="17"/>
              </w:rPr>
              <w:t>Variant</w:t>
            </w:r>
          </w:p>
        </w:tc>
        <w:tc>
          <w:tcPr>
            <w:tcW w:type="dxa" w:w="2304"/>
            <w:shd w:val="clear" w:fill="1F3B63"/>
          </w:tcPr>
          <w:p>
            <w:pPr>
              <w:spacing w:after="20" w:before="20"/>
            </w:pPr>
            <w:r/>
            <w:r>
              <w:rPr>
                <w:b/>
                <w:color w:val="FFFFFF"/>
                <w:sz w:val="17"/>
              </w:rPr>
              <w:t>Validation macro-F1</w:t>
            </w:r>
          </w:p>
        </w:tc>
        <w:tc>
          <w:tcPr>
            <w:tcW w:type="dxa" w:w="2304"/>
            <w:shd w:val="clear" w:fill="1F3B63"/>
          </w:tcPr>
          <w:p>
            <w:pPr>
              <w:spacing w:after="20" w:before="20"/>
            </w:pPr>
            <w:r/>
            <w:r>
              <w:rPr>
                <w:b/>
                <w:color w:val="FFFFFF"/>
                <w:sz w:val="17"/>
              </w:rPr>
              <w:t>Notes</w:t>
            </w:r>
          </w:p>
        </w:tc>
      </w:tr>
      <w:tr>
        <w:tc>
          <w:tcPr>
            <w:tcW w:type="dxa" w:w="2160"/>
          </w:tcPr>
          <w:p>
            <w:pPr>
              <w:spacing w:after="20" w:before="20"/>
            </w:pPr>
            <w:r/>
            <w:r>
              <w:rPr>
                <w:sz w:val="17"/>
              </w:rPr>
              <w:t>Preprocessing</w:t>
            </w:r>
          </w:p>
        </w:tc>
        <w:tc>
          <w:tcPr>
            <w:tcW w:type="dxa" w:w="3744"/>
          </w:tcPr>
          <w:p>
            <w:pPr>
              <w:spacing w:after="20" w:before="20"/>
            </w:pPr>
            <w:r/>
            <w:r>
              <w:rPr>
                <w:sz w:val="17"/>
              </w:rPr>
              <w:t>Conservative (ticker/pct/num, keep negation)</w:t>
            </w:r>
          </w:p>
        </w:tc>
        <w:tc>
          <w:tcPr>
            <w:tcW w:type="dxa" w:w="2304"/>
          </w:tcPr>
          <w:p>
            <w:pPr>
              <w:spacing w:after="20" w:before="20"/>
            </w:pPr>
            <w:r/>
            <w:r>
              <w:rPr>
                <w:sz w:val="17"/>
              </w:rPr>
              <w:t>0.7092</w:t>
            </w:r>
          </w:p>
        </w:tc>
        <w:tc>
          <w:tcPr>
            <w:tcW w:type="dxa" w:w="2304"/>
          </w:tcPr>
          <w:p>
            <w:pPr>
              <w:spacing w:after="20" w:before="20"/>
            </w:pPr>
            <w:r/>
            <w:r>
              <w:rPr>
                <w:sz w:val="17"/>
              </w:rPr>
              <w:t>kept; vocab 11,368</w:t>
            </w:r>
          </w:p>
        </w:tc>
      </w:tr>
      <w:tr>
        <w:tc>
          <w:tcPr>
            <w:tcW w:type="dxa" w:w="2160"/>
            <w:shd w:val="clear" w:fill="EEF2F7"/>
          </w:tcPr>
          <w:p>
            <w:pPr>
              <w:spacing w:after="20" w:before="20"/>
            </w:pPr>
            <w:r/>
            <w:r>
              <w:rPr>
                <w:sz w:val="17"/>
              </w:rPr>
              <w:t>Preprocessing</w:t>
            </w:r>
          </w:p>
        </w:tc>
        <w:tc>
          <w:tcPr>
            <w:tcW w:type="dxa" w:w="3744"/>
            <w:shd w:val="clear" w:fill="EEF2F7"/>
          </w:tcPr>
          <w:p>
            <w:pPr>
              <w:spacing w:after="20" w:before="20"/>
            </w:pPr>
            <w:r/>
            <w:r>
              <w:rPr>
                <w:sz w:val="17"/>
              </w:rPr>
              <w:t>Aggressive (lab-style)</w:t>
            </w:r>
          </w:p>
        </w:tc>
        <w:tc>
          <w:tcPr>
            <w:tcW w:type="dxa" w:w="2304"/>
            <w:shd w:val="clear" w:fill="EEF2F7"/>
          </w:tcPr>
          <w:p>
            <w:pPr>
              <w:spacing w:after="20" w:before="20"/>
            </w:pPr>
            <w:r/>
            <w:r>
              <w:rPr>
                <w:sz w:val="17"/>
              </w:rPr>
              <w:t>0.7018</w:t>
            </w:r>
          </w:p>
        </w:tc>
        <w:tc>
          <w:tcPr>
            <w:tcW w:type="dxa" w:w="2304"/>
            <w:shd w:val="clear" w:fill="EEF2F7"/>
          </w:tcPr>
          <w:p>
            <w:pPr>
              <w:spacing w:after="20" w:before="20"/>
            </w:pPr>
            <w:r/>
            <w:r>
              <w:rPr>
                <w:sz w:val="17"/>
              </w:rPr>
              <w:t>vocab 11,364</w:t>
            </w:r>
          </w:p>
        </w:tc>
      </w:tr>
      <w:tr>
        <w:tc>
          <w:tcPr>
            <w:tcW w:type="dxa" w:w="2160"/>
          </w:tcPr>
          <w:p>
            <w:pPr>
              <w:spacing w:after="20" w:before="20"/>
            </w:pPr>
            <w:r/>
            <w:r>
              <w:rPr>
                <w:sz w:val="17"/>
              </w:rPr>
              <w:t>BoW</w:t>
            </w:r>
          </w:p>
        </w:tc>
        <w:tc>
          <w:tcPr>
            <w:tcW w:type="dxa" w:w="3744"/>
          </w:tcPr>
          <w:p>
            <w:pPr>
              <w:spacing w:after="20" w:before="20"/>
            </w:pPr>
            <w:r/>
            <w:r>
              <w:rPr>
                <w:sz w:val="17"/>
              </w:rPr>
              <w:t>TF-IDF (1,2)-gram</w:t>
            </w:r>
          </w:p>
        </w:tc>
        <w:tc>
          <w:tcPr>
            <w:tcW w:type="dxa" w:w="2304"/>
          </w:tcPr>
          <w:p>
            <w:pPr>
              <w:spacing w:after="20" w:before="20"/>
            </w:pPr>
            <w:r/>
            <w:r>
              <w:rPr>
                <w:sz w:val="17"/>
              </w:rPr>
              <w:t>0.7120</w:t>
            </w:r>
          </w:p>
        </w:tc>
        <w:tc>
          <w:tcPr>
            <w:tcW w:type="dxa" w:w="2304"/>
          </w:tcPr>
          <w:p>
            <w:pPr>
              <w:spacing w:after="20" w:before="20"/>
            </w:pPr>
            <w:r/>
            <w:r>
              <w:rPr>
                <w:sz w:val="17"/>
              </w:rPr>
              <w:t>best BoW; vocab 10,422</w:t>
            </w:r>
          </w:p>
        </w:tc>
      </w:tr>
      <w:tr>
        <w:tc>
          <w:tcPr>
            <w:tcW w:type="dxa" w:w="2160"/>
            <w:shd w:val="clear" w:fill="EEF2F7"/>
          </w:tcPr>
          <w:p>
            <w:pPr>
              <w:spacing w:after="20" w:before="20"/>
            </w:pPr>
            <w:r/>
            <w:r>
              <w:rPr>
                <w:sz w:val="17"/>
              </w:rPr>
              <w:t>BoW</w:t>
            </w:r>
          </w:p>
        </w:tc>
        <w:tc>
          <w:tcPr>
            <w:tcW w:type="dxa" w:w="3744"/>
            <w:shd w:val="clear" w:fill="EEF2F7"/>
          </w:tcPr>
          <w:p>
            <w:pPr>
              <w:spacing w:after="20" w:before="20"/>
            </w:pPr>
            <w:r/>
            <w:r>
              <w:rPr>
                <w:sz w:val="17"/>
              </w:rPr>
              <w:t>TF-IDF unigram</w:t>
            </w:r>
          </w:p>
        </w:tc>
        <w:tc>
          <w:tcPr>
            <w:tcW w:type="dxa" w:w="2304"/>
            <w:shd w:val="clear" w:fill="EEF2F7"/>
          </w:tcPr>
          <w:p>
            <w:pPr>
              <w:spacing w:after="20" w:before="20"/>
            </w:pPr>
            <w:r/>
            <w:r>
              <w:rPr>
                <w:sz w:val="17"/>
              </w:rPr>
              <w:t>0.7092</w:t>
            </w:r>
          </w:p>
        </w:tc>
        <w:tc>
          <w:tcPr>
            <w:tcW w:type="dxa" w:w="2304"/>
            <w:shd w:val="clear" w:fill="EEF2F7"/>
          </w:tcPr>
          <w:p>
            <w:pPr>
              <w:spacing w:after="20" w:before="20"/>
            </w:pPr>
            <w:r/>
            <w:r>
              <w:rPr>
                <w:sz w:val="17"/>
              </w:rPr>
              <w:t>carried forward</w:t>
            </w:r>
          </w:p>
        </w:tc>
      </w:tr>
      <w:tr>
        <w:tc>
          <w:tcPr>
            <w:tcW w:type="dxa" w:w="2160"/>
          </w:tcPr>
          <w:p>
            <w:pPr>
              <w:spacing w:after="20" w:before="20"/>
            </w:pPr>
            <w:r/>
            <w:r>
              <w:rPr>
                <w:sz w:val="17"/>
              </w:rPr>
              <w:t>BoW</w:t>
            </w:r>
          </w:p>
        </w:tc>
        <w:tc>
          <w:tcPr>
            <w:tcW w:type="dxa" w:w="3744"/>
          </w:tcPr>
          <w:p>
            <w:pPr>
              <w:spacing w:after="20" w:before="20"/>
            </w:pPr>
            <w:r/>
            <w:r>
              <w:rPr>
                <w:sz w:val="17"/>
              </w:rPr>
              <w:t>Count (binary / frequency)</w:t>
            </w:r>
          </w:p>
        </w:tc>
        <w:tc>
          <w:tcPr>
            <w:tcW w:type="dxa" w:w="2304"/>
          </w:tcPr>
          <w:p>
            <w:pPr>
              <w:spacing w:after="20" w:before="20"/>
            </w:pPr>
            <w:r/>
            <w:r>
              <w:rPr>
                <w:sz w:val="17"/>
              </w:rPr>
              <w:t>0.7003 / 0.6973</w:t>
            </w:r>
          </w:p>
        </w:tc>
        <w:tc>
          <w:tcPr>
            <w:tcW w:type="dxa" w:w="2304"/>
          </w:tcPr>
          <w:p>
            <w:pPr>
              <w:spacing w:after="20" w:before="20"/>
            </w:pPr>
            <w:r/>
            <w:r>
              <w:rPr>
                <w:sz w:val="17"/>
              </w:rPr>
              <w:t>-</w:t>
            </w:r>
          </w:p>
        </w:tc>
      </w:tr>
      <w:tr>
        <w:tc>
          <w:tcPr>
            <w:tcW w:type="dxa" w:w="2160"/>
            <w:shd w:val="clear" w:fill="EEF2F7"/>
          </w:tcPr>
          <w:p>
            <w:pPr>
              <w:spacing w:after="20" w:before="20"/>
            </w:pPr>
            <w:r/>
            <w:r>
              <w:rPr>
                <w:sz w:val="17"/>
              </w:rPr>
              <w:t>word2vec</w:t>
            </w:r>
          </w:p>
        </w:tc>
        <w:tc>
          <w:tcPr>
            <w:tcW w:type="dxa" w:w="3744"/>
            <w:shd w:val="clear" w:fill="EEF2F7"/>
          </w:tcPr>
          <w:p>
            <w:pPr>
              <w:spacing w:after="20" w:before="20"/>
            </w:pPr>
            <w:r/>
            <w:r>
              <w:rPr>
                <w:sz w:val="17"/>
              </w:rPr>
              <w:t>Word2Vec from scratch (avg)</w:t>
            </w:r>
          </w:p>
        </w:tc>
        <w:tc>
          <w:tcPr>
            <w:tcW w:type="dxa" w:w="2304"/>
            <w:shd w:val="clear" w:fill="EEF2F7"/>
          </w:tcPr>
          <w:p>
            <w:pPr>
              <w:spacing w:after="20" w:before="20"/>
            </w:pPr>
            <w:r/>
            <w:r>
              <w:rPr>
                <w:sz w:val="17"/>
              </w:rPr>
              <w:t>0.5916</w:t>
            </w:r>
          </w:p>
        </w:tc>
        <w:tc>
          <w:tcPr>
            <w:tcW w:type="dxa" w:w="2304"/>
            <w:shd w:val="clear" w:fill="EEF2F7"/>
          </w:tcPr>
          <w:p>
            <w:pPr>
              <w:spacing w:after="20" w:before="20"/>
            </w:pPr>
            <w:r/>
            <w:r>
              <w:rPr>
                <w:sz w:val="17"/>
              </w:rPr>
              <w:t>-</w:t>
            </w:r>
          </w:p>
        </w:tc>
      </w:tr>
      <w:tr>
        <w:tc>
          <w:tcPr>
            <w:tcW w:type="dxa" w:w="2160"/>
          </w:tcPr>
          <w:p>
            <w:pPr>
              <w:spacing w:after="20" w:before="20"/>
            </w:pPr>
            <w:r/>
            <w:r>
              <w:rPr>
                <w:sz w:val="17"/>
              </w:rPr>
              <w:t>word2vec</w:t>
            </w:r>
          </w:p>
        </w:tc>
        <w:tc>
          <w:tcPr>
            <w:tcW w:type="dxa" w:w="3744"/>
          </w:tcPr>
          <w:p>
            <w:pPr>
              <w:spacing w:after="20" w:before="20"/>
            </w:pPr>
            <w:r/>
            <w:r>
              <w:rPr>
                <w:sz w:val="17"/>
              </w:rPr>
              <w:t>GloVe-Twitter (avg)</w:t>
            </w:r>
          </w:p>
        </w:tc>
        <w:tc>
          <w:tcPr>
            <w:tcW w:type="dxa" w:w="2304"/>
          </w:tcPr>
          <w:p>
            <w:pPr>
              <w:spacing w:after="20" w:before="20"/>
            </w:pPr>
            <w:r/>
            <w:r>
              <w:rPr>
                <w:sz w:val="17"/>
              </w:rPr>
              <w:t>0.5689</w:t>
            </w:r>
          </w:p>
        </w:tc>
        <w:tc>
          <w:tcPr>
            <w:tcW w:type="dxa" w:w="2304"/>
          </w:tcPr>
          <w:p>
            <w:pPr>
              <w:spacing w:after="20" w:before="20"/>
            </w:pPr>
            <w:r/>
            <w:r>
              <w:rPr>
                <w:sz w:val="17"/>
              </w:rPr>
              <w:t>carried to BiLSTM</w:t>
            </w:r>
          </w:p>
        </w:tc>
      </w:tr>
      <w:tr>
        <w:tc>
          <w:tcPr>
            <w:tcW w:type="dxa" w:w="2160"/>
            <w:shd w:val="clear" w:fill="EEF2F7"/>
          </w:tcPr>
          <w:p>
            <w:pPr>
              <w:spacing w:after="20" w:before="20"/>
            </w:pPr>
            <w:r/>
            <w:r>
              <w:rPr>
                <w:sz w:val="17"/>
              </w:rPr>
              <w:t>Transformer</w:t>
            </w:r>
          </w:p>
        </w:tc>
        <w:tc>
          <w:tcPr>
            <w:tcW w:type="dxa" w:w="3744"/>
            <w:shd w:val="clear" w:fill="EEF2F7"/>
          </w:tcPr>
          <w:p>
            <w:pPr>
              <w:spacing w:after="20" w:before="20"/>
            </w:pPr>
            <w:r/>
            <w:r>
              <w:rPr>
                <w:sz w:val="17"/>
              </w:rPr>
              <w:t>twitter-roberta (mean / cls)</w:t>
            </w:r>
          </w:p>
        </w:tc>
        <w:tc>
          <w:tcPr>
            <w:tcW w:type="dxa" w:w="2304"/>
            <w:shd w:val="clear" w:fill="EEF2F7"/>
          </w:tcPr>
          <w:p>
            <w:pPr>
              <w:spacing w:after="20" w:before="20"/>
            </w:pPr>
            <w:r/>
            <w:r>
              <w:rPr>
                <w:sz w:val="17"/>
              </w:rPr>
              <w:t>0.7517 / 0.7510</w:t>
            </w:r>
          </w:p>
        </w:tc>
        <w:tc>
          <w:tcPr>
            <w:tcW w:type="dxa" w:w="2304"/>
            <w:shd w:val="clear" w:fill="EEF2F7"/>
          </w:tcPr>
          <w:p>
            <w:pPr>
              <w:spacing w:after="20" w:before="20"/>
            </w:pPr>
            <w:r/>
            <w:r>
              <w:rPr>
                <w:sz w:val="17"/>
              </w:rPr>
              <w:t>strongest representation</w:t>
            </w:r>
          </w:p>
        </w:tc>
      </w:tr>
      <w:tr>
        <w:tc>
          <w:tcPr>
            <w:tcW w:type="dxa" w:w="2160"/>
          </w:tcPr>
          <w:p>
            <w:pPr>
              <w:spacing w:after="20" w:before="20"/>
            </w:pPr>
            <w:r/>
            <w:r>
              <w:rPr>
                <w:sz w:val="17"/>
              </w:rPr>
              <w:t>Transformer</w:t>
            </w:r>
          </w:p>
        </w:tc>
        <w:tc>
          <w:tcPr>
            <w:tcW w:type="dxa" w:w="3744"/>
          </w:tcPr>
          <w:p>
            <w:pPr>
              <w:spacing w:after="20" w:before="20"/>
            </w:pPr>
            <w:r/>
            <w:r>
              <w:rPr>
                <w:sz w:val="17"/>
              </w:rPr>
              <w:t>FinBERT (mean / cls)</w:t>
            </w:r>
          </w:p>
        </w:tc>
        <w:tc>
          <w:tcPr>
            <w:tcW w:type="dxa" w:w="2304"/>
          </w:tcPr>
          <w:p>
            <w:pPr>
              <w:spacing w:after="20" w:before="20"/>
            </w:pPr>
            <w:r/>
            <w:r>
              <w:rPr>
                <w:sz w:val="17"/>
              </w:rPr>
              <w:t>0.7376 / 0.7372</w:t>
            </w:r>
          </w:p>
        </w:tc>
        <w:tc>
          <w:tcPr>
            <w:tcW w:type="dxa" w:w="2304"/>
          </w:tcPr>
          <w:p>
            <w:pPr>
              <w:spacing w:after="20" w:before="20"/>
            </w:pPr>
            <w:r/>
            <w:r>
              <w:rPr>
                <w:sz w:val="17"/>
              </w:rPr>
              <w:t>-</w:t>
            </w:r>
          </w:p>
        </w:tc>
      </w:tr>
      <w:tr>
        <w:tc>
          <w:tcPr>
            <w:tcW w:type="dxa" w:w="2160"/>
            <w:shd w:val="clear" w:fill="EEF2F7"/>
          </w:tcPr>
          <w:p>
            <w:pPr>
              <w:spacing w:after="20" w:before="20"/>
            </w:pPr>
            <w:r/>
            <w:r>
              <w:rPr>
                <w:sz w:val="17"/>
              </w:rPr>
              <w:t>Transformer</w:t>
            </w:r>
          </w:p>
        </w:tc>
        <w:tc>
          <w:tcPr>
            <w:tcW w:type="dxa" w:w="3744"/>
            <w:shd w:val="clear" w:fill="EEF2F7"/>
          </w:tcPr>
          <w:p>
            <w:pPr>
              <w:spacing w:after="20" w:before="20"/>
            </w:pPr>
            <w:r/>
            <w:r>
              <w:rPr>
                <w:sz w:val="17"/>
              </w:rPr>
              <w:t>DistilBERT (cls / mean)</w:t>
            </w:r>
          </w:p>
        </w:tc>
        <w:tc>
          <w:tcPr>
            <w:tcW w:type="dxa" w:w="2304"/>
            <w:shd w:val="clear" w:fill="EEF2F7"/>
          </w:tcPr>
          <w:p>
            <w:pPr>
              <w:spacing w:after="20" w:before="20"/>
            </w:pPr>
            <w:r/>
            <w:r>
              <w:rPr>
                <w:sz w:val="17"/>
              </w:rPr>
              <w:t>0.6970 / 0.6942</w:t>
            </w:r>
          </w:p>
        </w:tc>
        <w:tc>
          <w:tcPr>
            <w:tcW w:type="dxa" w:w="2304"/>
            <w:shd w:val="clear" w:fill="EEF2F7"/>
          </w:tcPr>
          <w:p>
            <w:pPr>
              <w:spacing w:after="20" w:before="20"/>
            </w:pPr>
            <w:r/>
            <w:r>
              <w:rPr>
                <w:sz w:val="17"/>
              </w:rPr>
              <w:t>generic baseline</w:t>
            </w:r>
          </w:p>
        </w:tc>
      </w:tr>
    </w:tbl>
    <w:p>
      <w:pPr>
        <w:spacing w:after="40"/>
      </w:pPr>
    </w:p>
    <w:p>
      <w:pPr>
        <w:pStyle w:val="Heading2"/>
      </w:pPr>
      <w:r>
        <w:t>C.2 Best hyperparameters (grid/CV search)</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fill="1F3B63"/>
          </w:tcPr>
          <w:p>
            <w:pPr>
              <w:spacing w:after="20" w:before="20"/>
            </w:pPr>
            <w:r/>
            <w:r>
              <w:rPr>
                <w:b/>
                <w:color w:val="FFFFFF"/>
                <w:sz w:val="17"/>
              </w:rPr>
              <w:t>Model</w:t>
            </w:r>
          </w:p>
        </w:tc>
        <w:tc>
          <w:tcPr>
            <w:tcW w:type="dxa" w:w="4320"/>
            <w:shd w:val="clear" w:fill="1F3B63"/>
          </w:tcPr>
          <w:p>
            <w:pPr>
              <w:spacing w:after="20" w:before="20"/>
            </w:pPr>
            <w:r/>
            <w:r>
              <w:rPr>
                <w:b/>
                <w:color w:val="FFFFFF"/>
                <w:sz w:val="17"/>
              </w:rPr>
              <w:t>Selected hyperparameters</w:t>
            </w:r>
          </w:p>
        </w:tc>
        <w:tc>
          <w:tcPr>
            <w:tcW w:type="dxa" w:w="1728"/>
            <w:shd w:val="clear" w:fill="1F3B63"/>
          </w:tcPr>
          <w:p>
            <w:pPr>
              <w:spacing w:after="20" w:before="20"/>
            </w:pPr>
            <w:r/>
            <w:r>
              <w:rPr>
                <w:b/>
                <w:color w:val="FFFFFF"/>
                <w:sz w:val="17"/>
              </w:rPr>
              <w:t>CV macro-F1</w:t>
            </w:r>
          </w:p>
        </w:tc>
        <w:tc>
          <w:tcPr>
            <w:tcW w:type="dxa" w:w="1728"/>
            <w:shd w:val="clear" w:fill="1F3B63"/>
          </w:tcPr>
          <w:p>
            <w:pPr>
              <w:spacing w:after="20" w:before="20"/>
            </w:pPr>
            <w:r/>
            <w:r>
              <w:rPr>
                <w:b/>
                <w:color w:val="FFFFFF"/>
                <w:sz w:val="17"/>
              </w:rPr>
              <w:t>Val macro-F1</w:t>
            </w:r>
          </w:p>
        </w:tc>
      </w:tr>
      <w:tr>
        <w:tc>
          <w:tcPr>
            <w:tcW w:type="dxa" w:w="2880"/>
          </w:tcPr>
          <w:p>
            <w:pPr>
              <w:spacing w:after="20" w:before="20"/>
            </w:pPr>
            <w:r/>
            <w:r>
              <w:rPr>
                <w:sz w:val="17"/>
              </w:rPr>
              <w:t>KNN</w:t>
            </w:r>
          </w:p>
        </w:tc>
        <w:tc>
          <w:tcPr>
            <w:tcW w:type="dxa" w:w="4320"/>
          </w:tcPr>
          <w:p>
            <w:pPr>
              <w:spacing w:after="20" w:before="20"/>
            </w:pPr>
            <w:r/>
            <w:r>
              <w:rPr>
                <w:sz w:val="17"/>
              </w:rPr>
              <w:t>k = 5 (cosine)</w:t>
            </w:r>
          </w:p>
        </w:tc>
        <w:tc>
          <w:tcPr>
            <w:tcW w:type="dxa" w:w="1728"/>
          </w:tcPr>
          <w:p>
            <w:pPr>
              <w:spacing w:after="20" w:before="20"/>
            </w:pPr>
            <w:r/>
            <w:r>
              <w:rPr>
                <w:sz w:val="17"/>
              </w:rPr>
              <w:t>-</w:t>
            </w:r>
          </w:p>
        </w:tc>
        <w:tc>
          <w:tcPr>
            <w:tcW w:type="dxa" w:w="1728"/>
          </w:tcPr>
          <w:p>
            <w:pPr>
              <w:spacing w:after="20" w:before="20"/>
            </w:pPr>
            <w:r/>
            <w:r>
              <w:rPr>
                <w:sz w:val="17"/>
              </w:rPr>
              <w:t>0.668</w:t>
            </w:r>
          </w:p>
        </w:tc>
      </w:tr>
      <w:tr>
        <w:tc>
          <w:tcPr>
            <w:tcW w:type="dxa" w:w="2880"/>
            <w:shd w:val="clear" w:fill="EEF2F7"/>
          </w:tcPr>
          <w:p>
            <w:pPr>
              <w:spacing w:after="20" w:before="20"/>
            </w:pPr>
            <w:r/>
            <w:r>
              <w:rPr>
                <w:sz w:val="17"/>
              </w:rPr>
              <w:t>Logistic Regression</w:t>
            </w:r>
          </w:p>
        </w:tc>
        <w:tc>
          <w:tcPr>
            <w:tcW w:type="dxa" w:w="4320"/>
            <w:shd w:val="clear" w:fill="EEF2F7"/>
          </w:tcPr>
          <w:p>
            <w:pPr>
              <w:spacing w:after="20" w:before="20"/>
            </w:pPr>
            <w:r/>
            <w:r>
              <w:rPr>
                <w:sz w:val="17"/>
              </w:rPr>
              <w:t>C = 1.0, class_weight=balanced</w:t>
            </w:r>
          </w:p>
        </w:tc>
        <w:tc>
          <w:tcPr>
            <w:tcW w:type="dxa" w:w="1728"/>
            <w:shd w:val="clear" w:fill="EEF2F7"/>
          </w:tcPr>
          <w:p>
            <w:pPr>
              <w:spacing w:after="20" w:before="20"/>
            </w:pPr>
            <w:r/>
            <w:r>
              <w:rPr>
                <w:sz w:val="17"/>
              </w:rPr>
              <w:t>-</w:t>
            </w:r>
          </w:p>
        </w:tc>
        <w:tc>
          <w:tcPr>
            <w:tcW w:type="dxa" w:w="1728"/>
            <w:shd w:val="clear" w:fill="EEF2F7"/>
          </w:tcPr>
          <w:p>
            <w:pPr>
              <w:spacing w:after="20" w:before="20"/>
            </w:pPr>
            <w:r/>
            <w:r>
              <w:rPr>
                <w:sz w:val="17"/>
              </w:rPr>
              <w:t>0.709</w:t>
            </w:r>
          </w:p>
        </w:tc>
      </w:tr>
      <w:tr>
        <w:tc>
          <w:tcPr>
            <w:tcW w:type="dxa" w:w="2880"/>
          </w:tcPr>
          <w:p>
            <w:pPr>
              <w:spacing w:after="20" w:before="20"/>
            </w:pPr>
            <w:r/>
            <w:r>
              <w:rPr>
                <w:sz w:val="17"/>
              </w:rPr>
              <w:t>MLP (GloVe)</w:t>
            </w:r>
          </w:p>
        </w:tc>
        <w:tc>
          <w:tcPr>
            <w:tcW w:type="dxa" w:w="4320"/>
          </w:tcPr>
          <w:p>
            <w:pPr>
              <w:spacing w:after="20" w:before="20"/>
            </w:pPr>
            <w:r/>
            <w:r>
              <w:rPr>
                <w:sz w:val="17"/>
              </w:rPr>
              <w:t>activation=tanh, hidden=(64,), lr=0.01</w:t>
            </w:r>
          </w:p>
        </w:tc>
        <w:tc>
          <w:tcPr>
            <w:tcW w:type="dxa" w:w="1728"/>
          </w:tcPr>
          <w:p>
            <w:pPr>
              <w:spacing w:after="20" w:before="20"/>
            </w:pPr>
            <w:r/>
            <w:r>
              <w:rPr>
                <w:sz w:val="17"/>
              </w:rPr>
              <w:t>-</w:t>
            </w:r>
          </w:p>
        </w:tc>
        <w:tc>
          <w:tcPr>
            <w:tcW w:type="dxa" w:w="1728"/>
          </w:tcPr>
          <w:p>
            <w:pPr>
              <w:spacing w:after="20" w:before="20"/>
            </w:pPr>
            <w:r/>
            <w:r>
              <w:rPr>
                <w:sz w:val="17"/>
              </w:rPr>
              <w:t>0.605</w:t>
            </w:r>
          </w:p>
        </w:tc>
      </w:tr>
      <w:tr>
        <w:tc>
          <w:tcPr>
            <w:tcW w:type="dxa" w:w="2880"/>
            <w:shd w:val="clear" w:fill="EEF2F7"/>
          </w:tcPr>
          <w:p>
            <w:pPr>
              <w:spacing w:after="20" w:before="20"/>
            </w:pPr>
            <w:r/>
            <w:r>
              <w:rPr>
                <w:sz w:val="17"/>
              </w:rPr>
              <w:t>twitter-roberta + MLP</w:t>
            </w:r>
          </w:p>
        </w:tc>
        <w:tc>
          <w:tcPr>
            <w:tcW w:type="dxa" w:w="4320"/>
            <w:shd w:val="clear" w:fill="EEF2F7"/>
          </w:tcPr>
          <w:p>
            <w:pPr>
              <w:spacing w:after="20" w:before="20"/>
            </w:pPr>
            <w:r/>
            <w:r>
              <w:rPr>
                <w:sz w:val="17"/>
              </w:rPr>
              <w:t>alpha=1e-4, hidden=(256,128)</w:t>
            </w:r>
          </w:p>
        </w:tc>
        <w:tc>
          <w:tcPr>
            <w:tcW w:type="dxa" w:w="1728"/>
            <w:shd w:val="clear" w:fill="EEF2F7"/>
          </w:tcPr>
          <w:p>
            <w:pPr>
              <w:spacing w:after="20" w:before="20"/>
            </w:pPr>
            <w:r/>
            <w:r>
              <w:rPr>
                <w:sz w:val="17"/>
              </w:rPr>
              <w:t>0.793</w:t>
            </w:r>
          </w:p>
        </w:tc>
        <w:tc>
          <w:tcPr>
            <w:tcW w:type="dxa" w:w="1728"/>
            <w:shd w:val="clear" w:fill="EEF2F7"/>
          </w:tcPr>
          <w:p>
            <w:pPr>
              <w:spacing w:after="20" w:before="20"/>
            </w:pPr>
            <w:r/>
            <w:r>
              <w:rPr>
                <w:sz w:val="17"/>
              </w:rPr>
              <w:t>0.784</w:t>
            </w:r>
          </w:p>
        </w:tc>
      </w:tr>
      <w:tr>
        <w:tc>
          <w:tcPr>
            <w:tcW w:type="dxa" w:w="2880"/>
          </w:tcPr>
          <w:p>
            <w:pPr>
              <w:spacing w:after="20" w:before="20"/>
            </w:pPr>
            <w:r/>
            <w:r>
              <w:rPr>
                <w:sz w:val="17"/>
              </w:rPr>
              <w:t>FinBERT + MLP</w:t>
            </w:r>
          </w:p>
        </w:tc>
        <w:tc>
          <w:tcPr>
            <w:tcW w:type="dxa" w:w="4320"/>
          </w:tcPr>
          <w:p>
            <w:pPr>
              <w:spacing w:after="20" w:before="20"/>
            </w:pPr>
            <w:r/>
            <w:r>
              <w:rPr>
                <w:sz w:val="17"/>
              </w:rPr>
              <w:t>alpha=1e-4, hidden=(128,)</w:t>
            </w:r>
          </w:p>
        </w:tc>
        <w:tc>
          <w:tcPr>
            <w:tcW w:type="dxa" w:w="1728"/>
          </w:tcPr>
          <w:p>
            <w:pPr>
              <w:spacing w:after="20" w:before="20"/>
            </w:pPr>
            <w:r/>
            <w:r>
              <w:rPr>
                <w:sz w:val="17"/>
              </w:rPr>
              <w:t>0.779</w:t>
            </w:r>
          </w:p>
        </w:tc>
        <w:tc>
          <w:tcPr>
            <w:tcW w:type="dxa" w:w="1728"/>
          </w:tcPr>
          <w:p>
            <w:pPr>
              <w:spacing w:after="20" w:before="20"/>
            </w:pPr>
            <w:r/>
            <w:r>
              <w:rPr>
                <w:sz w:val="17"/>
              </w:rPr>
              <w:t>0.776</w:t>
            </w:r>
          </w:p>
        </w:tc>
      </w:tr>
      <w:tr>
        <w:tc>
          <w:tcPr>
            <w:tcW w:type="dxa" w:w="2880"/>
            <w:shd w:val="clear" w:fill="EEF2F7"/>
          </w:tcPr>
          <w:p>
            <w:pPr>
              <w:spacing w:after="20" w:before="20"/>
            </w:pPr>
            <w:r/>
            <w:r>
              <w:rPr>
                <w:sz w:val="17"/>
              </w:rPr>
              <w:t>DistilBERT + MLP</w:t>
            </w:r>
          </w:p>
        </w:tc>
        <w:tc>
          <w:tcPr>
            <w:tcW w:type="dxa" w:w="4320"/>
            <w:shd w:val="clear" w:fill="EEF2F7"/>
          </w:tcPr>
          <w:p>
            <w:pPr>
              <w:spacing w:after="20" w:before="20"/>
            </w:pPr>
            <w:r/>
            <w:r>
              <w:rPr>
                <w:sz w:val="17"/>
              </w:rPr>
              <w:t>alpha=1e-3, hidden=(256,128)</w:t>
            </w:r>
          </w:p>
        </w:tc>
        <w:tc>
          <w:tcPr>
            <w:tcW w:type="dxa" w:w="1728"/>
            <w:shd w:val="clear" w:fill="EEF2F7"/>
          </w:tcPr>
          <w:p>
            <w:pPr>
              <w:spacing w:after="20" w:before="20"/>
            </w:pPr>
            <w:r/>
            <w:r>
              <w:rPr>
                <w:sz w:val="17"/>
              </w:rPr>
              <w:t>0.706</w:t>
            </w:r>
          </w:p>
        </w:tc>
        <w:tc>
          <w:tcPr>
            <w:tcW w:type="dxa" w:w="1728"/>
            <w:shd w:val="clear" w:fill="EEF2F7"/>
          </w:tcPr>
          <w:p>
            <w:pPr>
              <w:spacing w:after="20" w:before="20"/>
            </w:pPr>
            <w:r/>
            <w:r>
              <w:rPr>
                <w:sz w:val="17"/>
              </w:rPr>
              <w:t>0.722</w:t>
            </w:r>
          </w:p>
        </w:tc>
      </w:tr>
      <w:tr>
        <w:tc>
          <w:tcPr>
            <w:tcW w:type="dxa" w:w="2880"/>
          </w:tcPr>
          <w:p>
            <w:pPr>
              <w:spacing w:after="20" w:before="20"/>
            </w:pPr>
            <w:r/>
            <w:r>
              <w:rPr>
                <w:sz w:val="17"/>
              </w:rPr>
              <w:t>Fine-tuned DistilBERT</w:t>
            </w:r>
          </w:p>
        </w:tc>
        <w:tc>
          <w:tcPr>
            <w:tcW w:type="dxa" w:w="4320"/>
          </w:tcPr>
          <w:p>
            <w:pPr>
              <w:spacing w:after="20" w:before="20"/>
            </w:pPr>
            <w:r/>
            <w:r>
              <w:rPr>
                <w:sz w:val="17"/>
              </w:rPr>
              <w:t>3 epochs, class-weighted CE, best @ epoch 2</w:t>
            </w:r>
          </w:p>
        </w:tc>
        <w:tc>
          <w:tcPr>
            <w:tcW w:type="dxa" w:w="1728"/>
          </w:tcPr>
          <w:p>
            <w:pPr>
              <w:spacing w:after="20" w:before="20"/>
            </w:pPr>
            <w:r/>
            <w:r>
              <w:rPr>
                <w:sz w:val="17"/>
              </w:rPr>
              <w:t>-</w:t>
            </w:r>
          </w:p>
        </w:tc>
        <w:tc>
          <w:tcPr>
            <w:tcW w:type="dxa" w:w="1728"/>
          </w:tcPr>
          <w:p>
            <w:pPr>
              <w:spacing w:after="20" w:before="20"/>
            </w:pPr>
            <w:r/>
            <w:r>
              <w:rPr>
                <w:sz w:val="17"/>
              </w:rPr>
              <w:t>0.811</w:t>
            </w:r>
          </w:p>
        </w:tc>
      </w:tr>
    </w:tbl>
    <w:p>
      <w:pPr>
        <w:spacing w:after="40"/>
      </w:pPr>
    </w:p>
    <w:p>
      <w:pPr>
        <w:pStyle w:val="Heading2"/>
      </w:pPr>
      <w:r>
        <w:t>C.3 Decoder-as-classifier and submission distribution</w:t>
      </w:r>
    </w:p>
    <w:p>
      <w:pPr>
        <w:spacing w:after="60" w:before="0"/>
      </w:pPr>
      <w:r>
        <w:rPr>
          <w:b w:val="0"/>
          <w:i w:val="0"/>
          <w:sz w:val="22"/>
        </w:rPr>
        <w:t>The decoder comparison (validation macro-F1, 300-tweet sample) is reported in Section 7.1. The final submitted pipeline, refit on all 9,543 training tweets, predicts the 2,388 blind test tweets with the following class distribution, close to the training prior (15.1 / 20.2 / 64.7%):</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1F3B63"/>
          </w:tcPr>
          <w:p>
            <w:pPr>
              <w:spacing w:after="20" w:before="20"/>
            </w:pPr>
            <w:r/>
            <w:r>
              <w:rPr>
                <w:b/>
                <w:color w:val="FFFFFF"/>
                <w:sz w:val="18"/>
              </w:rPr>
              <w:t>Predicted class</w:t>
            </w:r>
          </w:p>
        </w:tc>
        <w:tc>
          <w:tcPr>
            <w:tcW w:type="dxa" w:w="2160"/>
            <w:shd w:val="clear" w:fill="1F3B63"/>
          </w:tcPr>
          <w:p>
            <w:pPr>
              <w:spacing w:after="20" w:before="20"/>
            </w:pPr>
            <w:r/>
            <w:r>
              <w:rPr>
                <w:b/>
                <w:color w:val="FFFFFF"/>
                <w:sz w:val="18"/>
              </w:rPr>
              <w:t>Count</w:t>
            </w:r>
          </w:p>
        </w:tc>
        <w:tc>
          <w:tcPr>
            <w:tcW w:type="dxa" w:w="2160"/>
            <w:shd w:val="clear" w:fill="1F3B63"/>
          </w:tcPr>
          <w:p>
            <w:pPr>
              <w:spacing w:after="20" w:before="20"/>
            </w:pPr>
            <w:r/>
            <w:r>
              <w:rPr>
                <w:b/>
                <w:color w:val="FFFFFF"/>
                <w:sz w:val="18"/>
              </w:rPr>
              <w:t>Share</w:t>
            </w:r>
          </w:p>
        </w:tc>
      </w:tr>
      <w:tr>
        <w:tc>
          <w:tcPr>
            <w:tcW w:type="dxa" w:w="3168"/>
          </w:tcPr>
          <w:p>
            <w:pPr>
              <w:spacing w:after="20" w:before="20"/>
            </w:pPr>
            <w:r/>
            <w:r>
              <w:rPr>
                <w:b/>
                <w:sz w:val="18"/>
              </w:rPr>
              <w:t>Bearish (0)</w:t>
            </w:r>
          </w:p>
        </w:tc>
        <w:tc>
          <w:tcPr>
            <w:tcW w:type="dxa" w:w="2160"/>
          </w:tcPr>
          <w:p>
            <w:pPr>
              <w:spacing w:after="20" w:before="20"/>
            </w:pPr>
            <w:r/>
            <w:r>
              <w:rPr>
                <w:sz w:val="18"/>
              </w:rPr>
              <w:t>335</w:t>
            </w:r>
          </w:p>
        </w:tc>
        <w:tc>
          <w:tcPr>
            <w:tcW w:type="dxa" w:w="2160"/>
          </w:tcPr>
          <w:p>
            <w:pPr>
              <w:spacing w:after="20" w:before="20"/>
            </w:pPr>
            <w:r/>
            <w:r>
              <w:rPr>
                <w:sz w:val="18"/>
              </w:rPr>
              <w:t>14.0%</w:t>
            </w:r>
          </w:p>
        </w:tc>
      </w:tr>
      <w:tr>
        <w:tc>
          <w:tcPr>
            <w:tcW w:type="dxa" w:w="3168"/>
            <w:shd w:val="clear" w:fill="EEF2F7"/>
          </w:tcPr>
          <w:p>
            <w:pPr>
              <w:spacing w:after="20" w:before="20"/>
            </w:pPr>
            <w:r/>
            <w:r>
              <w:rPr>
                <w:b/>
                <w:sz w:val="18"/>
              </w:rPr>
              <w:t>Bullish (1)</w:t>
            </w:r>
          </w:p>
        </w:tc>
        <w:tc>
          <w:tcPr>
            <w:tcW w:type="dxa" w:w="2160"/>
            <w:shd w:val="clear" w:fill="EEF2F7"/>
          </w:tcPr>
          <w:p>
            <w:pPr>
              <w:spacing w:after="20" w:before="20"/>
            </w:pPr>
            <w:r/>
            <w:r>
              <w:rPr>
                <w:sz w:val="18"/>
              </w:rPr>
              <w:t>447</w:t>
            </w:r>
          </w:p>
        </w:tc>
        <w:tc>
          <w:tcPr>
            <w:tcW w:type="dxa" w:w="2160"/>
            <w:shd w:val="clear" w:fill="EEF2F7"/>
          </w:tcPr>
          <w:p>
            <w:pPr>
              <w:spacing w:after="20" w:before="20"/>
            </w:pPr>
            <w:r/>
            <w:r>
              <w:rPr>
                <w:sz w:val="18"/>
              </w:rPr>
              <w:t>18.7%</w:t>
            </w:r>
          </w:p>
        </w:tc>
      </w:tr>
      <w:tr>
        <w:tc>
          <w:tcPr>
            <w:tcW w:type="dxa" w:w="3168"/>
          </w:tcPr>
          <w:p>
            <w:pPr>
              <w:spacing w:after="20" w:before="20"/>
            </w:pPr>
            <w:r/>
            <w:r>
              <w:rPr>
                <w:b/>
                <w:sz w:val="18"/>
              </w:rPr>
              <w:t>Neutral (2)</w:t>
            </w:r>
          </w:p>
        </w:tc>
        <w:tc>
          <w:tcPr>
            <w:tcW w:type="dxa" w:w="2160"/>
          </w:tcPr>
          <w:p>
            <w:pPr>
              <w:spacing w:after="20" w:before="20"/>
            </w:pPr>
            <w:r/>
            <w:r>
              <w:rPr>
                <w:sz w:val="18"/>
              </w:rPr>
              <w:t>1,606</w:t>
            </w:r>
          </w:p>
        </w:tc>
        <w:tc>
          <w:tcPr>
            <w:tcW w:type="dxa" w:w="2160"/>
          </w:tcPr>
          <w:p>
            <w:pPr>
              <w:spacing w:after="20" w:before="20"/>
            </w:pPr>
            <w:r/>
            <w:r>
              <w:rPr>
                <w:sz w:val="18"/>
              </w:rPr>
              <w:t>67.3%</w:t>
            </w:r>
          </w:p>
        </w:tc>
      </w:tr>
      <w:tr>
        <w:tc>
          <w:tcPr>
            <w:tcW w:type="dxa" w:w="3168"/>
            <w:shd w:val="clear" w:fill="EEF2F7"/>
          </w:tcPr>
          <w:p>
            <w:pPr>
              <w:spacing w:after="20" w:before="20"/>
            </w:pPr>
            <w:r/>
            <w:r>
              <w:rPr>
                <w:b/>
                <w:sz w:val="18"/>
              </w:rPr>
              <w:t>Total</w:t>
            </w:r>
          </w:p>
        </w:tc>
        <w:tc>
          <w:tcPr>
            <w:tcW w:type="dxa" w:w="2160"/>
            <w:shd w:val="clear" w:fill="EEF2F7"/>
          </w:tcPr>
          <w:p>
            <w:pPr>
              <w:spacing w:after="20" w:before="20"/>
            </w:pPr>
            <w:r/>
            <w:r>
              <w:rPr>
                <w:sz w:val="18"/>
              </w:rPr>
              <w:t>2,388</w:t>
            </w:r>
          </w:p>
        </w:tc>
        <w:tc>
          <w:tcPr>
            <w:tcW w:type="dxa" w:w="2160"/>
            <w:shd w:val="clear" w:fill="EEF2F7"/>
          </w:tcPr>
          <w:p>
            <w:pPr>
              <w:spacing w:after="20" w:before="20"/>
            </w:pPr>
            <w:r/>
            <w:r>
              <w:rPr>
                <w:sz w:val="18"/>
              </w:rPr>
              <w:t>100%</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