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University of New Hampshire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48"/>
          <w:szCs w:val="48"/>
        </w:rPr>
      </w:pPr>
      <w:r w:rsidRPr="00811380">
        <w:rPr>
          <w:rFonts w:ascii="Times New Roman" w:hAnsi="Times New Roman" w:cs="Times New Roman"/>
          <w:b/>
          <w:bCs/>
          <w:sz w:val="48"/>
          <w:szCs w:val="48"/>
        </w:rPr>
        <w:t>Magnus Effect on a Cylindrical Airfoil</w:t>
      </w: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Default="00811380" w:rsidP="00811380">
      <w:pPr>
        <w:jc w:val="center"/>
        <w:rPr>
          <w:rFonts w:ascii="Times New Roman" w:hAnsi="Times New Roman" w:cs="Times New Roman"/>
        </w:rPr>
      </w:pP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Team Members -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811380">
        <w:rPr>
          <w:rFonts w:ascii="Times New Roman" w:hAnsi="Times New Roman" w:cs="Times New Roman"/>
          <w:sz w:val="24"/>
          <w:szCs w:val="24"/>
        </w:rPr>
        <w:t>Zhangxi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 xml:space="preserve"> Feng, Simon </w:t>
      </w:r>
      <w:proofErr w:type="spellStart"/>
      <w:r w:rsidRPr="00811380">
        <w:rPr>
          <w:rFonts w:ascii="Times New Roman" w:hAnsi="Times New Roman" w:cs="Times New Roman"/>
          <w:sz w:val="24"/>
          <w:szCs w:val="24"/>
        </w:rPr>
        <w:t>Popecki</w:t>
      </w:r>
      <w:proofErr w:type="spellEnd"/>
      <w:r w:rsidRPr="00811380">
        <w:rPr>
          <w:rFonts w:ascii="Times New Roman" w:hAnsi="Times New Roman" w:cs="Times New Roman"/>
          <w:sz w:val="24"/>
          <w:szCs w:val="24"/>
        </w:rPr>
        <w:t>, James Skinner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ME 646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Professor Todd Gross</w:t>
      </w:r>
    </w:p>
    <w:p w:rsidR="00811380" w:rsidRPr="00811380" w:rsidRDefault="00811380" w:rsidP="00811380">
      <w:pPr>
        <w:jc w:val="center"/>
        <w:rPr>
          <w:rFonts w:ascii="Times New Roman" w:hAnsi="Times New Roman" w:cs="Times New Roman"/>
          <w:sz w:val="24"/>
          <w:szCs w:val="24"/>
        </w:rPr>
      </w:pPr>
      <w:r w:rsidRPr="00811380">
        <w:rPr>
          <w:rFonts w:ascii="Times New Roman" w:hAnsi="Times New Roman" w:cs="Times New Roman"/>
          <w:sz w:val="24"/>
          <w:szCs w:val="24"/>
        </w:rPr>
        <w:t>5/9/2017</w:t>
      </w:r>
    </w:p>
    <w:p w:rsidR="00811380" w:rsidRPr="00AB320B" w:rsidRDefault="00AB320B" w:rsidP="00AB320B">
      <w:pPr>
        <w:pStyle w:val="Heading1"/>
        <w:jc w:val="center"/>
        <w:rPr>
          <w:b/>
        </w:rPr>
      </w:pPr>
      <w:r w:rsidRPr="00AB320B">
        <w:rPr>
          <w:b/>
        </w:rPr>
        <w:lastRenderedPageBreak/>
        <w:t>Table of Contents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Introduction………………………………………………………………………………………..3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Methods……………………………………………………………………………………...…….4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Results and Discussion……………………………………………………………………….…....5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Summary and Conclusion…………………………………………………………………………6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 of References……………………………………………………………………….…………7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Appendix…………………………………………………………………………………………..8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73236E" w:rsidP="00AB320B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="00AB320B" w:rsidRPr="00AB320B">
        <w:rPr>
          <w:b/>
        </w:rPr>
        <w:t>of Figures</w:t>
      </w:r>
    </w:p>
    <w:p w:rsidR="00AB320B" w:rsidRPr="00AB320B" w:rsidRDefault="00AB320B" w:rsidP="00AB320B"/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1……………………………………………………………………………………………2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2…………………………………………………………………………………………....3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3……………………………………………………………………………………...…….4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4…………………………………………………………………………………………....3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5…………………………………………………………………………………………....3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6…………………………………………………………………………………………....3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7…………………………………………………………………………………………....3</w:t>
      </w: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AB320B" w:rsidRDefault="0073236E" w:rsidP="0073236E">
      <w:pPr>
        <w:pStyle w:val="Heading1"/>
        <w:jc w:val="center"/>
        <w:rPr>
          <w:b/>
        </w:rPr>
      </w:pPr>
      <w:r>
        <w:rPr>
          <w:b/>
        </w:rPr>
        <w:lastRenderedPageBreak/>
        <w:t xml:space="preserve">Table </w:t>
      </w:r>
      <w:r w:rsidRPr="00AB320B">
        <w:rPr>
          <w:b/>
        </w:rPr>
        <w:t xml:space="preserve">of </w:t>
      </w:r>
      <w:r>
        <w:rPr>
          <w:b/>
        </w:rPr>
        <w:t>Equations</w:t>
      </w:r>
    </w:p>
    <w:p w:rsidR="0073236E" w:rsidRPr="00AB320B" w:rsidRDefault="0073236E" w:rsidP="0073236E"/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1…………………………………………………………………………………………2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2…………………………………………………………………………………………3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3…………………………………………………………………………………………4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4…………………………………………………………………………………………5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5…………………………………………………………………………………………6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6…………………………………………………………………………………………7</w:t>
      </w:r>
    </w:p>
    <w:p w:rsid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3236E" w:rsidRPr="0073236E" w:rsidRDefault="0073236E" w:rsidP="0073236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Equation 7…………………………………………………………………………………………8</w:t>
      </w:r>
    </w:p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73236E" w:rsidRDefault="0073236E" w:rsidP="0073236E"/>
    <w:p w:rsidR="00AB320B" w:rsidRDefault="00AB320B" w:rsidP="00514B55">
      <w:pPr>
        <w:pStyle w:val="Heading1"/>
        <w:spacing w:line="360" w:lineRule="auto"/>
      </w:pPr>
      <w:r>
        <w:lastRenderedPageBreak/>
        <w:t>Abstract</w:t>
      </w:r>
    </w:p>
    <w:p w:rsidR="00514B55" w:rsidRPr="00592C7C" w:rsidRDefault="00514B55" w:rsidP="00514B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  <w:r>
        <w:rPr>
          <w:rFonts w:ascii="Times New Roman" w:hAnsi="Times New Roman" w:cs="Times New Roman"/>
          <w:sz w:val="24"/>
          <w:szCs w:val="24"/>
        </w:rPr>
        <w:t xml:space="preserve">Our goal was to evaluate the Magnus Effect around cylindrical airfoils. Using the University of New Hampshire wind tunnel </w:t>
      </w:r>
      <w:r w:rsidR="009B2DBC">
        <w:rPr>
          <w:rFonts w:ascii="Times New Roman" w:hAnsi="Times New Roman" w:cs="Times New Roman"/>
          <w:sz w:val="24"/>
          <w:szCs w:val="24"/>
        </w:rPr>
        <w:t>we tested rotating cylinders at different mean wind velocity and rotation speeds</w:t>
      </w:r>
      <w:r w:rsidR="007C2FD9">
        <w:rPr>
          <w:rFonts w:ascii="Times New Roman" w:hAnsi="Times New Roman" w:cs="Times New Roman"/>
          <w:sz w:val="24"/>
          <w:szCs w:val="24"/>
        </w:rPr>
        <w:t xml:space="preserve"> (RPM)</w:t>
      </w:r>
      <w:r w:rsidR="009B2DBC">
        <w:rPr>
          <w:rFonts w:ascii="Times New Roman" w:hAnsi="Times New Roman" w:cs="Times New Roman"/>
          <w:sz w:val="24"/>
          <w:szCs w:val="24"/>
        </w:rPr>
        <w:t xml:space="preserve">. </w:t>
      </w:r>
      <w:r w:rsidR="007C2FD9">
        <w:rPr>
          <w:rFonts w:ascii="Times New Roman" w:hAnsi="Times New Roman" w:cs="Times New Roman"/>
          <w:sz w:val="24"/>
          <w:szCs w:val="24"/>
        </w:rPr>
        <w:t xml:space="preserve">By keeping the velocity in the wind tunnel constant and changing the RPM of the cylinder we were able to track the trend of the lift </w:t>
      </w:r>
      <w:r w:rsidR="00827667">
        <w:rPr>
          <w:rFonts w:ascii="Times New Roman" w:hAnsi="Times New Roman" w:cs="Times New Roman"/>
          <w:sz w:val="24"/>
          <w:szCs w:val="24"/>
        </w:rPr>
        <w:t>force. This test was completed for four different wind speeds at approximately: 12 m/s, 16 m/s, 20 m/s, 24 m/s;</w:t>
      </w:r>
      <w:r w:rsidR="007C2FD9">
        <w:rPr>
          <w:rFonts w:ascii="Times New Roman" w:hAnsi="Times New Roman" w:cs="Times New Roman"/>
          <w:sz w:val="24"/>
          <w:szCs w:val="24"/>
        </w:rPr>
        <w:t xml:space="preserve"> </w:t>
      </w:r>
      <w:r w:rsidR="00827667">
        <w:rPr>
          <w:rFonts w:ascii="Times New Roman" w:hAnsi="Times New Roman" w:cs="Times New Roman"/>
          <w:sz w:val="24"/>
          <w:szCs w:val="24"/>
        </w:rPr>
        <w:t xml:space="preserve">and three </w:t>
      </w:r>
      <w:r w:rsidR="007C2FD9">
        <w:rPr>
          <w:rFonts w:ascii="Times New Roman" w:hAnsi="Times New Roman" w:cs="Times New Roman"/>
          <w:sz w:val="24"/>
          <w:szCs w:val="24"/>
        </w:rPr>
        <w:t xml:space="preserve">different cylinder </w:t>
      </w:r>
      <w:r w:rsidR="0001462C">
        <w:rPr>
          <w:rFonts w:ascii="Times New Roman" w:hAnsi="Times New Roman" w:cs="Times New Roman"/>
          <w:sz w:val="24"/>
          <w:szCs w:val="24"/>
        </w:rPr>
        <w:t>radiuses</w:t>
      </w:r>
      <w:r w:rsidR="00827667">
        <w:rPr>
          <w:rFonts w:ascii="Times New Roman" w:hAnsi="Times New Roman" w:cs="Times New Roman"/>
          <w:sz w:val="24"/>
          <w:szCs w:val="24"/>
        </w:rPr>
        <w:t xml:space="preserve"> at</w:t>
      </w:r>
      <w:r w:rsidR="0001462C">
        <w:rPr>
          <w:rFonts w:ascii="Times New Roman" w:hAnsi="Times New Roman" w:cs="Times New Roman"/>
          <w:sz w:val="24"/>
          <w:szCs w:val="24"/>
        </w:rPr>
        <w:t xml:space="preserve">: </w:t>
      </w:r>
      <w:r w:rsidR="007C2FD9">
        <w:rPr>
          <w:rFonts w:ascii="Times New Roman" w:hAnsi="Times New Roman" w:cs="Times New Roman"/>
          <w:sz w:val="24"/>
          <w:szCs w:val="24"/>
        </w:rPr>
        <w:t>0.0290</w:t>
      </w:r>
      <w:r w:rsidR="0001462C">
        <w:rPr>
          <w:rFonts w:ascii="Times New Roman" w:hAnsi="Times New Roman" w:cs="Times New Roman"/>
          <w:sz w:val="24"/>
          <w:szCs w:val="24"/>
        </w:rPr>
        <w:t xml:space="preserve"> m, 0.0419 m, and 0.0641 m. We ran an additio</w:t>
      </w:r>
      <w:r w:rsidR="00827667">
        <w:rPr>
          <w:rFonts w:ascii="Times New Roman" w:hAnsi="Times New Roman" w:cs="Times New Roman"/>
          <w:sz w:val="24"/>
          <w:szCs w:val="24"/>
        </w:rPr>
        <w:t xml:space="preserve">nal test on the smallest </w:t>
      </w:r>
      <w:r w:rsidR="0001462C">
        <w:rPr>
          <w:rFonts w:ascii="Times New Roman" w:hAnsi="Times New Roman" w:cs="Times New Roman"/>
          <w:sz w:val="24"/>
          <w:szCs w:val="24"/>
        </w:rPr>
        <w:t xml:space="preserve">cylinder </w:t>
      </w:r>
      <w:r w:rsidR="00827667">
        <w:rPr>
          <w:rFonts w:ascii="Times New Roman" w:hAnsi="Times New Roman" w:cs="Times New Roman"/>
          <w:sz w:val="24"/>
          <w:szCs w:val="24"/>
        </w:rPr>
        <w:t xml:space="preserve">radius </w:t>
      </w:r>
      <w:r w:rsidR="0001462C">
        <w:rPr>
          <w:rFonts w:ascii="Times New Roman" w:hAnsi="Times New Roman" w:cs="Times New Roman"/>
          <w:sz w:val="24"/>
          <w:szCs w:val="24"/>
        </w:rPr>
        <w:t>at constant RPM and for a range of wind speeds from approximately 11 m/s to 30 m/s</w:t>
      </w:r>
      <w:r w:rsidR="00827667">
        <w:rPr>
          <w:rFonts w:ascii="Times New Roman" w:hAnsi="Times New Roman" w:cs="Times New Roman"/>
          <w:sz w:val="24"/>
          <w:szCs w:val="24"/>
        </w:rPr>
        <w:t xml:space="preserve"> to more closely see the effect of just the wind speed on lift. Theoretically, we expected to see a linear increase in lift as we increased wind speed or RPM</w:t>
      </w:r>
      <w:r w:rsidR="00592C7C">
        <w:rPr>
          <w:rFonts w:ascii="Times New Roman" w:hAnsi="Times New Roman" w:cs="Times New Roman"/>
          <w:sz w:val="24"/>
          <w:szCs w:val="24"/>
        </w:rPr>
        <w:t xml:space="preserve">, and quadratic growth when increasing the cylinder radius. What actually occurred was an apparent plateau at our range of tested RPM and wind speeds with our size of cylinders. </w:t>
      </w:r>
      <w:r w:rsidR="00B468EB">
        <w:rPr>
          <w:rFonts w:ascii="Times New Roman" w:hAnsi="Times New Roman" w:cs="Times New Roman"/>
          <w:sz w:val="24"/>
          <w:szCs w:val="24"/>
        </w:rPr>
        <w:t xml:space="preserve">Despite seeing the expected increase in lift with radius, the total magnitude of lift was not nearly as close to our theoretical values. </w:t>
      </w:r>
      <w:r w:rsidR="00592C7C">
        <w:rPr>
          <w:rFonts w:ascii="Times New Roman" w:hAnsi="Times New Roman" w:cs="Times New Roman"/>
          <w:sz w:val="24"/>
          <w:szCs w:val="24"/>
        </w:rPr>
        <w:t>For our smallest cylinder we reach a Reynolds number as high as 1.128x10</w:t>
      </w:r>
      <w:r w:rsidR="00592C7C">
        <w:rPr>
          <w:rFonts w:ascii="Times New Roman" w:hAnsi="Times New Roman" w:cs="Times New Roman"/>
          <w:sz w:val="24"/>
          <w:szCs w:val="24"/>
          <w:vertAlign w:val="superscript"/>
        </w:rPr>
        <w:t>5</w:t>
      </w:r>
      <w:r w:rsidR="00B468EB">
        <w:rPr>
          <w:rFonts w:ascii="Times New Roman" w:hAnsi="Times New Roman" w:cs="Times New Roman"/>
          <w:sz w:val="24"/>
          <w:szCs w:val="24"/>
        </w:rPr>
        <w:t>, which is well above an appropriate Reynolds number and are now creating vortex shedding behind our cylinder which reduced the experimental lift force.</w:t>
      </w:r>
      <w:bookmarkStart w:id="0" w:name="_GoBack"/>
      <w:bookmarkEnd w:id="0"/>
    </w:p>
    <w:p w:rsidR="008F2D0C" w:rsidRPr="00514B55" w:rsidRDefault="008F2D0C" w:rsidP="00514B5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Introduction</w:t>
      </w:r>
    </w:p>
    <w:p w:rsid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D02D3" w:rsidRDefault="009F6B49" w:rsidP="002F36A3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5581651</wp:posOffset>
                </wp:positionH>
                <wp:positionV relativeFrom="paragraph">
                  <wp:posOffset>583565</wp:posOffset>
                </wp:positionV>
                <wp:extent cx="361950" cy="28575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>
                            <w:r>
                              <w:t>(</w:t>
                            </w:r>
                            <w:r w:rsidR="009F6B49">
                              <w:t>1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39.5pt;margin-top:45.95pt;width:28.5pt;height:22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" fillcolor="white [3201]" stroked="f" strokeweight=".5pt">
                <v:textbox>
                  <w:txbxContent>
                    <w:p w:rsidR="009F6B49" w:rsidRDefault="0073236E">
                      <w:r>
                        <w:t>(</w:t>
                      </w:r>
                      <w:r w:rsidR="009F6B49">
                        <w:t>1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B7C24">
        <w:rPr>
          <w:rFonts w:ascii="Times New Roman" w:hAnsi="Times New Roman" w:cs="Times New Roman"/>
          <w:sz w:val="24"/>
          <w:szCs w:val="24"/>
        </w:rPr>
        <w:tab/>
      </w:r>
      <w:r w:rsidR="00CD02D3">
        <w:rPr>
          <w:rFonts w:ascii="Times New Roman" w:hAnsi="Times New Roman" w:cs="Times New Roman"/>
          <w:sz w:val="24"/>
          <w:szCs w:val="24"/>
        </w:rPr>
        <w:t xml:space="preserve">Our goal was to evaluate the effects of the Magnus Effect on a rotating cylinder at different rotational speeds and wind speeds. Using the </w:t>
      </w:r>
      <w:proofErr w:type="spellStart"/>
      <w:r w:rsidR="00CD02D3">
        <w:rPr>
          <w:rFonts w:ascii="Times New Roman" w:hAnsi="Times New Roman" w:cs="Times New Roman"/>
          <w:sz w:val="24"/>
          <w:szCs w:val="24"/>
        </w:rPr>
        <w:t>Kutta-Joukowski</w:t>
      </w:r>
      <w:proofErr w:type="spellEnd"/>
      <w:r w:rsidR="00CD02D3">
        <w:rPr>
          <w:rFonts w:ascii="Times New Roman" w:hAnsi="Times New Roman" w:cs="Times New Roman"/>
          <w:sz w:val="24"/>
          <w:szCs w:val="24"/>
        </w:rPr>
        <w:t xml:space="preserve"> lift equation –</w:t>
      </w:r>
    </w:p>
    <w:p w:rsidR="00CD02D3" w:rsidRPr="009F6B49" w:rsidRDefault="008A74FD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L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=ρvLG</m:t>
          </m:r>
        </m:oMath>
      </m:oMathPara>
    </w:p>
    <w:p w:rsidR="009F6B49" w:rsidRDefault="009F6B49" w:rsidP="002F36A3">
      <w:pPr>
        <w:spacing w:line="360" w:lineRule="auto"/>
        <w:ind w:firstLine="720"/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71101D" wp14:editId="0083E515">
                <wp:simplePos x="0" y="0"/>
                <wp:positionH relativeFrom="margin">
                  <wp:posOffset>5591174</wp:posOffset>
                </wp:positionH>
                <wp:positionV relativeFrom="paragraph">
                  <wp:posOffset>586740</wp:posOffset>
                </wp:positionV>
                <wp:extent cx="352425" cy="285750"/>
                <wp:effectExtent l="0" t="0" r="9525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9F6B49" w:rsidRDefault="0073236E" w:rsidP="009F6B49">
                            <w:r>
                              <w:t>(</w:t>
                            </w:r>
                            <w:r w:rsidR="009F6B49">
                              <w:t>2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1101D" id="Text Box 2" o:spid="_x0000_s1027" type="#_x0000_t202" style="position:absolute;left:0;text-align:left;margin-left:440.25pt;margin-top:46.2pt;width:27.7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" fillcolor="white [3201]" stroked="f" strokeweight=".5pt">
                <v:textbox>
                  <w:txbxContent>
                    <w:p w:rsidR="009F6B49" w:rsidRDefault="0073236E" w:rsidP="009F6B49">
                      <w:r>
                        <w:t>(</w:t>
                      </w:r>
                      <w:r w:rsidR="009F6B49">
                        <w:t>2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is the lift force, </w:t>
      </w:r>
      <m:oMath>
        <m:r>
          <w:rPr>
            <w:rFonts w:ascii="Cambria Math" w:hAnsi="Cambria Math" w:cs="Times New Roman"/>
            <w:sz w:val="24"/>
            <w:szCs w:val="24"/>
          </w:rPr>
          <m:t>ρ</m:t>
        </m:r>
      </m:oMath>
      <w:r w:rsidRPr="009F6B49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density of the fluid, </w:t>
      </w:r>
      <m:oMath>
        <m:r>
          <w:rPr>
            <w:rFonts w:ascii="Cambria Math" w:hAnsi="Cambria Math" w:cs="Times New Roman"/>
            <w:sz w:val="24"/>
            <w:szCs w:val="24"/>
          </w:rPr>
          <m:t>L</m:t>
        </m:r>
      </m:oMath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is the length of the cylinder, and </w:t>
      </w:r>
      <m:oMath>
        <m:r>
          <w:rPr>
            <w:rFonts w:ascii="Cambria Math" w:hAnsi="Cambria Math" w:cs="Times New Roman"/>
            <w:sz w:val="24"/>
            <w:szCs w:val="24"/>
          </w:rPr>
          <m:t>G</m:t>
        </m:r>
      </m:oMath>
      <w:r w:rsidR="006F21EE"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iCs/>
          <w:color w:val="222222"/>
          <w:sz w:val="24"/>
          <w:szCs w:val="24"/>
          <w:shd w:val="clear" w:color="auto" w:fill="FFFFFF"/>
        </w:rPr>
        <w:t xml:space="preserve">is the vortex strength, given by – </w:t>
      </w:r>
    </w:p>
    <w:p w:rsidR="009F6B49" w:rsidRPr="009F6B49" w:rsidRDefault="009F6B49" w:rsidP="002F36A3">
      <w:pPr>
        <w:spacing w:line="360" w:lineRule="auto"/>
        <w:rPr>
          <w:rFonts w:ascii="Times New Roman" w:eastAsiaTheme="minorEastAsia" w:hAnsi="Times New Roman" w:cs="Times New Roman"/>
          <w:iCs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G=2π</m:t>
          </m:r>
          <m:sSup>
            <m:sSupPr>
              <m:ctrlPr>
                <w:rPr>
                  <w:rFonts w:ascii="Cambria Math" w:hAnsi="Cambria Math" w:cs="Times New Roman"/>
                  <w:i/>
                  <w:iCs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ω</m:t>
          </m:r>
        </m:oMath>
      </m:oMathPara>
    </w:p>
    <w:p w:rsidR="002B7C24" w:rsidRPr="009F6B49" w:rsidRDefault="009F6B49" w:rsidP="002F36A3">
      <w:pPr>
        <w:spacing w:line="360" w:lineRule="auto"/>
        <w:ind w:firstLine="720"/>
        <w:rPr>
          <w:rFonts w:ascii="Times New Roman" w:eastAsiaTheme="minorEastAsia" w:hAnsi="Times New Roman" w:cs="Times New Roman"/>
          <w:iCs/>
          <w:sz w:val="24"/>
          <w:szCs w:val="24"/>
        </w:rPr>
      </w:pP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r</m:t>
        </m:r>
      </m:oMath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 is the radius, and </w:t>
      </w:r>
      <m:oMath>
        <m:r>
          <w:rPr>
            <w:rFonts w:ascii="Cambria Math" w:hAnsi="Cambria Math" w:cs="Times New Roman"/>
            <w:sz w:val="24"/>
            <w:szCs w:val="24"/>
          </w:rPr>
          <m:t>ω</m:t>
        </m:r>
      </m:oMath>
      <w:r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is the </w:t>
      </w:r>
      <w:r w:rsidR="006F21EE">
        <w:rPr>
          <w:rFonts w:ascii="Times New Roman" w:eastAsiaTheme="minorEastAsia" w:hAnsi="Times New Roman" w:cs="Times New Roman"/>
          <w:iCs/>
          <w:sz w:val="24"/>
          <w:szCs w:val="24"/>
        </w:rPr>
        <w:t>angular velocity of the cylinder</w:t>
      </w:r>
      <w:r>
        <w:rPr>
          <w:rFonts w:ascii="Times New Roman" w:eastAsiaTheme="minorEastAsia" w:hAnsi="Times New Roman" w:cs="Times New Roman"/>
          <w:iCs/>
          <w:sz w:val="24"/>
          <w:szCs w:val="24"/>
        </w:rPr>
        <w:t xml:space="preserve">. From these two equations </w:t>
      </w:r>
      <w:r w:rsidR="00CD02D3">
        <w:rPr>
          <w:rFonts w:ascii="Times New Roman" w:hAnsi="Times New Roman" w:cs="Times New Roman"/>
          <w:sz w:val="24"/>
          <w:szCs w:val="24"/>
        </w:rPr>
        <w:t>we theorized that at higher wind speeds, rotational speeds</w:t>
      </w:r>
      <w:r w:rsidR="0073236E">
        <w:rPr>
          <w:rFonts w:ascii="Times New Roman" w:hAnsi="Times New Roman" w:cs="Times New Roman"/>
          <w:sz w:val="24"/>
          <w:szCs w:val="24"/>
        </w:rPr>
        <w:t xml:space="preserve">, and </w:t>
      </w:r>
      <w:r w:rsidR="00CD02D3">
        <w:rPr>
          <w:rFonts w:ascii="Times New Roman" w:hAnsi="Times New Roman" w:cs="Times New Roman"/>
          <w:sz w:val="24"/>
          <w:szCs w:val="24"/>
        </w:rPr>
        <w:t xml:space="preserve">cylinder radius that we would generate more lift. </w:t>
      </w:r>
      <w:r w:rsidR="0073236E">
        <w:rPr>
          <w:rFonts w:ascii="Times New Roman" w:hAnsi="Times New Roman" w:cs="Times New Roman"/>
          <w:sz w:val="24"/>
          <w:szCs w:val="24"/>
        </w:rPr>
        <w:t>The lift is dependent on the radius squared so it was expected the radius would have the largest effect of the lift force.</w:t>
      </w:r>
      <w:r w:rsidR="006F21EE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939800595"/>
          <w:citation/>
        </w:sdtPr>
        <w:sdtEndPr/>
        <w:sdtContent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6F21EE">
            <w:rPr>
              <w:rFonts w:ascii="Times New Roman" w:hAnsi="Times New Roman" w:cs="Times New Roman"/>
              <w:sz w:val="24"/>
              <w:szCs w:val="24"/>
            </w:rPr>
            <w:instrText xml:space="preserve"> CITATION Nat15 \l 1033 </w:instrTex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6F21EE" w:rsidRPr="006F21EE">
            <w:rPr>
              <w:rFonts w:ascii="Times New Roman" w:hAnsi="Times New Roman" w:cs="Times New Roman"/>
              <w:noProof/>
              <w:sz w:val="24"/>
              <w:szCs w:val="24"/>
            </w:rPr>
            <w:t>[1]</w:t>
          </w:r>
          <w:r w:rsidR="006F21EE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2F36A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2B7C24" w:rsidRPr="002B7C24" w:rsidRDefault="002B7C24" w:rsidP="002B7C2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57CD2" w:rsidRPr="00E57CD2" w:rsidRDefault="00E57CD2" w:rsidP="00E57CD2">
      <w:pPr>
        <w:pStyle w:val="Heading1"/>
      </w:pPr>
      <w:r>
        <w:lastRenderedPageBreak/>
        <w:t>Methods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Results and Discussion</w:t>
      </w: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E57CD2" w:rsidP="00E57CD2">
      <w:pPr>
        <w:pStyle w:val="Heading1"/>
      </w:pPr>
      <w:r>
        <w:t>Summary and Conclusion</w:t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2F36A3" w:rsidRDefault="002F36A3" w:rsidP="002F36A3">
      <w:pPr>
        <w:pStyle w:val="Heading1"/>
        <w:jc w:val="center"/>
      </w:pPr>
      <w:r>
        <w:t>References</w:t>
      </w:r>
    </w:p>
    <w:p w:rsidR="006F21EE" w:rsidRDefault="006F21EE" w:rsidP="002F36A3">
      <w:pPr>
        <w:pStyle w:val="Heading1"/>
        <w:jc w:val="center"/>
      </w:pP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6F21EE">
        <w:trPr>
          <w:divId w:val="465659472"/>
          <w:tblCellSpacing w:w="15" w:type="dxa"/>
        </w:trPr>
        <w:tc>
          <w:tcPr>
            <w:tcW w:w="50" w:type="pct"/>
            <w:hideMark/>
          </w:tcPr>
          <w:p w:rsidR="006F21EE" w:rsidRDefault="006F21EE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:rsidR="006F21EE" w:rsidRDefault="006F21EE">
            <w:pPr>
              <w:pStyle w:val="Bibliography"/>
              <w:rPr>
                <w:noProof/>
              </w:rPr>
            </w:pPr>
            <w:r>
              <w:rPr>
                <w:noProof/>
              </w:rPr>
              <w:t>"National Aeronautics and Space Administration," 5 May 2015. [Online]. Available: https://www.grc.nasa.gov/www/k-12/airplane/cyl.html.</w:t>
            </w:r>
          </w:p>
        </w:tc>
      </w:tr>
    </w:tbl>
    <w:p w:rsidR="006F21EE" w:rsidRDefault="006F21EE">
      <w:pPr>
        <w:divId w:val="465659472"/>
        <w:rPr>
          <w:rFonts w:eastAsia="Times New Roman"/>
          <w:noProof/>
        </w:rPr>
      </w:pPr>
    </w:p>
    <w:p w:rsidR="00E57CD2" w:rsidRDefault="006F21EE" w:rsidP="00E57CD2">
      <w:r>
        <w:fldChar w:fldCharType="end"/>
      </w:r>
    </w:p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/>
    <w:p w:rsidR="00E57CD2" w:rsidRDefault="00E57CD2" w:rsidP="00E57CD2">
      <w:pPr>
        <w:pStyle w:val="Heading1"/>
        <w:jc w:val="center"/>
      </w:pPr>
      <w:r>
        <w:t>Appendix</w:t>
      </w:r>
    </w:p>
    <w:p w:rsidR="00E57CD2" w:rsidRPr="00E57CD2" w:rsidRDefault="00E57CD2" w:rsidP="00E57CD2"/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B320B" w:rsidRPr="00AB320B" w:rsidRDefault="00AB320B" w:rsidP="00AB320B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AB320B" w:rsidRPr="00AB320B" w:rsidSect="00AB320B">
      <w:footerReference w:type="default" r:id="rId7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B320B" w:rsidRDefault="00AB320B" w:rsidP="00AB320B">
      <w:pPr>
        <w:spacing w:after="0" w:line="240" w:lineRule="auto"/>
      </w:pPr>
      <w:r>
        <w:separator/>
      </w:r>
    </w:p>
  </w:endnote>
  <w:end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501723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B320B" w:rsidRDefault="00AB320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A74FD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AB320B" w:rsidRDefault="00AB32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B320B" w:rsidRDefault="00AB320B" w:rsidP="00AB320B">
      <w:pPr>
        <w:spacing w:after="0" w:line="240" w:lineRule="auto"/>
      </w:pPr>
      <w:r>
        <w:separator/>
      </w:r>
    </w:p>
  </w:footnote>
  <w:footnote w:type="continuationSeparator" w:id="0">
    <w:p w:rsidR="00AB320B" w:rsidRDefault="00AB320B" w:rsidP="00AB32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B8"/>
    <w:rsid w:val="0001462C"/>
    <w:rsid w:val="002B7C24"/>
    <w:rsid w:val="002F36A3"/>
    <w:rsid w:val="00401FB8"/>
    <w:rsid w:val="00420F21"/>
    <w:rsid w:val="00514B55"/>
    <w:rsid w:val="00571D34"/>
    <w:rsid w:val="00592C7C"/>
    <w:rsid w:val="006F21EE"/>
    <w:rsid w:val="0073236E"/>
    <w:rsid w:val="007C2FD9"/>
    <w:rsid w:val="00811380"/>
    <w:rsid w:val="00827667"/>
    <w:rsid w:val="008A74FD"/>
    <w:rsid w:val="008F2D0C"/>
    <w:rsid w:val="009B2DBC"/>
    <w:rsid w:val="009F6B49"/>
    <w:rsid w:val="00AB320B"/>
    <w:rsid w:val="00B468EB"/>
    <w:rsid w:val="00BF3C95"/>
    <w:rsid w:val="00CD02D3"/>
    <w:rsid w:val="00E57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27BE6"/>
  <w15:chartTrackingRefBased/>
  <w15:docId w15:val="{CD526424-2A40-4311-9EBD-D7529DB8F5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B320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B32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20B"/>
  </w:style>
  <w:style w:type="paragraph" w:styleId="Footer">
    <w:name w:val="footer"/>
    <w:basedOn w:val="Normal"/>
    <w:link w:val="FooterChar"/>
    <w:uiPriority w:val="99"/>
    <w:unhideWhenUsed/>
    <w:rsid w:val="00AB32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20B"/>
  </w:style>
  <w:style w:type="character" w:customStyle="1" w:styleId="Heading1Char">
    <w:name w:val="Heading 1 Char"/>
    <w:basedOn w:val="DefaultParagraphFont"/>
    <w:link w:val="Heading1"/>
    <w:uiPriority w:val="9"/>
    <w:rsid w:val="00AB320B"/>
    <w:rPr>
      <w:rFonts w:ascii="Times New Roman" w:eastAsiaTheme="majorEastAsia" w:hAnsi="Times New Roman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B320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CD02D3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6F2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65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7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1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1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95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89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3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69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52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2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9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32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94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61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Nat15</b:Tag>
    <b:SourceType>InternetSite</b:SourceType>
    <b:Guid>{C8C88902-B96E-43F8-A291-3FE7EF8CFE3E}</b:Guid>
    <b:Title>National Aeronautics and Space Administration</b:Title>
    <b:Year>2015</b:Year>
    <b:Month>May</b:Month>
    <b:Day>5</b:Day>
    <b:URL>https://www.grc.nasa.gov/www/k-12/airplane/cyl.html</b:URL>
    <b:RefOrder>1</b:RefOrder>
  </b:Source>
</b:Sources>
</file>

<file path=customXml/itemProps1.xml><?xml version="1.0" encoding="utf-8"?>
<ds:datastoreItem xmlns:ds="http://schemas.openxmlformats.org/officeDocument/2006/customXml" ds:itemID="{3B927FAF-AD65-482B-B072-7274FF50BD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9</Pages>
  <Words>556</Words>
  <Characters>3172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New Hampshire</Company>
  <LinksUpToDate>false</LinksUpToDate>
  <CharactersWithSpaces>3721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Skinner, James D</dc:creator>
  <cp:keywords/>
  <dc:description/>
  <cp:lastModifiedBy>Skinner, James D</cp:lastModifiedBy>
  <cp:revision>7</cp:revision>
  <dcterms:created xsi:type="dcterms:W3CDTF">2017-05-04T01:51:00Z</dcterms:created>
  <dcterms:modified xsi:type="dcterms:W3CDTF">2017-05-04T21:50:00Z</dcterms:modified>
</cp:coreProperties>
</file>