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Noto Sans CJK SC" w:hAnsi="Noto Sans CJK SC" w:eastAsia="Noto Sans CJK SC" w:cs="Noto Sans CJK SC"/>
          <w:b/>
          <w:color w:val="1F4E79"/>
          <w:sz w:val="48"/>
        </w:rPr>
        <w:t>R-PhysGen-DB 数据增强与计算更新计划</w:t>
      </w:r>
    </w:p>
    <w:p>
      <w:pPr>
        <w:spacing w:after="360"/>
        <w:jc w:val="center"/>
      </w:pPr>
      <w:r>
        <w:rPr>
          <w:rFonts w:ascii="Noto Sans CJK SC" w:hAnsi="Noto Sans CJK SC" w:eastAsia="Noto Sans CJK SC" w:cs="Noto Sans CJK SC"/>
          <w:color w:val="37474F"/>
          <w:sz w:val="28"/>
        </w:rPr>
        <w:t>面向第五代制冷剂数据库扩展、计算标注与主动学习候选闭环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EAF2F8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项目</w:t>
            </w:r>
          </w:p>
        </w:tc>
        <w:tc>
          <w:tcPr>
            <w:tcW w:type="dxa" w:w="5156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第五代制冷剂 / R-PhysGen-DB 数据增强</w:t>
            </w:r>
          </w:p>
        </w:tc>
      </w:tr>
      <w:tr>
        <w:tc>
          <w:tcPr>
            <w:tcW w:type="dxa" w:w="5156"/>
            <w:vAlign w:val="center"/>
            <w:shd w:fill="EAF2F8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服务器资源</w:t>
            </w:r>
          </w:p>
        </w:tc>
        <w:tc>
          <w:tcPr>
            <w:tcW w:type="dxa" w:w="5156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96 线程 CPU，250GB 内存，NVIDIA GeForce RTX 4060 Ti 16GB 显存</w:t>
            </w:r>
          </w:p>
        </w:tc>
      </w:tr>
      <w:tr>
        <w:tc>
          <w:tcPr>
            <w:tcW w:type="dxa" w:w="5156"/>
            <w:vAlign w:val="center"/>
            <w:shd w:fill="EAF2F8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文档版本</w:t>
            </w:r>
          </w:p>
        </w:tc>
        <w:tc>
          <w:tcPr>
            <w:tcW w:type="dxa" w:w="5156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Draft v1.0</w:t>
            </w:r>
          </w:p>
        </w:tc>
      </w:tr>
      <w:tr>
        <w:tc>
          <w:tcPr>
            <w:tcW w:type="dxa" w:w="5156"/>
            <w:vAlign w:val="center"/>
            <w:shd w:fill="EAF2F8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编制日期</w:t>
            </w:r>
          </w:p>
        </w:tc>
        <w:tc>
          <w:tcPr>
            <w:tcW w:type="dxa" w:w="5156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2026-04-29</w:t>
            </w:r>
          </w:p>
        </w:tc>
      </w:tr>
      <w:tr>
        <w:tc>
          <w:tcPr>
            <w:tcW w:type="dxa" w:w="5156"/>
            <w:vAlign w:val="center"/>
            <w:shd w:fill="EAF2F8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适用范围</w:t>
            </w:r>
          </w:p>
        </w:tc>
        <w:tc>
          <w:tcPr>
            <w:tcW w:type="dxa" w:w="5156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数据采集、候选扩展、热物性/循环/量子计算、主动学习队列、验证与发布治理</w:t>
            </w:r>
          </w:p>
        </w:tc>
      </w:tr>
    </w:tbl>
    <w:p>
      <w:pPr>
        <w:spacing w:before="560"/>
        <w:jc w:val="center"/>
      </w:pPr>
      <w:r>
        <w:rPr>
          <w:rFonts w:ascii="Noto Sans CJK SC" w:hAnsi="Noto Sans CJK SC" w:eastAsia="Noto Sans CJK SC" w:cs="Noto Sans CJK SC"/>
          <w:i/>
          <w:color w:val="555555"/>
          <w:sz w:val="21"/>
        </w:rPr>
        <w:t>建议先以“基线冻结—缺口识别—证据补齐—计算增强—主动学习—验证发布”的顺序执行，避免一次性改动 schema、候选池和模型管线导致失效不可定位。</w:t>
      </w:r>
    </w:p>
    <w:p>
      <w:r>
        <w:br w:type="page"/>
      </w:r>
    </w:p>
    <w:p>
      <w:pPr>
        <w:pStyle w:val="Heading1"/>
        <w:keepNext/>
        <w:spacing w:before="240" w:after="160"/>
      </w:pPr>
      <w:r>
        <w:rPr>
          <w:rFonts w:ascii="Noto Sans CJK SC" w:hAnsi="Noto Sans CJK SC" w:eastAsia="Noto Sans CJK SC" w:cs="Noto Sans CJK SC"/>
          <w:color w:val="1F4E79"/>
          <w:sz w:val="32"/>
        </w:rPr>
        <w:t>目录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 w:cs="Noto Sans CJK SC"/>
          <w:sz w:val="21"/>
        </w:rPr>
        <w:t>1. 执行摘要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 w:cs="Noto Sans CJK SC"/>
          <w:sz w:val="21"/>
        </w:rPr>
        <w:t>2. 目标与边界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 w:cs="Noto Sans CJK SC"/>
          <w:sz w:val="21"/>
        </w:rPr>
        <w:t>3. 当前数据库状态与增强重点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 w:cs="Noto Sans CJK SC"/>
          <w:sz w:val="21"/>
        </w:rPr>
        <w:t>4. 服务器资源定位与调度原则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 w:cs="Noto Sans CJK SC"/>
          <w:sz w:val="21"/>
        </w:rPr>
        <w:t>5. 总体工作流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 w:cs="Noto Sans CJK SC"/>
          <w:sz w:val="21"/>
        </w:rPr>
        <w:t>6. 分阶段执行计划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 w:cs="Noto Sans CJK SC"/>
          <w:sz w:val="21"/>
        </w:rPr>
        <w:t>7. 公开源、手工证据与混合物补齐策略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 w:cs="Noto Sans CJK SC"/>
          <w:sz w:val="21"/>
        </w:rPr>
        <w:t>8. PubChem Tier D 候选池扩展策略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 w:cs="Noto Sans CJK SC"/>
          <w:sz w:val="21"/>
        </w:rPr>
        <w:t>9. 计算增强方案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 w:cs="Noto Sans CJK SC"/>
          <w:sz w:val="21"/>
        </w:rPr>
        <w:t>10. 主动学习队列方案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 w:cs="Noto Sans CJK SC"/>
          <w:sz w:val="21"/>
        </w:rPr>
        <w:t>11. 数据写入、版本治理与质量门槛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 w:cs="Noto Sans CJK SC"/>
          <w:sz w:val="21"/>
        </w:rPr>
        <w:t>12. 验证、验收标准与发布路径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 w:cs="Noto Sans CJK SC"/>
          <w:sz w:val="21"/>
        </w:rPr>
        <w:t>13. 风险控制与不建议事项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 w:cs="Noto Sans CJK SC"/>
          <w:sz w:val="21"/>
        </w:rPr>
        <w:t>14. 建议实施顺序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 w:cs="Noto Sans CJK SC"/>
          <w:sz w:val="21"/>
        </w:rPr>
        <w:t>附录 A. 推荐执行命令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 w:cs="Noto Sans CJK SC"/>
          <w:sz w:val="21"/>
        </w:rPr>
        <w:t>附录 B. 参考资料</w:t>
      </w:r>
    </w:p>
    <w:p>
      <w:r>
        <w:br w:type="page"/>
      </w:r>
    </w:p>
    <w:p>
      <w:pPr>
        <w:pStyle w:val="Heading1"/>
        <w:keepNext/>
        <w:spacing w:before="240" w:after="160"/>
      </w:pPr>
      <w:r>
        <w:rPr>
          <w:rFonts w:ascii="Noto Sans CJK SC" w:hAnsi="Noto Sans CJK SC" w:eastAsia="Noto Sans CJK SC" w:cs="Noto Sans CJK SC"/>
          <w:color w:val="1F4E79"/>
          <w:sz w:val="32"/>
        </w:rPr>
        <w:t>1. 执行摘要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 w:cs="Noto Sans CJK SC"/>
          <w:sz w:val="21"/>
        </w:rPr>
        <w:t>本计划用于指导 R-PhysGen-DB 在已 clone 至高性能服务器后的下一轮数据内容增强。服务器具备 96 线程 CPU、250GB 内存和 16GB 显存的 NVIDIA GeForce RTX 4060 Ti，适合执行大规模数据流处理、RDKit 描述符计算、CoolProp 循环计算、xTB 半经验量子计算以及小型分子机器学习模型训练。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 w:cs="Noto Sans CJK SC"/>
          <w:sz w:val="21"/>
        </w:rPr>
        <w:t>本轮工作的核心不是重建数据 schema，而是在既有 file-lake-first 数据湖结构上补齐覆盖率、增加可追溯计算标签，并建立主动学习候选队列。建议将工作拆分为若干批次，每一批只改变一个主题，并在批次结束时执行完整构建、验证和质量报告 diff。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 w:cs="Noto Sans CJK SC"/>
          <w:sz w:val="21"/>
        </w:rPr>
        <w:t>优先级排序为：第一，补齐 Tier A/B/C promoted subset 的 GWP、ODP、安全、严格 canonical 属性和循环性能覆盖；第二，扩展 Tier D 候选池但保持 inventory-only；第三，引入 RDKit、CoolProp、xTB 与少量 DFT/Psi4 复核产生计算标签；第四，使用主动学习队列提出下一步文献检索、手工整理、量子计算、循环计算或候选推迟建议。</w:t>
      </w:r>
    </w:p>
    <w:p>
      <w:pPr>
        <w:pStyle w:val="Heading1"/>
        <w:keepNext/>
        <w:spacing w:before="240" w:after="160"/>
      </w:pPr>
      <w:r>
        <w:rPr>
          <w:rFonts w:ascii="Noto Sans CJK SC" w:hAnsi="Noto Sans CJK SC" w:eastAsia="Noto Sans CJK SC" w:cs="Noto Sans CJK SC"/>
          <w:color w:val="1F4E79"/>
          <w:sz w:val="32"/>
        </w:rPr>
        <w:t>2. 目标与边界</w:t>
      </w:r>
    </w:p>
    <w:p>
      <w:pPr>
        <w:pStyle w:val="Heading2"/>
        <w:keepNext/>
        <w:spacing w:before="200" w:after="120"/>
      </w:pPr>
      <w:r>
        <w:rPr>
          <w:rFonts w:ascii="Noto Sans CJK SC" w:hAnsi="Noto Sans CJK SC" w:eastAsia="Noto Sans CJK SC" w:cs="Noto Sans CJK SC"/>
          <w:color w:val="1F4E79"/>
          <w:sz w:val="26"/>
        </w:rPr>
        <w:t>2.1 总体目标</w:t>
      </w:r>
    </w:p>
    <w:p>
      <w:pPr>
        <w:pStyle w:val="ListBullet"/>
        <w:spacing w:after="60"/>
        <w:ind w:left="360"/>
      </w:pPr>
      <w:r>
        <w:rPr>
          <w:rFonts w:ascii="Noto Sans CJK SC" w:hAnsi="Noto Sans CJK SC" w:eastAsia="Noto Sans CJK SC" w:cs="Noto Sans CJK SC"/>
          <w:sz w:val="20"/>
        </w:rPr>
        <w:t>提高 promoted 分子集合的环境、安全、热物性、循环性能和严格 canonical 属性覆盖率。</w:t>
      </w:r>
    </w:p>
    <w:p>
      <w:pPr>
        <w:pStyle w:val="ListBullet"/>
        <w:spacing w:after="60"/>
        <w:ind w:left="360"/>
      </w:pPr>
      <w:r>
        <w:rPr>
          <w:rFonts w:ascii="Noto Sans CJK SC" w:hAnsi="Noto Sans CJK SC" w:eastAsia="Noto Sans CJK SC" w:cs="Noto Sans CJK SC"/>
          <w:sz w:val="20"/>
        </w:rPr>
        <w:t>建立可扩展的 Tier D 候选池，使候选结构具备可筛选、可排序、可审计的基础信息。</w:t>
      </w:r>
    </w:p>
    <w:p>
      <w:pPr>
        <w:pStyle w:val="ListBullet"/>
        <w:spacing w:after="60"/>
        <w:ind w:left="360"/>
      </w:pPr>
      <w:r>
        <w:rPr>
          <w:rFonts w:ascii="Noto Sans CJK SC" w:hAnsi="Noto Sans CJK SC" w:eastAsia="Noto Sans CJK SC" w:cs="Noto Sans CJK SC"/>
          <w:sz w:val="20"/>
        </w:rPr>
        <w:t>利用服务器 CPU/GPU 资源补充不可直接从公开源获得的计算标签，包括结构描述符、代理筛选特征、循环性能标签和量子描述符。</w:t>
      </w:r>
    </w:p>
    <w:p>
      <w:pPr>
        <w:pStyle w:val="ListBullet"/>
        <w:spacing w:after="60"/>
        <w:ind w:left="360"/>
      </w:pPr>
      <w:r>
        <w:rPr>
          <w:rFonts w:ascii="Noto Sans CJK SC" w:hAnsi="Noto Sans CJK SC" w:eastAsia="Noto Sans CJK SC" w:cs="Noto Sans CJK SC"/>
          <w:sz w:val="20"/>
        </w:rPr>
        <w:t>形成主动学习队列，将“下一步应做什么”结构化为可复现、可审计、可验证的数据资产。</w:t>
      </w:r>
    </w:p>
    <w:p>
      <w:pPr>
        <w:pStyle w:val="ListBullet"/>
        <w:spacing w:after="60"/>
        <w:ind w:left="360"/>
      </w:pPr>
      <w:r>
        <w:rPr>
          <w:rFonts w:ascii="Noto Sans CJK SC" w:hAnsi="Noto Sans CJK SC" w:eastAsia="Noto Sans CJK SC" w:cs="Noto Sans CJK SC"/>
          <w:sz w:val="20"/>
        </w:rPr>
        <w:t>保证所有新增数据均可追溯到 raw/manual、raw/generated 或明确的计算任务记录，不直接手工改写 silver/gold Parquet。</w:t>
      </w:r>
    </w:p>
    <w:p>
      <w:pPr>
        <w:pStyle w:val="Heading2"/>
        <w:keepNext/>
        <w:spacing w:before="200" w:after="120"/>
      </w:pPr>
      <w:r>
        <w:rPr>
          <w:rFonts w:ascii="Noto Sans CJK SC" w:hAnsi="Noto Sans CJK SC" w:eastAsia="Noto Sans CJK SC" w:cs="Noto Sans CJK SC"/>
          <w:color w:val="1F4E79"/>
          <w:sz w:val="26"/>
        </w:rPr>
        <w:t>2.2 明确边界</w:t>
      </w:r>
    </w:p>
    <w:p>
      <w:pPr>
        <w:pStyle w:val="ListBullet"/>
        <w:spacing w:after="60"/>
        <w:ind w:left="360"/>
      </w:pPr>
      <w:r>
        <w:rPr>
          <w:rFonts w:ascii="Noto Sans CJK SC" w:hAnsi="Noto Sans CJK SC" w:eastAsia="Noto Sans CJK SC" w:cs="Noto Sans CJK SC"/>
          <w:sz w:val="20"/>
        </w:rPr>
        <w:t>不重做 R-PhysGen-DB 现有数据湖分层、核心 schema 或验证主流程。</w:t>
      </w:r>
    </w:p>
    <w:p>
      <w:pPr>
        <w:pStyle w:val="ListBullet"/>
        <w:spacing w:after="60"/>
        <w:ind w:left="360"/>
      </w:pPr>
      <w:r>
        <w:rPr>
          <w:rFonts w:ascii="Noto Sans CJK SC" w:hAnsi="Noto Sans CJK SC" w:eastAsia="Noto Sans CJK SC" w:cs="Noto Sans CJK SC"/>
          <w:sz w:val="20"/>
        </w:rPr>
        <w:t>不把 proxy-only 或 screening heuristic 直接提升为 strict ML 标签，除非有显式策略和质量门槛。</w:t>
      </w:r>
    </w:p>
    <w:p>
      <w:pPr>
        <w:pStyle w:val="ListBullet"/>
        <w:spacing w:after="60"/>
        <w:ind w:left="360"/>
      </w:pPr>
      <w:r>
        <w:rPr>
          <w:rFonts w:ascii="Noto Sans CJK SC" w:hAnsi="Noto Sans CJK SC" w:eastAsia="Noto Sans CJK SC" w:cs="Noto Sans CJK SC"/>
          <w:sz w:val="20"/>
        </w:rPr>
        <w:t>不对 GWP、ODP、安全分级、混合物组成进行无来源填充或为通过验证而硬填。</w:t>
      </w:r>
    </w:p>
    <w:p>
      <w:pPr>
        <w:pStyle w:val="ListBullet"/>
        <w:spacing w:after="60"/>
        <w:ind w:left="360"/>
      </w:pPr>
      <w:r>
        <w:rPr>
          <w:rFonts w:ascii="Noto Sans CJK SC" w:hAnsi="Noto Sans CJK SC" w:eastAsia="Noto Sans CJK SC" w:cs="Noto Sans CJK SC"/>
          <w:sz w:val="20"/>
        </w:rPr>
        <w:t>不使用 PubChem PUG REST 逐条请求海量 CID；大规模结构扩展应采用 bulk/streaming 处理。</w:t>
      </w:r>
    </w:p>
    <w:p>
      <w:pPr>
        <w:pStyle w:val="ListBullet"/>
        <w:spacing w:after="60"/>
        <w:ind w:left="360"/>
      </w:pPr>
      <w:r>
        <w:rPr>
          <w:rFonts w:ascii="Noto Sans CJK SC" w:hAnsi="Noto Sans CJK SC" w:eastAsia="Noto Sans CJK SC" w:cs="Noto Sans CJK SC"/>
          <w:sz w:val="20"/>
        </w:rPr>
        <w:t>不把主动学习队列结果直接写入 recommended property 或 model_ready；队列只提出下一步动作建议。</w:t>
      </w:r>
    </w:p>
    <w:p>
      <w:pPr>
        <w:pStyle w:val="Heading1"/>
        <w:keepNext/>
        <w:spacing w:before="240" w:after="160"/>
      </w:pPr>
      <w:r>
        <w:rPr>
          <w:rFonts w:ascii="Noto Sans CJK SC" w:hAnsi="Noto Sans CJK SC" w:eastAsia="Noto Sans CJK SC" w:cs="Noto Sans CJK SC"/>
          <w:color w:val="1F4E79"/>
          <w:sz w:val="32"/>
        </w:rPr>
        <w:t>3. 当前数据库状态与增强重点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 w:cs="Noto Sans CJK SC"/>
          <w:sz w:val="21"/>
        </w:rPr>
        <w:t>根据仓库文档，R-PhysGen-DB 当前采用 data/raw、data/bronze、data/silver、data/gold、data/extensions 的分层结构，Parquet 是主要持久化格式，DuckDB 用于本地查询、索引和聚合。当前基线已具备 curated seed、molecule_core、property_recommended_canonical、mixture core、model_ready、quality_report 与 validation_report 等输出。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 w:cs="Noto Sans CJK SC"/>
          <w:sz w:val="21"/>
        </w:rPr>
        <w:t>现阶段的关键问题不是“没有数据表”，而是若干任务所需字段覆盖率不足。仓库 backlog 指向 GWP、ODP、safety、strict/cycle 覆盖率、MIX_511A 混合物分数、主动学习候选生成策略和 CI/验证扩展等剩余工作。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 w:cs="Noto Sans CJK SC"/>
          <w:sz w:val="21"/>
        </w:rPr>
        <w:t>因此，本轮增强应优先面向模型训练和候选筛选任务的可用性，而不是无差别扩展结构数量。建议先修复 promoted subset 的关键缺口，再把 Tier D 扩展作为 candidate inventory，最后通过计算和主动学习决定下一批高价值候选。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1701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7"/>
              </w:rPr>
              <w:t>增强域</w:t>
            </w:r>
          </w:p>
        </w:tc>
        <w:tc>
          <w:tcPr>
            <w:tcW w:type="dxa" w:w="2948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7"/>
              </w:rPr>
              <w:t>字段/标签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7"/>
              </w:rPr>
              <w:t>优先对象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7"/>
              </w:rPr>
              <w:t>推荐来源/方法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环境属性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GWP 100yr、ODP、atmospheric lifetime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Tier A/B/C promoted subset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EPA/公开源/手工证据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安全属性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ASHRAE safety group、toxicity/flammability class、regulatory status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Tier A/B/C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公开网页、SDS、标准引用记录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热物性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normal boiling point、critical T/P、Hvap、viscosity、thermal conductivity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Tier A/B/C + 高优先 Tier D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NIST/CoolProp/文献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循环性能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COP、pressure ratio、volumetric capacity、discharge T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CoolProp 支持分子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CoolProp 多工况计算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量子描述符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dipole、polarizability、HOMO/LUMO、gap、partial charges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主动学习 top 候选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RDKit 构象 + xTB/少量 DFT 复核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主动学习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priority、uncertainty、novelty、feasibility、next action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Tier D + 缺口分子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模型集成/规则评分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240" w:after="160"/>
      </w:pPr>
      <w:r>
        <w:rPr>
          <w:rFonts w:ascii="Noto Sans CJK SC" w:hAnsi="Noto Sans CJK SC" w:eastAsia="Noto Sans CJK SC" w:cs="Noto Sans CJK SC"/>
          <w:color w:val="1F4E79"/>
          <w:sz w:val="32"/>
        </w:rPr>
        <w:t>4. 服务器资源定位与调度原则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 w:cs="Noto Sans CJK SC"/>
          <w:sz w:val="21"/>
        </w:rPr>
        <w:t>该服务器的 CPU 和内存资源远强于 GPU 资源。本轮增强应将 CPU 用于大规模数据工程、化学信息学、热力循环和半经验量子计算；GPU 用于小型分子模型训练、GNN/embedding/ensemble 推理，而不是作为主要量子化学计算设备。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7"/>
              </w:rPr>
              <w:t>任务类型</w:t>
            </w:r>
          </w:p>
        </w:tc>
        <w:tc>
          <w:tcPr>
            <w:tcW w:type="dxa" w:w="2438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7"/>
              </w:rPr>
              <w:t>推荐资源</w:t>
            </w:r>
          </w:p>
        </w:tc>
        <w:tc>
          <w:tcPr>
            <w:tcW w:type="dxa" w:w="2721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7"/>
              </w:rPr>
              <w:t>用途</w:t>
            </w:r>
          </w:p>
        </w:tc>
        <w:tc>
          <w:tcPr>
            <w:tcW w:type="dxa" w:w="3061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7"/>
              </w:rPr>
              <w:t>注意事项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DuckDB / Parquet 聚合</w:t>
            </w:r>
          </w:p>
        </w:tc>
        <w:tc>
          <w:tcPr>
            <w:tcW w:type="dxa" w:w="243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64 threads，memory_limit 180–200GB</w:t>
            </w:r>
          </w:p>
        </w:tc>
        <w:tc>
          <w:tcPr>
            <w:tcW w:type="dxa" w:w="272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覆盖率统计、worklist、候选池审计</w:t>
            </w:r>
          </w:p>
        </w:tc>
        <w:tc>
          <w:tcPr>
            <w:tcW w:type="dxa" w:w="306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避免一次性读入 Pandas；优先 streaming/DuckDB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RDKit 描述符</w:t>
            </w:r>
          </w:p>
        </w:tc>
        <w:tc>
          <w:tcPr>
            <w:tcW w:type="dxa" w:w="243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48–72 进程，每进程 OMP=1</w:t>
            </w:r>
          </w:p>
        </w:tc>
        <w:tc>
          <w:tcPr>
            <w:tcW w:type="dxa" w:w="272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标准化、fragment flags、Morgan fingerprints、proxy features</w:t>
            </w:r>
          </w:p>
        </w:tc>
        <w:tc>
          <w:tcPr>
            <w:tcW w:type="dxa" w:w="306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控制 OpenMP 线程，避免过度订阅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CoolProp 循环</w:t>
            </w:r>
          </w:p>
        </w:tc>
        <w:tc>
          <w:tcPr>
            <w:tcW w:type="dxa" w:w="243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32–64 CPU 并发</w:t>
            </w:r>
          </w:p>
        </w:tc>
        <w:tc>
          <w:tcPr>
            <w:tcW w:type="dxa" w:w="272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多工况 cycle seed、COP、压力比等</w:t>
            </w:r>
          </w:p>
        </w:tc>
        <w:tc>
          <w:tcPr>
            <w:tcW w:type="dxa" w:w="306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只对 CoolProp 支持/有 alias 的工质运行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xTB/GFN2-xTB</w:t>
            </w:r>
          </w:p>
        </w:tc>
        <w:tc>
          <w:tcPr>
            <w:tcW w:type="dxa" w:w="243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12×8 threads 或 24×4 threads 试跑择优</w:t>
            </w:r>
          </w:p>
        </w:tc>
        <w:tc>
          <w:tcPr>
            <w:tcW w:type="dxa" w:w="272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构象优化、HOMO/LUMO、dipole、charge</w:t>
            </w:r>
          </w:p>
        </w:tc>
        <w:tc>
          <w:tcPr>
            <w:tcW w:type="dxa" w:w="306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设置 OMP_STACKSIZE，保存失败日志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DFT/Psi4 复核</w:t>
            </w:r>
          </w:p>
        </w:tc>
        <w:tc>
          <w:tcPr>
            <w:tcW w:type="dxa" w:w="243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少量代表点，CPU shared-memory</w:t>
            </w:r>
          </w:p>
        </w:tc>
        <w:tc>
          <w:tcPr>
            <w:tcW w:type="dxa" w:w="272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校准 xTB 与 surrogate</w:t>
            </w:r>
          </w:p>
        </w:tc>
        <w:tc>
          <w:tcPr>
            <w:tcW w:type="dxa" w:w="306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不做全量，只做 50–150 个代表分子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ML/GNN 训练</w:t>
            </w:r>
          </w:p>
        </w:tc>
        <w:tc>
          <w:tcPr>
            <w:tcW w:type="dxa" w:w="243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单 GPU，batch size 从 128/256 起步</w:t>
            </w:r>
          </w:p>
        </w:tc>
        <w:tc>
          <w:tcPr>
            <w:tcW w:type="dxa" w:w="272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多任务预测、不确定性、主动学习打分</w:t>
            </w:r>
          </w:p>
        </w:tc>
        <w:tc>
          <w:tcPr>
            <w:tcW w:type="dxa" w:w="306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避免与重 CPU 任务同时高负载运行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240" w:after="160"/>
      </w:pPr>
      <w:r>
        <w:rPr>
          <w:rFonts w:ascii="Noto Sans CJK SC" w:hAnsi="Noto Sans CJK SC" w:eastAsia="Noto Sans CJK SC" w:cs="Noto Sans CJK SC"/>
          <w:color w:val="1F4E79"/>
          <w:sz w:val="32"/>
        </w:rPr>
        <w:t>5. 总体工作流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 w:cs="Noto Sans CJK SC"/>
          <w:sz w:val="21"/>
        </w:rPr>
        <w:t>建议采用以下主流程执行。每一步都产生可审计产物，且后一步依赖前一步的输出。</w:t>
      </w:r>
    </w:p>
    <w:p>
      <w:pPr>
        <w:spacing w:after="60"/>
        <w:ind/>
      </w:pPr>
      <w:r>
        <w:rPr>
          <w:rFonts w:ascii="Noto Sans CJK SC" w:hAnsi="Noto Sans CJK SC" w:eastAsia="Noto Sans CJK SC" w:cs="Noto Sans CJK SC"/>
          <w:sz w:val="20"/>
        </w:rPr>
      </w:r>
      <w:r>
        <w:rPr>
          <w:rFonts w:ascii="Noto Sans CJK SC" w:hAnsi="Noto Sans CJK SC" w:eastAsia="Noto Sans CJK SC" w:cs="Noto Sans CJK SC"/>
          <w:sz w:val="21"/>
        </w:rPr>
        <w:t>1. 基线冻结：记录 commit、环境、构建结果、验证报告、质量报告和 model_ready 状态。</w:t>
      </w:r>
    </w:p>
    <w:p>
      <w:pPr>
        <w:spacing w:after="60"/>
        <w:ind/>
      </w:pPr>
      <w:r>
        <w:rPr>
          <w:rFonts w:ascii="Noto Sans CJK SC" w:hAnsi="Noto Sans CJK SC" w:eastAsia="Noto Sans CJK SC" w:cs="Noto Sans CJK SC"/>
          <w:sz w:val="20"/>
        </w:rPr>
      </w:r>
      <w:r>
        <w:rPr>
          <w:rFonts w:ascii="Noto Sans CJK SC" w:hAnsi="Noto Sans CJK SC" w:eastAsia="Noto Sans CJK SC" w:cs="Noto Sans CJK SC"/>
          <w:sz w:val="21"/>
        </w:rPr>
        <w:t>2. 覆盖缺口识别：用 DuckDB 生成 coverage matrix 和 enrichment_worklist.csv。</w:t>
      </w:r>
    </w:p>
    <w:p>
      <w:pPr>
        <w:spacing w:after="60"/>
        <w:ind/>
      </w:pPr>
      <w:r>
        <w:rPr>
          <w:rFonts w:ascii="Noto Sans CJK SC" w:hAnsi="Noto Sans CJK SC" w:eastAsia="Noto Sans CJK SC" w:cs="Noto Sans CJK SC"/>
          <w:sz w:val="20"/>
        </w:rPr>
      </w:r>
      <w:r>
        <w:rPr>
          <w:rFonts w:ascii="Noto Sans CJK SC" w:hAnsi="Noto Sans CJK SC" w:eastAsia="Noto Sans CJK SC" w:cs="Noto Sans CJK SC"/>
          <w:sz w:val="21"/>
        </w:rPr>
        <w:t>3. 公开源与手工证据补齐：优先补 GWP/ODP/safety/thermophysical 属性，并保留来源证据。</w:t>
      </w:r>
    </w:p>
    <w:p>
      <w:pPr>
        <w:spacing w:after="60"/>
        <w:ind/>
      </w:pPr>
      <w:r>
        <w:rPr>
          <w:rFonts w:ascii="Noto Sans CJK SC" w:hAnsi="Noto Sans CJK SC" w:eastAsia="Noto Sans CJK SC" w:cs="Noto Sans CJK SC"/>
          <w:sz w:val="20"/>
        </w:rPr>
      </w:r>
      <w:r>
        <w:rPr>
          <w:rFonts w:ascii="Noto Sans CJK SC" w:hAnsi="Noto Sans CJK SC" w:eastAsia="Noto Sans CJK SC" w:cs="Noto Sans CJK SC"/>
          <w:sz w:val="21"/>
        </w:rPr>
        <w:t>4. 候选池扩展：用 PubChem bulk/streaming 生成 Tier D candidate pool，先导出 20k 试运行。</w:t>
      </w:r>
    </w:p>
    <w:p>
      <w:pPr>
        <w:spacing w:after="60"/>
        <w:ind/>
      </w:pPr>
      <w:r>
        <w:rPr>
          <w:rFonts w:ascii="Noto Sans CJK SC" w:hAnsi="Noto Sans CJK SC" w:eastAsia="Noto Sans CJK SC" w:cs="Noto Sans CJK SC"/>
          <w:sz w:val="20"/>
        </w:rPr>
      </w:r>
      <w:r>
        <w:rPr>
          <w:rFonts w:ascii="Noto Sans CJK SC" w:hAnsi="Noto Sans CJK SC" w:eastAsia="Noto Sans CJK SC" w:cs="Noto Sans CJK SC"/>
          <w:sz w:val="21"/>
        </w:rPr>
        <w:t>5. 计算增强：执行 RDKit 描述符、CoolProp 循环、xTB 量子描述符和少量 DFT 复核。</w:t>
      </w:r>
    </w:p>
    <w:p>
      <w:pPr>
        <w:spacing w:after="60"/>
        <w:ind/>
      </w:pPr>
      <w:r>
        <w:rPr>
          <w:rFonts w:ascii="Noto Sans CJK SC" w:hAnsi="Noto Sans CJK SC" w:eastAsia="Noto Sans CJK SC" w:cs="Noto Sans CJK SC"/>
          <w:sz w:val="20"/>
        </w:rPr>
      </w:r>
      <w:r>
        <w:rPr>
          <w:rFonts w:ascii="Noto Sans CJK SC" w:hAnsi="Noto Sans CJK SC" w:eastAsia="Noto Sans CJK SC" w:cs="Noto Sans CJK SC"/>
          <w:sz w:val="21"/>
        </w:rPr>
        <w:t>6. 主动学习队列：用性能、不确定性、新颖性、可行性和覆盖缺口生成 next-action 队列。</w:t>
      </w:r>
    </w:p>
    <w:p>
      <w:pPr>
        <w:spacing w:after="60"/>
        <w:ind/>
      </w:pPr>
      <w:r>
        <w:rPr>
          <w:rFonts w:ascii="Noto Sans CJK SC" w:hAnsi="Noto Sans CJK SC" w:eastAsia="Noto Sans CJK SC" w:cs="Noto Sans CJK SC"/>
          <w:sz w:val="20"/>
        </w:rPr>
      </w:r>
      <w:r>
        <w:rPr>
          <w:rFonts w:ascii="Noto Sans CJK SC" w:hAnsi="Noto Sans CJK SC" w:eastAsia="Noto Sans CJK SC" w:cs="Noto Sans CJK SC"/>
          <w:sz w:val="21"/>
        </w:rPr>
        <w:t>7. 验证与发布：运行 build、validate、pytest，检查 readiness、coverage、review queue 和 migration。</w:t>
      </w:r>
    </w:p>
    <w:p>
      <w:pPr>
        <w:pStyle w:val="Heading1"/>
        <w:keepNext/>
        <w:spacing w:before="240" w:after="160"/>
      </w:pPr>
      <w:r>
        <w:rPr>
          <w:rFonts w:ascii="Noto Sans CJK SC" w:hAnsi="Noto Sans CJK SC" w:eastAsia="Noto Sans CJK SC" w:cs="Noto Sans CJK SC"/>
          <w:color w:val="1F4E79"/>
          <w:sz w:val="32"/>
        </w:rPr>
        <w:t>6. 分阶段执行计划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1757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阶段</w:t>
            </w:r>
          </w:p>
        </w:tc>
        <w:tc>
          <w:tcPr>
            <w:tcW w:type="dxa" w:w="1814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目标</w:t>
            </w:r>
          </w:p>
        </w:tc>
        <w:tc>
          <w:tcPr>
            <w:tcW w:type="dxa" w:w="3798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关键动作</w:t>
            </w:r>
          </w:p>
        </w:tc>
        <w:tc>
          <w:tcPr>
            <w:tcW w:type="dxa" w:w="2948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6"/>
              </w:rPr>
              <w:t>产出/验收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Phase 0：基线冻结</w:t>
            </w:r>
          </w:p>
        </w:tc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建立增强前对照</w:t>
            </w:r>
          </w:p>
        </w:tc>
        <w:tc>
          <w:tcPr>
            <w:tcW w:type="dxa" w:w="379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运行 seed generation、build、validate、pytest；保存 quality_report、validation_report、model_ready、canonical property 输出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runs/20260429_baseline/*；后续所有批次与其 diff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Phase 1：缺口分析</w:t>
            </w:r>
          </w:p>
        </w:tc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明确哪些分子缺哪些标签</w:t>
            </w:r>
          </w:p>
        </w:tc>
        <w:tc>
          <w:tcPr>
            <w:tcW w:type="dxa" w:w="379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DuckDB 生成 coverage matrix 和 enrichment_worklist.csv；按 Tier、feature、priority 排序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enrichment_worklist.csv；属性优先级表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Phase 2：证据补齐</w:t>
            </w:r>
          </w:p>
        </w:tc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补真实来源数据</w:t>
            </w:r>
          </w:p>
        </w:tc>
        <w:tc>
          <w:tcPr>
            <w:tcW w:type="dxa" w:w="379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刷新 EPA/NIST/CoolProp 支持数据；整理 safety/environmental 手工 observations；处理 MIX_511A 来源问题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raw/manual observations；source manifest；待审/失败来源记录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Phase 3：Tier D 扩展</w:t>
            </w:r>
          </w:p>
        </w:tc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形成候选结构库存</w:t>
            </w:r>
          </w:p>
        </w:tc>
        <w:tc>
          <w:tcPr>
            <w:tcW w:type="dxa" w:w="379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PubChem bulk download-only、summary-only、full candidate pool、导出 20k Tier D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pubchem_candidate_pool.parquet；pubchem_tierd_candidates.csv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Phase 4：计算增强</w:t>
            </w:r>
          </w:p>
        </w:tc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补充计算标签</w:t>
            </w:r>
          </w:p>
        </w:tc>
        <w:tc>
          <w:tcPr>
            <w:tcW w:type="dxa" w:w="379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RDKit descriptor、CoolProp 多工况、xTB top 候选、DFT 小样本复核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proxy features；cycle labels；quantum staging/results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Phase 5：主动学习</w:t>
            </w:r>
          </w:p>
        </w:tc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提出下一步行动</w:t>
            </w:r>
          </w:p>
        </w:tc>
        <w:tc>
          <w:tcPr>
            <w:tcW w:type="dxa" w:w="379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训练或使用 ensemble/surrogate；计算 priority、uncertainty、novelty、feasibility；生成 active_learning_queue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active_learning_queue.csv；action audit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Phase 6：验证发布</w:t>
            </w:r>
          </w:p>
        </w:tc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确认数据质量和任务可用性</w:t>
            </w:r>
          </w:p>
        </w:tc>
        <w:tc>
          <w:tcPr>
            <w:tcW w:type="dxa" w:w="379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build、validate、pytest；检查 readiness；更新 migration、docs、release notes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validation pass；quality report；PR 分批提交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00" w:after="120"/>
      </w:pPr>
      <w:r>
        <w:rPr>
          <w:rFonts w:ascii="Noto Sans CJK SC" w:hAnsi="Noto Sans CJK SC" w:eastAsia="Noto Sans CJK SC" w:cs="Noto Sans CJK SC"/>
          <w:color w:val="1F4E79"/>
          <w:sz w:val="26"/>
        </w:rPr>
        <w:t>6.1 Phase 0：基线冻结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 w:cs="Noto Sans CJK SC"/>
          <w:sz w:val="21"/>
        </w:rPr>
        <w:t>Phase 0 的目的是在任何增强前建立可回退、可比较的状态。此阶段不应修改数据内容，只记录当前仓库 commit、依赖环境、构建产物和测试结果。</w:t>
      </w:r>
    </w:p>
    <w:p>
      <w:pPr>
        <w:spacing w:after="40"/>
      </w:pPr>
      <w:r>
        <w:rPr>
          <w:rFonts w:ascii="Noto Sans CJK SC" w:hAnsi="Noto Sans CJK SC" w:eastAsia="Noto Sans CJK SC" w:cs="Noto Sans CJK SC"/>
          <w:b/>
          <w:color w:val="37474F"/>
          <w:sz w:val="19"/>
        </w:rPr>
        <w:t>基线命令建议：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>cd /path/to/R-PhysGen-DB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>git status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>git checkout -b data-enhancement-20260429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 xml:space="preserve"> 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>python3 -m venv .venv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>source .venv/bin/activate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 xml:space="preserve"> 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>python -m pip install -U pip wheel setuptools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>pip install -r requirements.txt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 xml:space="preserve"> 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>export PYTHONPATH="$PWD/src"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>export OMP_NUM_THREADS=1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>export MKL_NUM_THREADS=1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>export OPENBLAS_NUM_THREADS=1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>export NUMEXPR_NUM_THREADS=1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 xml:space="preserve"> 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>mkdir -p runs/20260429_baseline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 xml:space="preserve"> 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>python pipelines/generate_wave2_seed_catalog.py | tee runs/20260429_baseline/01_generate_seed.log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>python pipelines/build_v1_dataset.py          | tee runs/20260429_baseline/02_build.json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>python pipelines/validate_v1_dataset.py       | tee runs/20260429_baseline/03_validate.json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>pytest -q                                     | tee runs/20260429_baseline/04_pytest.log</w:t>
      </w:r>
    </w:p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Noto Sans CJK SC" w:hAnsi="Noto Sans CJK SC" w:eastAsia="Noto Sans CJK SC" w:cs="Noto Sans CJK SC"/>
          <w:color w:val="1F4E79"/>
          <w:sz w:val="26"/>
        </w:rPr>
        <w:t>6.2 Phase 1：覆盖缺口分析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 w:cs="Noto Sans CJK SC"/>
          <w:sz w:val="21"/>
        </w:rPr>
        <w:t>此阶段的目标是生成分子级 worklist。所有后续采集、计算和手工整理都应能追溯到 worklist 中的 mol_id、r_number、coverage_tier、canonical_smiles 和 missing_feature_key。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 w:cs="Noto Sans CJK SC"/>
          <w:sz w:val="21"/>
        </w:rPr>
        <w:t>建议优先分析 Tier A/B/C promoted subset，Tier D 先作为候选库存处理。缺口优先级可按热力核心属性、环境属性、安全属性、循环/传输属性排序。</w:t>
      </w:r>
    </w:p>
    <w:p>
      <w:pPr>
        <w:pStyle w:val="Heading2"/>
        <w:keepNext/>
        <w:spacing w:before="200" w:after="120"/>
      </w:pPr>
      <w:r>
        <w:rPr>
          <w:rFonts w:ascii="Noto Sans CJK SC" w:hAnsi="Noto Sans CJK SC" w:eastAsia="Noto Sans CJK SC" w:cs="Noto Sans CJK SC"/>
          <w:color w:val="1F4E79"/>
          <w:sz w:val="26"/>
        </w:rPr>
        <w:t>6.3 Phase 2：公开源和手工证据补齐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 w:cs="Noto Sans CJK SC"/>
          <w:sz w:val="21"/>
        </w:rPr>
        <w:t>优先补充能直接提升 canonical strict 和 model readiness 的真实证据。GWP/ODP 优先采用 EPA 相关表格、监管资料或可审计文献；热物性优先采用 NIST/CoolProp/文献；安全属性可使用公开网页、SDS、标准引用记录，但不得把不可再分发文本原样写入仓库。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 w:cs="Noto Sans CJK SC"/>
          <w:sz w:val="21"/>
        </w:rPr>
        <w:t>所有手工整理结果建议写入 data/raw/manual/observations/&lt;topic&gt;_&lt;YYYYMMDD&gt;.csv，并包含 source_name、source_url、method、quality_level、unit、temperature、pressure、phase、notes 等字段。</w:t>
      </w:r>
    </w:p>
    <w:p>
      <w:pPr>
        <w:pStyle w:val="Heading2"/>
        <w:keepNext/>
        <w:spacing w:before="200" w:after="120"/>
      </w:pPr>
      <w:r>
        <w:rPr>
          <w:rFonts w:ascii="Noto Sans CJK SC" w:hAnsi="Noto Sans CJK SC" w:eastAsia="Noto Sans CJK SC" w:cs="Noto Sans CJK SC"/>
          <w:color w:val="1F4E79"/>
          <w:sz w:val="26"/>
        </w:rPr>
        <w:t>6.4 Phase 3：PubChem Tier D 候选池扩展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 w:cs="Noto Sans CJK SC"/>
          <w:sz w:val="21"/>
        </w:rPr>
        <w:t>PubChem 适合用于候选结构扩展，但海量 CID 处理应走 bulk download/streaming。第一轮建议只导出 20,000 个 Tier D 候选，待验证通过后再扩大到 50,000 或更高。Tier D 候选默认保持 model_inclusion=no，除非后续有明确 promotion decision。</w:t>
      </w:r>
    </w:p>
    <w:p>
      <w:pPr>
        <w:pStyle w:val="Heading2"/>
        <w:keepNext/>
        <w:spacing w:before="200" w:after="120"/>
      </w:pPr>
      <w:r>
        <w:rPr>
          <w:rFonts w:ascii="Noto Sans CJK SC" w:hAnsi="Noto Sans CJK SC" w:eastAsia="Noto Sans CJK SC" w:cs="Noto Sans CJK SC"/>
          <w:color w:val="1F4E79"/>
          <w:sz w:val="26"/>
        </w:rPr>
        <w:t>6.5 Phase 4：计算增强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 w:cs="Noto Sans CJK SC"/>
          <w:sz w:val="21"/>
        </w:rPr>
        <w:t>计算增强分为四条线：RDKit 结构描述符、CoolProp 循环性能、xTB 量子描述符、ML/主动学习模型。RDKit 和 CoolProp 可覆盖较大规模；xTB 建议先对 300–500 个 pilot 分子试跑，再扩大到主动学习 top 1,000–2,000；DFT/Psi4 只做代表性小样本复核。</w:t>
      </w:r>
    </w:p>
    <w:p>
      <w:pPr>
        <w:pStyle w:val="Heading2"/>
        <w:keepNext/>
        <w:spacing w:before="200" w:after="120"/>
      </w:pPr>
      <w:r>
        <w:rPr>
          <w:rFonts w:ascii="Noto Sans CJK SC" w:hAnsi="Noto Sans CJK SC" w:eastAsia="Noto Sans CJK SC" w:cs="Noto Sans CJK SC"/>
          <w:color w:val="1F4E79"/>
          <w:sz w:val="26"/>
        </w:rPr>
        <w:t>6.6 Phase 5：主动学习队列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 w:cs="Noto Sans CJK SC"/>
          <w:sz w:val="21"/>
        </w:rPr>
        <w:t>主动学习队列的用途是把下一步行动结构化，而不是直接替代数据证据。推荐将 predicted performance、uncertainty、novelty、feasibility 和 coverage gap 归一化后合成 priority_score，并映射为 literature_search、manual_curation、run_quantum、run_cycle、synthesize_or_purchase、defer 或 reject。</w:t>
      </w:r>
    </w:p>
    <w:p>
      <w:pPr>
        <w:pStyle w:val="Heading2"/>
        <w:keepNext/>
        <w:spacing w:before="200" w:after="120"/>
      </w:pPr>
      <w:r>
        <w:rPr>
          <w:rFonts w:ascii="Noto Sans CJK SC" w:hAnsi="Noto Sans CJK SC" w:eastAsia="Noto Sans CJK SC" w:cs="Noto Sans CJK SC"/>
          <w:color w:val="1F4E79"/>
          <w:sz w:val="26"/>
        </w:rPr>
        <w:t>6.7 Phase 6：验证与发布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 w:cs="Noto Sans CJK SC"/>
          <w:sz w:val="21"/>
        </w:rPr>
        <w:t>每一批增强完成后必须重跑 build、validate 和 pytest，并比较 quality_report、validation_report、research_task_readiness_report、property_recommended_canonical_strict 和 model_ready。只有当错误清零、coverage 提升且 review queue 可解释时，才进入 PR 发布。</w:t>
      </w:r>
    </w:p>
    <w:p>
      <w:pPr>
        <w:pStyle w:val="Heading1"/>
        <w:keepNext/>
        <w:spacing w:before="240" w:after="160"/>
      </w:pPr>
      <w:r>
        <w:rPr>
          <w:rFonts w:ascii="Noto Sans CJK SC" w:hAnsi="Noto Sans CJK SC" w:eastAsia="Noto Sans CJK SC" w:cs="Noto Sans CJK SC"/>
          <w:color w:val="1F4E79"/>
          <w:sz w:val="32"/>
        </w:rPr>
        <w:t>7. 公开源、手工证据与混合物补齐策略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1814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7"/>
              </w:rPr>
              <w:t>数据域</w:t>
            </w:r>
          </w:p>
        </w:tc>
        <w:tc>
          <w:tcPr>
            <w:tcW w:type="dxa" w:w="2665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7"/>
              </w:rPr>
              <w:t>字段</w:t>
            </w:r>
          </w:p>
        </w:tc>
        <w:tc>
          <w:tcPr>
            <w:tcW w:type="dxa" w:w="3231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7"/>
              </w:rPr>
              <w:t>推荐来源</w:t>
            </w:r>
          </w:p>
        </w:tc>
        <w:tc>
          <w:tcPr>
            <w:tcW w:type="dxa" w:w="3005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7"/>
              </w:rPr>
              <w:t>治理要求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环境属性</w:t>
            </w:r>
          </w:p>
        </w:tc>
        <w:tc>
          <w:tcPr>
            <w:tcW w:type="dxa" w:w="2665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GWP 100yr、ODP、lifetime</w:t>
            </w:r>
          </w:p>
        </w:tc>
        <w:tc>
          <w:tcPr>
            <w:tcW w:type="dxa" w:w="323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EPA Technology Transitions GWP Reference、EPA SNAP、EPA ODS、同行评议文献</w:t>
            </w:r>
          </w:p>
        </w:tc>
        <w:tc>
          <w:tcPr>
            <w:tcW w:type="dxa" w:w="3005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最高优先级；需保留 source_id/source_url 和单位口径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热物性</w:t>
            </w:r>
          </w:p>
        </w:tc>
        <w:tc>
          <w:tcPr>
            <w:tcW w:type="dxa" w:w="2665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Tboil、Tc、Pc、Hvap、viscosity、thermal conductivity</w:t>
            </w:r>
          </w:p>
        </w:tc>
        <w:tc>
          <w:tcPr>
            <w:tcW w:type="dxa" w:w="323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NIST Chemistry WebBook、CoolProp、文献</w:t>
            </w:r>
          </w:p>
        </w:tc>
        <w:tc>
          <w:tcPr>
            <w:tcW w:type="dxa" w:w="3005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NIST 页面失败需记录 pending/failed source，不静默跳过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安全标签</w:t>
            </w:r>
          </w:p>
        </w:tc>
        <w:tc>
          <w:tcPr>
            <w:tcW w:type="dxa" w:w="2665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safety group、toxicity、flammability、regulatory status</w:t>
            </w:r>
          </w:p>
        </w:tc>
        <w:tc>
          <w:tcPr>
            <w:tcW w:type="dxa" w:w="323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ASHRAE/SDS/监管文件/厂商公开资料</w:t>
            </w:r>
          </w:p>
        </w:tc>
        <w:tc>
          <w:tcPr>
            <w:tcW w:type="dxa" w:w="3005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只写结构化事实和引用，不写付费标准全文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混合物组成</w:t>
            </w:r>
          </w:p>
        </w:tc>
        <w:tc>
          <w:tcPr>
            <w:tcW w:type="dxa" w:w="2665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mass fraction、mole fraction、blend components</w:t>
            </w:r>
          </w:p>
        </w:tc>
        <w:tc>
          <w:tcPr>
            <w:tcW w:type="dxa" w:w="323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可审计公开源或手工整理</w:t>
            </w:r>
          </w:p>
        </w:tc>
        <w:tc>
          <w:tcPr>
            <w:tcW w:type="dxa" w:w="3005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MIX_511A 不得无来源 imputation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候选结构</w:t>
            </w:r>
          </w:p>
        </w:tc>
        <w:tc>
          <w:tcPr>
            <w:tcW w:type="dxa" w:w="2665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SMILES、formula、elements、CID audit</w:t>
            </w:r>
          </w:p>
        </w:tc>
        <w:tc>
          <w:tcPr>
            <w:tcW w:type="dxa" w:w="323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PubChem bulk</w:t>
            </w:r>
          </w:p>
        </w:tc>
        <w:tc>
          <w:tcPr>
            <w:tcW w:type="dxa" w:w="3005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只进入 Tier D inventory，后续再 promotion</w:t>
            </w:r>
          </w:p>
        </w:tc>
      </w:tr>
    </w:tbl>
    <w:p>
      <w:pPr>
        <w:spacing w:after="80"/>
      </w:pPr>
    </w:p>
    <w:p>
      <w:pPr>
        <w:spacing w:before="0" w:after="120" w:line="276" w:lineRule="auto"/>
      </w:pPr>
      <w:r>
        <w:rPr>
          <w:rFonts w:ascii="Noto Sans CJK SC" w:hAnsi="Noto Sans CJK SC" w:eastAsia="Noto Sans CJK SC" w:cs="Noto Sans CJK SC"/>
          <w:sz w:val="21"/>
        </w:rPr>
        <w:t>混合物数据需要特别谨慎。若 MIX_511A 等混合物组成找不到可审计来源，应继续保留 unresolved，并在 validation/report 中明确记录原因。不得为了通过验证而构造 mass fraction 或 mole fraction。</w:t>
      </w:r>
    </w:p>
    <w:p>
      <w:pPr>
        <w:pStyle w:val="Heading1"/>
        <w:keepNext/>
        <w:spacing w:before="240" w:after="160"/>
      </w:pPr>
      <w:r>
        <w:rPr>
          <w:rFonts w:ascii="Noto Sans CJK SC" w:hAnsi="Noto Sans CJK SC" w:eastAsia="Noto Sans CJK SC" w:cs="Noto Sans CJK SC"/>
          <w:color w:val="1F4E79"/>
          <w:sz w:val="32"/>
        </w:rPr>
        <w:t>8. PubChem Tier D 候选池扩展策略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 w:cs="Noto Sans CJK SC"/>
          <w:sz w:val="21"/>
        </w:rPr>
        <w:t>第一轮 PubChem 扩展建议采用保守约束：单组分、中性、元素限制为 C/H/F/Cl/Br/I/O/N/S、总原子数不超过 18、重原子数 1–15、分子量 16–300、碳数 1–6。该范围与制冷剂候选的小分子、卤代、含氧/氮/硫结构空间相匹配，同时降低不可行结构数量。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 w:cs="Noto Sans CJK SC"/>
          <w:sz w:val="21"/>
        </w:rPr>
        <w:t>导出策略建议采用小规模试跑、download-only、summary-only、full candidate pool、20k Tier D export 的顺序。这样可以先验证路径、网络、磁盘和规则审计，再启动全量处理。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1984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7"/>
              </w:rPr>
              <w:t>步骤</w:t>
            </w:r>
          </w:p>
        </w:tc>
        <w:tc>
          <w:tcPr>
            <w:tcW w:type="dxa" w:w="3515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7"/>
              </w:rPr>
              <w:t>目的</w:t>
            </w:r>
          </w:p>
        </w:tc>
        <w:tc>
          <w:tcPr>
            <w:tcW w:type="dxa" w:w="2494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7"/>
              </w:rPr>
              <w:t>关键参数</w:t>
            </w:r>
          </w:p>
        </w:tc>
        <w:tc>
          <w:tcPr>
            <w:tcW w:type="dxa" w:w="2721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7"/>
              </w:rPr>
              <w:t>输出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Trial 200k</w:t>
            </w:r>
          </w:p>
        </w:tc>
        <w:tc>
          <w:tcPr>
            <w:tcW w:type="dxa" w:w="3515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验证依赖、路径和输出结构</w:t>
            </w:r>
          </w:p>
        </w:tc>
        <w:tc>
          <w:tcPr>
            <w:tcW w:type="dxa" w:w="2494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cid-limit 200000</w:t>
            </w:r>
          </w:p>
        </w:tc>
        <w:tc>
          <w:tcPr>
            <w:tcW w:type="dxa" w:w="272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试跑报告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Download only</w:t>
            </w:r>
          </w:p>
        </w:tc>
        <w:tc>
          <w:tcPr>
            <w:tcW w:type="dxa" w:w="3515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缓存 PubChem Extras/必要 bulk 文件</w:t>
            </w:r>
          </w:p>
        </w:tc>
        <w:tc>
          <w:tcPr>
            <w:tcW w:type="dxa" w:w="2494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download-only</w:t>
            </w:r>
          </w:p>
        </w:tc>
        <w:tc>
          <w:tcPr>
            <w:tcW w:type="dxa" w:w="272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可复用下载目录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Summary only</w:t>
            </w:r>
          </w:p>
        </w:tc>
        <w:tc>
          <w:tcPr>
            <w:tcW w:type="dxa" w:w="3515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估计候选空间和过滤比例</w:t>
            </w:r>
          </w:p>
        </w:tc>
        <w:tc>
          <w:tcPr>
            <w:tcW w:type="dxa" w:w="2494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skip-download + summary-only</w:t>
            </w:r>
          </w:p>
        </w:tc>
        <w:tc>
          <w:tcPr>
            <w:tcW w:type="dxa" w:w="272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summary JSON/log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Full candidate pool</w:t>
            </w:r>
          </w:p>
        </w:tc>
        <w:tc>
          <w:tcPr>
            <w:tcW w:type="dxa" w:w="3515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生成 bronze candidate/audit Parquet</w:t>
            </w:r>
          </w:p>
        </w:tc>
        <w:tc>
          <w:tcPr>
            <w:tcW w:type="dxa" w:w="2494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skip-download</w:t>
            </w:r>
          </w:p>
        </w:tc>
        <w:tc>
          <w:tcPr>
            <w:tcW w:type="dxa" w:w="272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candidate_pool + filter_audit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Export 20k Tier D</w:t>
            </w:r>
          </w:p>
        </w:tc>
        <w:tc>
          <w:tcPr>
            <w:tcW w:type="dxa" w:w="3515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形成 seed-compatible supplement</w:t>
            </w:r>
          </w:p>
        </w:tc>
        <w:tc>
          <w:tcPr>
            <w:tcW w:type="dxa" w:w="2494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limit 20000</w:t>
            </w:r>
          </w:p>
        </w:tc>
        <w:tc>
          <w:tcPr>
            <w:tcW w:type="dxa" w:w="272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pubchem_tierd_candidates.csv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240" w:after="160"/>
      </w:pPr>
      <w:r>
        <w:rPr>
          <w:rFonts w:ascii="Noto Sans CJK SC" w:hAnsi="Noto Sans CJK SC" w:eastAsia="Noto Sans CJK SC" w:cs="Noto Sans CJK SC"/>
          <w:color w:val="1F4E79"/>
          <w:sz w:val="32"/>
        </w:rPr>
        <w:t>9. 计算增强方案</w:t>
      </w:r>
    </w:p>
    <w:p>
      <w:pPr>
        <w:pStyle w:val="Heading2"/>
        <w:keepNext/>
        <w:spacing w:before="200" w:after="120"/>
      </w:pPr>
      <w:r>
        <w:rPr>
          <w:rFonts w:ascii="Noto Sans CJK SC" w:hAnsi="Noto Sans CJK SC" w:eastAsia="Noto Sans CJK SC" w:cs="Noto Sans CJK SC"/>
          <w:color w:val="1F4E79"/>
          <w:sz w:val="26"/>
        </w:rPr>
        <w:t>9.1 RDKit 结构描述符与代理特征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 w:cs="Noto Sans CJK SC"/>
          <w:sz w:val="21"/>
        </w:rPr>
        <w:t>RDKit 计算应覆盖全部已解析分子和新增 Tier D 分子。建议输出基础 physicochemical descriptors、Morgan fingerprints、fragment flags、halogen pattern、unsaturation、ring/cyclic flags、TFA-risk proxy、synthetic accessibility proxy 等。该部分应保持确定性、低成本和可复现。</w:t>
      </w:r>
    </w:p>
    <w:p>
      <w:pPr>
        <w:pStyle w:val="Heading2"/>
        <w:keepNext/>
        <w:spacing w:before="200" w:after="120"/>
      </w:pPr>
      <w:r>
        <w:rPr>
          <w:rFonts w:ascii="Noto Sans CJK SC" w:hAnsi="Noto Sans CJK SC" w:eastAsia="Noto Sans CJK SC" w:cs="Noto Sans CJK SC"/>
          <w:color w:val="1F4E79"/>
          <w:sz w:val="26"/>
        </w:rPr>
        <w:t>9.2 CoolProp 循环性能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 w:cs="Noto Sans CJK SC"/>
          <w:sz w:val="21"/>
        </w:rPr>
        <w:t>对 CoolProp 支持或有显式 alias 的工质计算多工况循环性能，包括 COP、pressure ratio、volumetric capacity、compressor discharge temperature、evaporator/condenser pressure。R-744/CO2 需要保留 transcritical 特殊路径。</w:t>
      </w:r>
    </w:p>
    <w:p>
      <w:pPr>
        <w:pStyle w:val="Heading2"/>
        <w:keepNext/>
        <w:spacing w:before="200" w:after="120"/>
      </w:pPr>
      <w:r>
        <w:rPr>
          <w:rFonts w:ascii="Noto Sans CJK SC" w:hAnsi="Noto Sans CJK SC" w:eastAsia="Noto Sans CJK SC" w:cs="Noto Sans CJK SC"/>
          <w:color w:val="1F4E79"/>
          <w:sz w:val="26"/>
        </w:rPr>
        <w:t>9.3 xTB/GFN2-xTB 量子描述符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 w:cs="Noto Sans CJK SC"/>
          <w:sz w:val="21"/>
        </w:rPr>
        <w:t>先用 RDKit ETKDG/MMFF 生成构象，保留低能构象进入 xTB/GFN2-xTB 优化。建议提取 dipole、polarizability、HOMO、LUMO、gap、partial charges、thermochemistry 和 vibrational sanity check。失败任务必须记录失败原因、输入结构、日志路径和重试策略。</w:t>
      </w:r>
    </w:p>
    <w:p>
      <w:pPr>
        <w:pStyle w:val="Heading2"/>
        <w:keepNext/>
        <w:spacing w:before="200" w:after="120"/>
      </w:pPr>
      <w:r>
        <w:rPr>
          <w:rFonts w:ascii="Noto Sans CJK SC" w:hAnsi="Noto Sans CJK SC" w:eastAsia="Noto Sans CJK SC" w:cs="Noto Sans CJK SC"/>
          <w:color w:val="1F4E79"/>
          <w:sz w:val="26"/>
        </w:rPr>
        <w:t>9.4 DFT/Psi4 复核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 w:cs="Noto Sans CJK SC"/>
          <w:sz w:val="21"/>
        </w:rPr>
        <w:t>DFT/Psi4 不建议全量执行。推荐选择 50–150 个代表分子，覆盖主族结构、含卤模式、不同极性、不同不确定性区间，用于校准 xTB 和机器学习 surrogate。</w:t>
      </w:r>
    </w:p>
    <w:p>
      <w:pPr>
        <w:pStyle w:val="Heading2"/>
        <w:keepNext/>
        <w:spacing w:before="200" w:after="120"/>
      </w:pPr>
      <w:r>
        <w:rPr>
          <w:rFonts w:ascii="Noto Sans CJK SC" w:hAnsi="Noto Sans CJK SC" w:eastAsia="Noto Sans CJK SC" w:cs="Noto Sans CJK SC"/>
          <w:color w:val="1F4E79"/>
          <w:sz w:val="26"/>
        </w:rPr>
        <w:t>9.5 ML/GNN 与不确定性模型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 w:cs="Noto Sans CJK SC"/>
          <w:sz w:val="21"/>
        </w:rPr>
        <w:t>16GB GPU 适合训练小型分子 GNN、fingerprint+GBDT ensemble 或 PyTorch Geometric 模型。训练目标应优先服务主动学习排序，包括 GWP/ODP proxy、cycle performance proxy、安全风险 proxy、物性 surrogate 与 uncertainty estimate。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1417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7"/>
              </w:rPr>
              <w:t>轮次</w:t>
            </w:r>
          </w:p>
        </w:tc>
        <w:tc>
          <w:tcPr>
            <w:tcW w:type="dxa" w:w="3288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7"/>
              </w:rPr>
              <w:t>对象规模</w:t>
            </w:r>
          </w:p>
        </w:tc>
        <w:tc>
          <w:tcPr>
            <w:tcW w:type="dxa" w:w="3458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7"/>
              </w:rPr>
              <w:t>计算内容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7"/>
              </w:rPr>
              <w:t>目标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Pilot</w:t>
            </w:r>
          </w:p>
        </w:tc>
        <w:tc>
          <w:tcPr>
            <w:tcW w:type="dxa" w:w="328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Tier A/B/C 全部 + Tier D 500–1000 多样性样本</w:t>
            </w:r>
          </w:p>
        </w:tc>
        <w:tc>
          <w:tcPr>
            <w:tcW w:type="dxa" w:w="345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RDKit 全量 pilot；CoolProp 支持分子；xTB 300–500；DFT 0–30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验证工具链、吞吐、失败率、ingestion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Production</w:t>
            </w:r>
          </w:p>
        </w:tc>
        <w:tc>
          <w:tcPr>
            <w:tcW w:type="dxa" w:w="328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Tier A/B/C + Tier D top 5k–20k</w:t>
            </w:r>
          </w:p>
        </w:tc>
        <w:tc>
          <w:tcPr>
            <w:tcW w:type="dxa" w:w="345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RDKit/代理全量；CoolProp 全支持；xTB top 1k–2k；DFT 50–150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产生可用计算标签和主动学习特征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Promotion</w:t>
            </w:r>
          </w:p>
        </w:tc>
        <w:tc>
          <w:tcPr>
            <w:tcW w:type="dxa" w:w="328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少量高置信 Tier D</w:t>
            </w:r>
          </w:p>
        </w:tc>
        <w:tc>
          <w:tcPr>
            <w:tcW w:type="dxa" w:w="345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根据真实证据、计算结果和主动学习排序人工审核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只在质量门槛满足后提升 model_inclusion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240" w:after="160"/>
      </w:pPr>
      <w:r>
        <w:rPr>
          <w:rFonts w:ascii="Noto Sans CJK SC" w:hAnsi="Noto Sans CJK SC" w:eastAsia="Noto Sans CJK SC" w:cs="Noto Sans CJK SC"/>
          <w:color w:val="1F4E79"/>
          <w:sz w:val="32"/>
        </w:rPr>
        <w:t>10. 主动学习队列方案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 w:cs="Noto Sans CJK SC"/>
          <w:sz w:val="21"/>
        </w:rPr>
        <w:t>主动学习队列建议先采用 deterministic scoring policy，之后再引入更复杂的 acquisition strategy。分数范围统一为 0–1，所有输入特征、模型版本和策略参数必须可追溯。</w:t>
      </w:r>
    </w:p>
    <w:p>
      <w:pPr>
        <w:spacing w:after="40"/>
      </w:pPr>
      <w:r>
        <w:rPr>
          <w:rFonts w:ascii="Noto Sans CJK SC" w:hAnsi="Noto Sans CJK SC" w:eastAsia="Noto Sans CJK SC" w:cs="Noto Sans CJK SC"/>
          <w:b/>
          <w:color w:val="37474F"/>
          <w:sz w:val="19"/>
        </w:rPr>
        <w:t>推荐优先级分数：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>priority_score =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 xml:space="preserve">  0.30 * predicted_performance_score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>+ 0.25 * uncertainty_score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>+ 0.20 * novelty_score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>+ 0.15 * feasibility_score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>+ 0.10 * coverage_gap_score</w:t>
      </w:r>
    </w:p>
    <w:p>
      <w:pPr>
        <w:spacing w:after="4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665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7"/>
              </w:rPr>
              <w:t>分数项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7"/>
              </w:rPr>
              <w:t>计算依据</w:t>
            </w:r>
          </w:p>
        </w:tc>
        <w:tc>
          <w:tcPr>
            <w:tcW w:type="dxa" w:w="3572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7"/>
              </w:rPr>
              <w:t>作用</w:t>
            </w:r>
          </w:p>
        </w:tc>
      </w:tr>
      <w:tr>
        <w:tc>
          <w:tcPr>
            <w:tcW w:type="dxa" w:w="2665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predicted_performance_score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低 GWP、零 ODP、合适 Tboil/Tc、较高 COP 等综合归一化</w:t>
            </w:r>
          </w:p>
        </w:tc>
        <w:tc>
          <w:tcPr>
            <w:tcW w:type="dxa" w:w="3572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性能导向筛选</w:t>
            </w:r>
          </w:p>
        </w:tc>
      </w:tr>
      <w:tr>
        <w:tc>
          <w:tcPr>
            <w:tcW w:type="dxa" w:w="2665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uncertainty_score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ensemble 方差、MC dropout 或模型 disagreement</w:t>
            </w:r>
          </w:p>
        </w:tc>
        <w:tc>
          <w:tcPr>
            <w:tcW w:type="dxa" w:w="3572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优先获取最能降低不确定性的标签</w:t>
            </w:r>
          </w:p>
        </w:tc>
      </w:tr>
      <w:tr>
        <w:tc>
          <w:tcPr>
            <w:tcW w:type="dxa" w:w="2665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novelty_score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Morgan fingerprint 与 Tier A/B/C 最近邻距离</w:t>
            </w:r>
          </w:p>
        </w:tc>
        <w:tc>
          <w:tcPr>
            <w:tcW w:type="dxa" w:w="3572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避免只围绕已知制冷剂局部搜索</w:t>
            </w:r>
          </w:p>
        </w:tc>
      </w:tr>
      <w:tr>
        <w:tc>
          <w:tcPr>
            <w:tcW w:type="dxa" w:w="2665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feasibility_score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合成可行性、元素惩罚、结构稳定性、已知安全风险</w:t>
            </w:r>
          </w:p>
        </w:tc>
        <w:tc>
          <w:tcPr>
            <w:tcW w:type="dxa" w:w="3572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过滤不可行/高风险结构</w:t>
            </w:r>
          </w:p>
        </w:tc>
      </w:tr>
      <w:tr>
        <w:tc>
          <w:tcPr>
            <w:tcW w:type="dxa" w:w="2665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coverage_gap_score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缺 GWP/ODP/safety/cycle 的 promoted 分子加权</w:t>
            </w:r>
          </w:p>
        </w:tc>
        <w:tc>
          <w:tcPr>
            <w:tcW w:type="dxa" w:w="3572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把补齐关键缺口纳入优先级</w:t>
            </w:r>
          </w:p>
        </w:tc>
      </w:tr>
    </w:tbl>
    <w:p>
      <w:pPr>
        <w:spacing w:after="80"/>
      </w:pPr>
    </w:p>
    <w:p>
      <w:pPr>
        <w:spacing w:before="0" w:after="120" w:line="276" w:lineRule="auto"/>
      </w:pPr>
      <w:r>
        <w:rPr>
          <w:rFonts w:ascii="Noto Sans CJK SC" w:hAnsi="Noto Sans CJK SC" w:eastAsia="Noto Sans CJK SC" w:cs="Noto Sans CJK SC"/>
          <w:sz w:val="21"/>
        </w:rPr>
        <w:t>recommended_next_action 建议只使用已定义动作，例如 literature_search、manual_curation、run_quantum、run_cycle、synthesize_or_purchase、defer、reject。队列本身不应改变 property_recommended_canonical、property_recommended_canonical_strict 或 model_ready。</w:t>
      </w:r>
    </w:p>
    <w:p>
      <w:pPr>
        <w:pStyle w:val="Heading1"/>
        <w:keepNext/>
        <w:spacing w:before="240" w:after="160"/>
      </w:pPr>
      <w:r>
        <w:rPr>
          <w:rFonts w:ascii="Noto Sans CJK SC" w:hAnsi="Noto Sans CJK SC" w:eastAsia="Noto Sans CJK SC" w:cs="Noto Sans CJK SC"/>
          <w:color w:val="1F4E79"/>
          <w:sz w:val="32"/>
        </w:rPr>
        <w:t>11. 数据写入、版本治理与质量门槛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814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7"/>
              </w:rPr>
              <w:t>层级</w:t>
            </w:r>
          </w:p>
        </w:tc>
        <w:tc>
          <w:tcPr>
            <w:tcW w:type="dxa" w:w="4082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7"/>
              </w:rPr>
              <w:t>允许写入内容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7"/>
              </w:rPr>
              <w:t>要求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raw/manual</w:t>
            </w:r>
          </w:p>
        </w:tc>
        <w:tc>
          <w:tcPr>
            <w:tcW w:type="dxa" w:w="4082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人工整理的 observations、安全/环境标签、混合物组成、主动学习队列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必须有 source_name、source_url/source_id、method、quality_level、notes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raw/generated</w:t>
            </w:r>
          </w:p>
        </w:tc>
        <w:tc>
          <w:tcPr>
            <w:tcW w:type="dxa" w:w="4082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PubChem Tier D supplement、自动生成候选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必须有生成脚本、参数、过滤审计、日期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bronze</w:t>
            </w:r>
          </w:p>
        </w:tc>
        <w:tc>
          <w:tcPr>
            <w:tcW w:type="dxa" w:w="4082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候选池、过滤审计、源解析中间层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不作为模型最终输入；用于追溯和 debug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silver</w:t>
            </w:r>
          </w:p>
        </w:tc>
        <w:tc>
          <w:tcPr>
            <w:tcW w:type="dxa" w:w="4082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标准化分子、属性 observation、quantum job/artifact、mixture component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schema 必须通过验证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gold</w:t>
            </w:r>
          </w:p>
        </w:tc>
        <w:tc>
          <w:tcPr>
            <w:tcW w:type="dxa" w:w="4082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recommended canonical、strict、model_ready、readiness report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只由 build pipeline 生成，不手工直接修改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extensions</w:t>
            </w:r>
          </w:p>
        </w:tc>
        <w:tc>
          <w:tcPr>
            <w:tcW w:type="dxa" w:w="4082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可选模型/应用扩展数据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不得破坏 core schema 和验证流程</w:t>
            </w:r>
          </w:p>
        </w:tc>
      </w:tr>
    </w:tbl>
    <w:p>
      <w:pPr>
        <w:spacing w:after="80"/>
      </w:pPr>
    </w:p>
    <w:p>
      <w:pPr>
        <w:spacing w:before="0" w:after="120" w:line="276" w:lineRule="auto"/>
      </w:pPr>
      <w:r>
        <w:rPr>
          <w:rFonts w:ascii="Noto Sans CJK SC" w:hAnsi="Noto Sans CJK SC" w:eastAsia="Noto Sans CJK SC" w:cs="Noto Sans CJK SC"/>
          <w:sz w:val="21"/>
        </w:rPr>
        <w:t>所有 schema 新增、字段语义变更、validation rule 变更或 dataset version 变更都应有 migration record。新增计算结果应优先进入 staging/raw/silver，再由既有管线选择是否进入 gold。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 w:cs="Noto Sans CJK SC"/>
          <w:sz w:val="21"/>
        </w:rPr>
        <w:t>property_observation 必须保留 source_type、source_name、source_id、method、quality_level、unit、temperature、pressure、phase 等字段。canonical strict 层要求 numeric value_num、最低质量门槛、非 proxy 限制或明确 proxy-only policy。</w:t>
      </w:r>
    </w:p>
    <w:p>
      <w:pPr>
        <w:pStyle w:val="Heading1"/>
        <w:keepNext/>
        <w:spacing w:before="240" w:after="160"/>
      </w:pPr>
      <w:r>
        <w:rPr>
          <w:rFonts w:ascii="Noto Sans CJK SC" w:hAnsi="Noto Sans CJK SC" w:eastAsia="Noto Sans CJK SC" w:cs="Noto Sans CJK SC"/>
          <w:color w:val="1F4E79"/>
          <w:sz w:val="32"/>
        </w:rPr>
        <w:t>12. 验证、验收标准与发布路径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381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7"/>
              </w:rPr>
              <w:t>验收项</w:t>
            </w:r>
          </w:p>
        </w:tc>
        <w:tc>
          <w:tcPr>
            <w:tcW w:type="dxa" w:w="4819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7"/>
              </w:rPr>
              <w:t>目标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7"/>
              </w:rPr>
              <w:t>频率/要求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基础验证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validation_report.errors = []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每批必须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测试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pytest -q 通过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每批必须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版本一致性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quality_report.dataset_version 与 data/gold/VERSION 一致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每批必须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Review queue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property_recommended_canonical_review_queue 为 0 或新增项可解释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每批必须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Readiness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task01/task02/task03/task04 状态改善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阶段性验收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覆盖率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Tier A/B/C GWP、ODP、safety、cycle 覆盖有明确提升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阶段性验收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混合物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MIX_511A 若无可审计来源则保留 unresolved，不 impute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质量红线</w:t>
            </w:r>
          </w:p>
        </w:tc>
      </w:tr>
    </w:tbl>
    <w:p>
      <w:pPr>
        <w:spacing w:after="80"/>
      </w:pPr>
    </w:p>
    <w:p>
      <w:pPr>
        <w:spacing w:before="0" w:after="120" w:line="276" w:lineRule="auto"/>
      </w:pPr>
      <w:r>
        <w:rPr>
          <w:rFonts w:ascii="Noto Sans CJK SC" w:hAnsi="Noto Sans CJK SC" w:eastAsia="Noto Sans CJK SC" w:cs="Noto Sans CJK SC"/>
          <w:sz w:val="21"/>
        </w:rPr>
        <w:t>建议的阶段性目标包括：task01_single_component_downselection 由 failed 变 passed；task02_core_multitask_training 由 degraded 变 passed；task03_canonical_strict_ml 至少由 failed 变 degraded，理想为 passed；task04_phase2_cycle_seed 由 failed 变 passed。覆盖率目标可按当前基线逐批提高，不应一次性设定不可追溯的硬填指标。</w:t>
      </w:r>
    </w:p>
    <w:p>
      <w:pPr>
        <w:spacing w:after="40"/>
      </w:pPr>
      <w:r>
        <w:rPr>
          <w:rFonts w:ascii="Noto Sans CJK SC" w:hAnsi="Noto Sans CJK SC" w:eastAsia="Noto Sans CJK SC" w:cs="Noto Sans CJK SC"/>
          <w:b/>
          <w:color w:val="37474F"/>
          <w:sz w:val="19"/>
        </w:rPr>
        <w:t>每批验证命令：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>python pipelines/generate_wave2_seed_catalog.py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>python pipelines/build_v1_dataset.py    | tee runs/&lt;batch&gt;/build.json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>python pipelines/validate_v1_dataset.py | tee runs/&lt;batch&gt;/validate.json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>pytest -q                               | tee runs/&lt;batch&gt;/pytest.log</w:t>
      </w:r>
    </w:p>
    <w:p>
      <w:pPr>
        <w:spacing w:after="40"/>
      </w:pPr>
    </w:p>
    <w:p>
      <w:pPr>
        <w:pStyle w:val="Heading1"/>
        <w:keepNext/>
        <w:spacing w:before="240" w:after="160"/>
      </w:pPr>
      <w:r>
        <w:rPr>
          <w:rFonts w:ascii="Noto Sans CJK SC" w:hAnsi="Noto Sans CJK SC" w:eastAsia="Noto Sans CJK SC" w:cs="Noto Sans CJK SC"/>
          <w:color w:val="1F4E79"/>
          <w:sz w:val="32"/>
        </w:rPr>
        <w:t>13. 风险控制与不建议事项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7"/>
              </w:rPr>
              <w:t>风险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7"/>
              </w:rPr>
              <w:t>表现</w:t>
            </w:r>
          </w:p>
        </w:tc>
        <w:tc>
          <w:tcPr>
            <w:tcW w:type="dxa" w:w="4082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000000"/>
                <w:sz w:val="17"/>
              </w:rPr>
              <w:t>控制措施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来源不可审计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GWP/ODP/safety/混合物组成被无来源填充</w:t>
            </w:r>
          </w:p>
        </w:tc>
        <w:tc>
          <w:tcPr>
            <w:tcW w:type="dxa" w:w="4082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所有手工数据必须有 source 和 notes；无来源则保留 unresolved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候选池过大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后续计算和验证成本失控</w:t>
            </w:r>
          </w:p>
        </w:tc>
        <w:tc>
          <w:tcPr>
            <w:tcW w:type="dxa" w:w="4082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第一轮 PubChem 只导出 20k；通过验证后再扩展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线程过度订阅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96 线程被 OpenMP + multiprocessing 叠加打满，吞吐下降</w:t>
            </w:r>
          </w:p>
        </w:tc>
        <w:tc>
          <w:tcPr>
            <w:tcW w:type="dxa" w:w="4082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设置 OMP/MKL/OPENBLAS=1；xTB 单独设置并行模式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GPU 误用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把 16GB GPU 用作主量子计算设备</w:t>
            </w:r>
          </w:p>
        </w:tc>
        <w:tc>
          <w:tcPr>
            <w:tcW w:type="dxa" w:w="4082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GPU 仅用于 ML/GNN；xTB/Psi4 主要用 CPU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Gold 层手改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验证和追溯失效</w:t>
            </w:r>
          </w:p>
        </w:tc>
        <w:tc>
          <w:tcPr>
            <w:tcW w:type="dxa" w:w="4082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只改 raw/manual 或 raw/generated，经 pipeline 重建 silver/gold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一轮改动过多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validation failure 无法定位</w:t>
            </w:r>
          </w:p>
        </w:tc>
        <w:tc>
          <w:tcPr>
            <w:tcW w:type="dxa" w:w="4082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每个 PR 只改变一个主题</w:t>
            </w:r>
          </w:p>
        </w:tc>
      </w:tr>
    </w:tbl>
    <w:p>
      <w:pPr>
        <w:spacing w:after="80"/>
      </w:pPr>
    </w:p>
    <w:p>
      <w:pPr>
        <w:spacing w:before="0" w:after="120" w:line="276" w:lineRule="auto"/>
      </w:pPr>
      <w:r>
        <w:rPr>
          <w:rFonts w:ascii="Noto Sans CJK SC" w:hAnsi="Noto Sans CJK SC" w:eastAsia="Noto Sans CJK SC" w:cs="Noto Sans CJK SC"/>
          <w:sz w:val="21"/>
        </w:rPr>
        <w:t>明确不建议使用 methods/refrigerant_data_project/refrigerant_data_pipeline.py 的随机数据生成逻辑作为真实数据源；该类数据只能作为方法演示或测试，不应进入 source-of-truth。</w:t>
      </w:r>
    </w:p>
    <w:p>
      <w:pPr>
        <w:pStyle w:val="Heading1"/>
        <w:keepNext/>
        <w:spacing w:before="240" w:after="160"/>
      </w:pPr>
      <w:r>
        <w:rPr>
          <w:rFonts w:ascii="Noto Sans CJK SC" w:hAnsi="Noto Sans CJK SC" w:eastAsia="Noto Sans CJK SC" w:cs="Noto Sans CJK SC"/>
          <w:color w:val="1F4E79"/>
          <w:sz w:val="32"/>
        </w:rPr>
        <w:t>14. 建议实施顺序</w:t>
      </w:r>
    </w:p>
    <w:p>
      <w:pPr>
        <w:spacing w:after="60"/>
        <w:ind/>
      </w:pPr>
      <w:r>
        <w:rPr>
          <w:rFonts w:ascii="Noto Sans CJK SC" w:hAnsi="Noto Sans CJK SC" w:eastAsia="Noto Sans CJK SC" w:cs="Noto Sans CJK SC"/>
          <w:sz w:val="20"/>
        </w:rPr>
      </w:r>
      <w:r>
        <w:rPr>
          <w:rFonts w:ascii="Noto Sans CJK SC" w:hAnsi="Noto Sans CJK SC" w:eastAsia="Noto Sans CJK SC" w:cs="Noto Sans CJK SC"/>
          <w:sz w:val="21"/>
        </w:rPr>
      </w:r>
      <w:r>
        <w:rPr>
          <w:rFonts w:ascii="Noto Sans CJK SC" w:hAnsi="Noto Sans CJK SC" w:eastAsia="Noto Sans CJK SC" w:cs="Noto Sans CJK SC"/>
          <w:sz w:val="21"/>
        </w:rPr>
        <w:t>1. 第一批 PR：只做基线、coverage worklist、EPA/NIST/CoolProp refresh，不改 schema。</w:t>
      </w:r>
    </w:p>
    <w:p>
      <w:pPr>
        <w:spacing w:after="60"/>
        <w:ind/>
      </w:pPr>
      <w:r>
        <w:rPr>
          <w:rFonts w:ascii="Noto Sans CJK SC" w:hAnsi="Noto Sans CJK SC" w:eastAsia="Noto Sans CJK SC" w:cs="Noto Sans CJK SC"/>
          <w:sz w:val="20"/>
        </w:rPr>
      </w:r>
      <w:r>
        <w:rPr>
          <w:rFonts w:ascii="Noto Sans CJK SC" w:hAnsi="Noto Sans CJK SC" w:eastAsia="Noto Sans CJK SC" w:cs="Noto Sans CJK SC"/>
          <w:sz w:val="21"/>
        </w:rPr>
      </w:r>
      <w:r>
        <w:rPr>
          <w:rFonts w:ascii="Noto Sans CJK SC" w:hAnsi="Noto Sans CJK SC" w:eastAsia="Noto Sans CJK SC" w:cs="Noto Sans CJK SC"/>
          <w:sz w:val="21"/>
        </w:rPr>
        <w:t>2. 第二批 PR：补充 safety/environmental 手工 observations，解决 Tier A/B/C 关键缺口。</w:t>
      </w:r>
    </w:p>
    <w:p>
      <w:pPr>
        <w:spacing w:after="60"/>
        <w:ind/>
      </w:pPr>
      <w:r>
        <w:rPr>
          <w:rFonts w:ascii="Noto Sans CJK SC" w:hAnsi="Noto Sans CJK SC" w:eastAsia="Noto Sans CJK SC" w:cs="Noto Sans CJK SC"/>
          <w:sz w:val="20"/>
        </w:rPr>
      </w:r>
      <w:r>
        <w:rPr>
          <w:rFonts w:ascii="Noto Sans CJK SC" w:hAnsi="Noto Sans CJK SC" w:eastAsia="Noto Sans CJK SC" w:cs="Noto Sans CJK SC"/>
          <w:sz w:val="21"/>
        </w:rPr>
      </w:r>
      <w:r>
        <w:rPr>
          <w:rFonts w:ascii="Noto Sans CJK SC" w:hAnsi="Noto Sans CJK SC" w:eastAsia="Noto Sans CJK SC" w:cs="Noto Sans CJK SC"/>
          <w:sz w:val="21"/>
        </w:rPr>
        <w:t>3. 第三批 PR：PubChem Tier D 扩展到 20k，并更新 candidate pool audit。</w:t>
      </w:r>
    </w:p>
    <w:p>
      <w:pPr>
        <w:spacing w:after="60"/>
        <w:ind/>
      </w:pPr>
      <w:r>
        <w:rPr>
          <w:rFonts w:ascii="Noto Sans CJK SC" w:hAnsi="Noto Sans CJK SC" w:eastAsia="Noto Sans CJK SC" w:cs="Noto Sans CJK SC"/>
          <w:sz w:val="20"/>
        </w:rPr>
      </w:r>
      <w:r>
        <w:rPr>
          <w:rFonts w:ascii="Noto Sans CJK SC" w:hAnsi="Noto Sans CJK SC" w:eastAsia="Noto Sans CJK SC" w:cs="Noto Sans CJK SC"/>
          <w:sz w:val="21"/>
        </w:rPr>
      </w:r>
      <w:r>
        <w:rPr>
          <w:rFonts w:ascii="Noto Sans CJK SC" w:hAnsi="Noto Sans CJK SC" w:eastAsia="Noto Sans CJK SC" w:cs="Noto Sans CJK SC"/>
          <w:sz w:val="21"/>
        </w:rPr>
        <w:t>4. 第四批 PR：CoolProp 多工况 cycle 增强，专注 task04_phase2_cycle_seed。</w:t>
      </w:r>
    </w:p>
    <w:p>
      <w:pPr>
        <w:spacing w:after="60"/>
        <w:ind/>
      </w:pPr>
      <w:r>
        <w:rPr>
          <w:rFonts w:ascii="Noto Sans CJK SC" w:hAnsi="Noto Sans CJK SC" w:eastAsia="Noto Sans CJK SC" w:cs="Noto Sans CJK SC"/>
          <w:sz w:val="20"/>
        </w:rPr>
      </w:r>
      <w:r>
        <w:rPr>
          <w:rFonts w:ascii="Noto Sans CJK SC" w:hAnsi="Noto Sans CJK SC" w:eastAsia="Noto Sans CJK SC" w:cs="Noto Sans CJK SC"/>
          <w:sz w:val="21"/>
        </w:rPr>
      </w:r>
      <w:r>
        <w:rPr>
          <w:rFonts w:ascii="Noto Sans CJK SC" w:hAnsi="Noto Sans CJK SC" w:eastAsia="Noto Sans CJK SC" w:cs="Noto Sans CJK SC"/>
          <w:sz w:val="21"/>
        </w:rPr>
        <w:t>5. 第五批 PR：quantum pilot ingestion，先覆盖 300–500 个分子。</w:t>
      </w:r>
    </w:p>
    <w:p>
      <w:pPr>
        <w:spacing w:after="60"/>
        <w:ind/>
      </w:pPr>
      <w:r>
        <w:rPr>
          <w:rFonts w:ascii="Noto Sans CJK SC" w:hAnsi="Noto Sans CJK SC" w:eastAsia="Noto Sans CJK SC" w:cs="Noto Sans CJK SC"/>
          <w:sz w:val="20"/>
        </w:rPr>
      </w:r>
      <w:r>
        <w:rPr>
          <w:rFonts w:ascii="Noto Sans CJK SC" w:hAnsi="Noto Sans CJK SC" w:eastAsia="Noto Sans CJK SC" w:cs="Noto Sans CJK SC"/>
          <w:sz w:val="21"/>
        </w:rPr>
      </w:r>
      <w:r>
        <w:rPr>
          <w:rFonts w:ascii="Noto Sans CJK SC" w:hAnsi="Noto Sans CJK SC" w:eastAsia="Noto Sans CJK SC" w:cs="Noto Sans CJK SC"/>
          <w:sz w:val="21"/>
        </w:rPr>
        <w:t>6. 第六批 PR：主动学习 queue 自动生成，但不改变 recommendations。</w:t>
      </w:r>
    </w:p>
    <w:p>
      <w:pPr>
        <w:spacing w:after="60"/>
        <w:ind/>
      </w:pPr>
      <w:r>
        <w:rPr>
          <w:rFonts w:ascii="Noto Sans CJK SC" w:hAnsi="Noto Sans CJK SC" w:eastAsia="Noto Sans CJK SC" w:cs="Noto Sans CJK SC"/>
          <w:sz w:val="20"/>
        </w:rPr>
      </w:r>
      <w:r>
        <w:rPr>
          <w:rFonts w:ascii="Noto Sans CJK SC" w:hAnsi="Noto Sans CJK SC" w:eastAsia="Noto Sans CJK SC" w:cs="Noto Sans CJK SC"/>
          <w:sz w:val="21"/>
        </w:rPr>
      </w:r>
      <w:r>
        <w:rPr>
          <w:rFonts w:ascii="Noto Sans CJK SC" w:hAnsi="Noto Sans CJK SC" w:eastAsia="Noto Sans CJK SC" w:cs="Noto Sans CJK SC"/>
          <w:sz w:val="21"/>
        </w:rPr>
        <w:t>7. 第七批 PR：根据严格证据做少量 Tier D promotion，并更新 migration、docs、tests。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 w:cs="Noto Sans CJK SC"/>
          <w:sz w:val="21"/>
        </w:rPr>
        <w:t>该顺序的原则是：先把真实证据补齐，再用计算补充可解释标签，最后再通过主动学习建立候选闭环。这样可以最大限度降低 schema 漂移、数据污染和验证失败不可定位的风险。</w:t>
      </w:r>
    </w:p>
    <w:p>
      <w:r>
        <w:br w:type="page"/>
      </w:r>
    </w:p>
    <w:p>
      <w:pPr>
        <w:pStyle w:val="Heading1"/>
        <w:keepNext/>
        <w:spacing w:before="240" w:after="160"/>
      </w:pPr>
      <w:r>
        <w:rPr>
          <w:rFonts w:ascii="Noto Sans CJK SC" w:hAnsi="Noto Sans CJK SC" w:eastAsia="Noto Sans CJK SC" w:cs="Noto Sans CJK SC"/>
          <w:color w:val="1F4E79"/>
          <w:sz w:val="32"/>
        </w:rPr>
        <w:t>附录 A. 推荐执行命令</w:t>
      </w:r>
    </w:p>
    <w:p>
      <w:pPr>
        <w:pStyle w:val="Heading2"/>
        <w:keepNext/>
        <w:spacing w:before="200" w:after="120"/>
      </w:pPr>
      <w:r>
        <w:rPr>
          <w:rFonts w:ascii="Noto Sans CJK SC" w:hAnsi="Noto Sans CJK SC" w:eastAsia="Noto Sans CJK SC" w:cs="Noto Sans CJK SC"/>
          <w:color w:val="1F4E79"/>
          <w:sz w:val="26"/>
        </w:rPr>
        <w:t>A.1 覆盖缺口矩阵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>duckdb &lt;&lt;'SQL'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>PRAGMA threads=64;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>PRAGMA memory_limit='200GB';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 xml:space="preserve"> 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>CREATE OR REPLACE TEMP VIEW seed AS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>SELECT * FROM read_csv_auto('data/raw/manual/seed_catalog.csv');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 xml:space="preserve"> 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>CREATE OR REPLACE TEMP VIEW core AS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>SELECT mol_id, seed_id, canonical_smiles, family, entity_scope, model_inclusion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>FROM read_parquet('data/silver/molecule_core.parquet');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 xml:space="preserve"> 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>CREATE OR REPLACE TEMP VIEW base AS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>SELECT c.mol_id, c.seed_id, s.r_number, s.coverage_tier, s.model_inclusion,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   s.entity_scope, c.canonical_smiles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>FROM core c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>JOIN seed s USING(seed_id)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>WHERE s.coverage_tier IN ('A','B','C');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 xml:space="preserve"> 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>CREATE OR REPLACE TEMP VIEW rec AS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>SELECT mol_id, canonical_feature_key, value_num, value, selected_source_id,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   data_quality_score_100, is_proxy_or_screening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>FROM read_parquet('data/gold/property_recommended_canonical.parquet');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 xml:space="preserve"> 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>WITH keys(feature_key) AS (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 xml:space="preserve">  VALUES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('thermodynamic.normal_boiling_temperature'),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('thermodynamic.critical_temperature'),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('thermodynamic.critical_pressure'),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('environmental.gwp_100yr'),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('environmental.odp'),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('safety.safety_group'),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('safety.toxicity_class'),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('cycle.cop'),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('transport.liquid_viscosity')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>)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>SELECT b.coverage_tier, k.feature_key, COUNT(*) AS molecule_count,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   SUM(CASE WHEN r.mol_id IS NOT NULL THEN 1 ELSE 0 END) AS covered_count,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   ROUND(SUM(CASE WHEN r.mol_id IS NOT NULL THEN 1 ELSE 0 END)::DOUBLE / COUNT(*), 4) AS coverage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>FROM base b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>CROSS JOIN keys k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>LEFT JOIN rec r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 xml:space="preserve">  ON r.mol_id = b.mol_id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 xml:space="preserve"> AND r.canonical_feature_key = k.feature_key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>GROUP BY b.coverage_tier, k.feature_key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>ORDER BY b.coverage_tier, coverage ASC, k.feature_key;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>SQL</w:t>
      </w:r>
    </w:p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Noto Sans CJK SC" w:hAnsi="Noto Sans CJK SC" w:eastAsia="Noto Sans CJK SC" w:cs="Noto Sans CJK SC"/>
          <w:color w:val="1F4E79"/>
          <w:sz w:val="26"/>
        </w:rPr>
        <w:t>A.2 分子级 enrichment worklist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>duckdb &lt;&lt;'SQL'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>PRAGMA threads=64;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>PRAGMA memory_limit='200GB';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 xml:space="preserve"> 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>COPY (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>WITH seed AS (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 xml:space="preserve">  SELECT * FROM read_csv_auto('data/raw/manual/seed_catalog.csv')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>),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>core AS (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 xml:space="preserve">  SELECT mol_id, seed_id, canonical_smiles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 xml:space="preserve">  FROM read_parquet('data/silver/molecule_core.parquet')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>),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>base AS (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 xml:space="preserve">  SELECT c.mol_id, c.seed_id, s.r_number, s.coverage_tier, s.model_inclusion,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     s.entity_scope, c.canonical_smiles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 xml:space="preserve">  FROM core c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 xml:space="preserve">  JOIN seed s USING(seed_id)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 xml:space="preserve">  WHERE s.coverage_tier IN ('A','B','C')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>),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>rec AS (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 xml:space="preserve">  SELECT mol_id, canonical_feature_key, value, value_num, selected_source_id,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     data_quality_score_100, is_proxy_or_screening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 xml:space="preserve">  FROM read_parquet('data/gold/property_recommended_canonical.parquet')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>),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>keys(feature_key, priority) AS (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 xml:space="preserve">  VALUES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('thermodynamic.normal_boiling_temperature', 1),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('thermodynamic.critical_temperature', 1),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('thermodynamic.critical_pressure', 1),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('environmental.gwp_100yr', 2),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('environmental.odp', 2),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('safety.safety_group', 3),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('safety.toxicity_class', 3),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('cycle.cop', 4),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('transport.liquid_viscosity', 4)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>)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>SELECT b.coverage_tier, b.r_number, b.mol_id, b.canonical_smiles,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 xml:space="preserve">       k.feature_key AS missing_feature_key, k.priority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>FROM base b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>CROSS JOIN keys k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>LEFT JOIN rec r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 xml:space="preserve">  ON r.mol_id = b.mol_id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 xml:space="preserve"> AND r.canonical_feature_key = k.feature_key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>WHERE r.mol_id IS NULL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>ORDER BY k.priority, b.coverage_tier, b.r_number, b.mol_id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>) TO 'runs/20260429_baseline/enrichment_worklist.csv'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>WITH (HEADER, DELIMITER ',');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>SQL</w:t>
      </w:r>
    </w:p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Noto Sans CJK SC" w:hAnsi="Noto Sans CJK SC" w:eastAsia="Noto Sans CJK SC" w:cs="Noto Sans CJK SC"/>
          <w:color w:val="1F4E79"/>
          <w:sz w:val="26"/>
        </w:rPr>
        <w:t>A.3 PubChem 候选扩展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>mkdir -p runs/20260429_pubchem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 xml:space="preserve"> 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>python pipelines/acquire_pubchem_bulk_candidates.py   --cid-limit 200000   --max-mib-per-second 30   | tee runs/20260429_pubchem/01_trial_200k.json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 xml:space="preserve"> 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>python pipelines/acquire_pubchem_bulk_candidates.py   --download-only   --max-mib-per-second 30   --timeout 300   --max-retries 6   | tee runs/20260429_pubchem/02_download_only.json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 xml:space="preserve"> 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>python pipelines/acquire_pubchem_bulk_candidates.py   --skip-download   --summary-only   | tee runs/20260429_pubchem/03_summary_only.json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 xml:space="preserve"> 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>python pipelines/acquire_pubchem_bulk_candidates.py   --skip-download   | tee runs/20260429_pubchem/04_full_candidate_pool.json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 xml:space="preserve"> 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>python pipelines/export_pubchem_tierd_batch.py   --limit 20000   --output data/raw/generated/pubchem_tierd_candidates.csv   | tee runs/20260429_pubchem/05_export_20k.json</w:t>
      </w:r>
    </w:p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Noto Sans CJK SC" w:hAnsi="Noto Sans CJK SC" w:eastAsia="Noto Sans CJK SC" w:cs="Noto Sans CJK SC"/>
          <w:color w:val="1F4E79"/>
          <w:sz w:val="26"/>
        </w:rPr>
        <w:t>A.4 xTB 并行试跑模式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>ulimit -s unlimited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>export OMP_STACKSIZE=4G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 xml:space="preserve"> 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># 模式一：24 个任务，每个任务 4 threads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>parallel -j 24 --joblog runs/20260429_xtb/xtb_joblog.tsv   'OMP_NUM_THREADS=4 xtb {1} --gfn 2 --opt --parallel 4 &gt; {1/.}.xtb.log 2&gt;&amp;1'   :::: runs/20260429_xtb/xyz_file_list.txt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 xml:space="preserve"> 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># 模式二：12 个任务，每个任务 8 threads</w:t>
      </w:r>
    </w:p>
    <w:p>
      <w:pPr>
        <w:spacing w:before="0" w:after="0" w:line="240" w:lineRule="auto"/>
        <w:ind w:left="259" w:right="72"/>
        <w:shd w:fill="F3F4F6"/>
      </w:pPr>
      <w:r>
        <w:rPr>
          <w:rFonts w:ascii="Noto Sans Mono CJK SC" w:hAnsi="Noto Sans Mono CJK SC" w:eastAsia="Noto Sans Mono CJK SC" w:cs="Noto Sans Mono CJK SC"/>
          <w:sz w:val="16"/>
        </w:rPr>
        <w:t>parallel -j 12 --joblog runs/20260429_xtb/xtb_joblog.tsv   'OMP_NUM_THREADS=8 xtb {1} --gfn 2 --opt --parallel 8 &gt; {1/.}.xtb.log 2&gt;&amp;1'   :::: runs/20260429_xtb/xyz_file_list.txt</w:t>
      </w:r>
    </w:p>
    <w:p>
      <w:pPr>
        <w:spacing w:after="40"/>
      </w:pPr>
    </w:p>
    <w:p>
      <w:pPr>
        <w:pStyle w:val="Heading1"/>
        <w:keepNext/>
        <w:spacing w:before="240" w:after="160"/>
      </w:pPr>
      <w:r>
        <w:rPr>
          <w:rFonts w:ascii="Noto Sans CJK SC" w:hAnsi="Noto Sans CJK SC" w:eastAsia="Noto Sans CJK SC" w:cs="Noto Sans CJK SC"/>
          <w:color w:val="1F4E79"/>
          <w:sz w:val="32"/>
        </w:rPr>
        <w:t>附录 B. 参考资料</w:t>
      </w:r>
    </w:p>
    <w:p>
      <w:pPr>
        <w:spacing w:after="60"/>
      </w:pPr>
      <w:r>
        <w:rPr>
          <w:rFonts w:ascii="Noto Sans CJK SC" w:hAnsi="Noto Sans CJK SC" w:eastAsia="Noto Sans CJK SC" w:cs="Noto Sans CJK SC"/>
          <w:sz w:val="19"/>
        </w:rPr>
        <w:t xml:space="preserve">[1] R-PhysGen-DB GitHub 仓库: </w:t>
      </w:r>
      <w:hyperlink r:id="rId11">
        <w:r>
          <w:rPr>
            <w:rFonts w:ascii="Noto Sans CJK SC" w:hAnsi="Noto Sans CJK SC" w:eastAsia="Noto Sans CJK SC" w:cs="Noto Sans CJK SC"/>
            <w:color w:val="0563C1"/>
            <w:u w:val="single"/>
            <w:sz w:val="19"/>
          </w:rPr>
          <w:t>https://github.com/simon2036/R-PhysGen-DB</w:t>
        </w:r>
      </w:hyperlink>
    </w:p>
    <w:p>
      <w:pPr>
        <w:spacing w:after="60"/>
      </w:pPr>
      <w:r>
        <w:rPr>
          <w:rFonts w:ascii="Noto Sans CJK SC" w:hAnsi="Noto Sans CJK SC" w:eastAsia="Noto Sans CJK SC" w:cs="Noto Sans CJK SC"/>
          <w:sz w:val="19"/>
        </w:rPr>
        <w:t xml:space="preserve">[2] R-PhysGen-DB requirements.txt: </w:t>
      </w:r>
      <w:hyperlink r:id="rId12">
        <w:r>
          <w:rPr>
            <w:rFonts w:ascii="Noto Sans CJK SC" w:hAnsi="Noto Sans CJK SC" w:eastAsia="Noto Sans CJK SC" w:cs="Noto Sans CJK SC"/>
            <w:color w:val="0563C1"/>
            <w:u w:val="single"/>
            <w:sz w:val="19"/>
          </w:rPr>
          <w:t>https://raw.githubusercontent.com/simon2036/R-PhysGen-DB/main/requirements.txt</w:t>
        </w:r>
      </w:hyperlink>
    </w:p>
    <w:p>
      <w:pPr>
        <w:spacing w:after="60"/>
      </w:pPr>
      <w:r>
        <w:rPr>
          <w:rFonts w:ascii="Noto Sans CJK SC" w:hAnsi="Noto Sans CJK SC" w:eastAsia="Noto Sans CJK SC" w:cs="Noto Sans CJK SC"/>
          <w:sz w:val="19"/>
        </w:rPr>
        <w:t xml:space="preserve">[3] R-PhysGen-DB p0_remaining_backlog.md: </w:t>
      </w:r>
      <w:hyperlink r:id="rId13">
        <w:r>
          <w:rPr>
            <w:rFonts w:ascii="Noto Sans CJK SC" w:hAnsi="Noto Sans CJK SC" w:eastAsia="Noto Sans CJK SC" w:cs="Noto Sans CJK SC"/>
            <w:color w:val="0563C1"/>
            <w:u w:val="single"/>
            <w:sz w:val="19"/>
          </w:rPr>
          <w:t>https://raw.githubusercontent.com/simon2036/R-PhysGen-DB/main/docs/p0_remaining_backlog.md</w:t>
        </w:r>
      </w:hyperlink>
    </w:p>
    <w:p>
      <w:pPr>
        <w:spacing w:after="60"/>
      </w:pPr>
      <w:r>
        <w:rPr>
          <w:rFonts w:ascii="Noto Sans CJK SC" w:hAnsi="Noto Sans CJK SC" w:eastAsia="Noto Sans CJK SC" w:cs="Noto Sans CJK SC"/>
          <w:sz w:val="19"/>
        </w:rPr>
        <w:t xml:space="preserve">[4] R-PhysGen-DB data_contract.md: </w:t>
      </w:r>
      <w:hyperlink r:id="rId14">
        <w:r>
          <w:rPr>
            <w:rFonts w:ascii="Noto Sans CJK SC" w:hAnsi="Noto Sans CJK SC" w:eastAsia="Noto Sans CJK SC" w:cs="Noto Sans CJK SC"/>
            <w:color w:val="0563C1"/>
            <w:u w:val="single"/>
            <w:sz w:val="19"/>
          </w:rPr>
          <w:t>https://raw.githubusercontent.com/simon2036/R-PhysGen-DB/main/docs/data_contract.md</w:t>
        </w:r>
      </w:hyperlink>
    </w:p>
    <w:p>
      <w:pPr>
        <w:spacing w:after="60"/>
      </w:pPr>
      <w:r>
        <w:rPr>
          <w:rFonts w:ascii="Noto Sans CJK SC" w:hAnsi="Noto Sans CJK SC" w:eastAsia="Noto Sans CJK SC" w:cs="Noto Sans CJK SC"/>
          <w:sz w:val="19"/>
        </w:rPr>
        <w:t xml:space="preserve">[5] R-PhysGen-DB wave2_implementation.md: </w:t>
      </w:r>
      <w:hyperlink r:id="rId15">
        <w:r>
          <w:rPr>
            <w:rFonts w:ascii="Noto Sans CJK SC" w:hAnsi="Noto Sans CJK SC" w:eastAsia="Noto Sans CJK SC" w:cs="Noto Sans CJK SC"/>
            <w:color w:val="0563C1"/>
            <w:u w:val="single"/>
            <w:sz w:val="19"/>
          </w:rPr>
          <w:t>https://raw.githubusercontent.com/simon2036/R-PhysGen-DB/main/docs/wave2_implementation.md</w:t>
        </w:r>
      </w:hyperlink>
    </w:p>
    <w:p>
      <w:pPr>
        <w:spacing w:after="60"/>
      </w:pPr>
      <w:r>
        <w:rPr>
          <w:rFonts w:ascii="Noto Sans CJK SC" w:hAnsi="Noto Sans CJK SC" w:eastAsia="Noto Sans CJK SC" w:cs="Noto Sans CJK SC"/>
          <w:sz w:val="19"/>
        </w:rPr>
        <w:t xml:space="preserve">[6] R-PhysGen-DB active_learning_queue.yaml: </w:t>
      </w:r>
      <w:hyperlink r:id="rId16">
        <w:r>
          <w:rPr>
            <w:rFonts w:ascii="Noto Sans CJK SC" w:hAnsi="Noto Sans CJK SC" w:eastAsia="Noto Sans CJK SC" w:cs="Noto Sans CJK SC"/>
            <w:color w:val="0563C1"/>
            <w:u w:val="single"/>
            <w:sz w:val="19"/>
          </w:rPr>
          <w:t>https://github.com/simon2036/R-PhysGen-DB/blob/main/schemas/active_learning_queue.yaml</w:t>
        </w:r>
      </w:hyperlink>
    </w:p>
    <w:p>
      <w:pPr>
        <w:spacing w:after="60"/>
      </w:pPr>
      <w:r>
        <w:rPr>
          <w:rFonts w:ascii="Noto Sans CJK SC" w:hAnsi="Noto Sans CJK SC" w:eastAsia="Noto Sans CJK SC" w:cs="Noto Sans CJK SC"/>
          <w:sz w:val="19"/>
        </w:rPr>
        <w:t xml:space="preserve">[7] PubChem Downloads: </w:t>
      </w:r>
      <w:hyperlink r:id="rId17">
        <w:r>
          <w:rPr>
            <w:rFonts w:ascii="Noto Sans CJK SC" w:hAnsi="Noto Sans CJK SC" w:eastAsia="Noto Sans CJK SC" w:cs="Noto Sans CJK SC"/>
            <w:color w:val="0563C1"/>
            <w:u w:val="single"/>
            <w:sz w:val="19"/>
          </w:rPr>
          <w:t>https://pubchem.ncbi.nlm.nih.gov/docs/downloads</w:t>
        </w:r>
      </w:hyperlink>
    </w:p>
    <w:p>
      <w:pPr>
        <w:spacing w:after="60"/>
      </w:pPr>
      <w:r>
        <w:rPr>
          <w:rFonts w:ascii="Noto Sans CJK SC" w:hAnsi="Noto Sans CJK SC" w:eastAsia="Noto Sans CJK SC" w:cs="Noto Sans CJK SC"/>
          <w:sz w:val="19"/>
        </w:rPr>
        <w:t xml:space="preserve">[8] PubChem PUG REST: </w:t>
      </w:r>
      <w:hyperlink r:id="rId18">
        <w:r>
          <w:rPr>
            <w:rFonts w:ascii="Noto Sans CJK SC" w:hAnsi="Noto Sans CJK SC" w:eastAsia="Noto Sans CJK SC" w:cs="Noto Sans CJK SC"/>
            <w:color w:val="0563C1"/>
            <w:u w:val="single"/>
            <w:sz w:val="19"/>
          </w:rPr>
          <w:t>https://pubchem.ncbi.nlm.nih.gov/docs/pug-rest</w:t>
        </w:r>
      </w:hyperlink>
    </w:p>
    <w:p>
      <w:pPr>
        <w:spacing w:after="60"/>
      </w:pPr>
      <w:r>
        <w:rPr>
          <w:rFonts w:ascii="Noto Sans CJK SC" w:hAnsi="Noto Sans CJK SC" w:eastAsia="Noto Sans CJK SC" w:cs="Noto Sans CJK SC"/>
          <w:sz w:val="19"/>
        </w:rPr>
        <w:t xml:space="preserve">[9] NIST Chemistry WebBook: </w:t>
      </w:r>
      <w:hyperlink r:id="rId19">
        <w:r>
          <w:rPr>
            <w:rFonts w:ascii="Noto Sans CJK SC" w:hAnsi="Noto Sans CJK SC" w:eastAsia="Noto Sans CJK SC" w:cs="Noto Sans CJK SC"/>
            <w:color w:val="0563C1"/>
            <w:u w:val="single"/>
            <w:sz w:val="19"/>
          </w:rPr>
          <w:t>https://webbook.nist.gov/chemistry/</w:t>
        </w:r>
      </w:hyperlink>
    </w:p>
    <w:p>
      <w:pPr>
        <w:spacing w:after="60"/>
      </w:pPr>
      <w:r>
        <w:rPr>
          <w:rFonts w:ascii="Noto Sans CJK SC" w:hAnsi="Noto Sans CJK SC" w:eastAsia="Noto Sans CJK SC" w:cs="Noto Sans CJK SC"/>
          <w:sz w:val="19"/>
        </w:rPr>
        <w:t xml:space="preserve">[10] CoolProp High-Level API: </w:t>
      </w:r>
      <w:hyperlink r:id="rId20">
        <w:r>
          <w:rPr>
            <w:rFonts w:ascii="Noto Sans CJK SC" w:hAnsi="Noto Sans CJK SC" w:eastAsia="Noto Sans CJK SC" w:cs="Noto Sans CJK SC"/>
            <w:color w:val="0563C1"/>
            <w:u w:val="single"/>
            <w:sz w:val="19"/>
          </w:rPr>
          <w:t>https://coolprop.org/coolprop/HighLevelAPI.html</w:t>
        </w:r>
      </w:hyperlink>
    </w:p>
    <w:p>
      <w:pPr>
        <w:spacing w:after="60"/>
      </w:pPr>
      <w:r>
        <w:rPr>
          <w:rFonts w:ascii="Noto Sans CJK SC" w:hAnsi="Noto Sans CJK SC" w:eastAsia="Noto Sans CJK SC" w:cs="Noto Sans CJK SC"/>
          <w:sz w:val="19"/>
        </w:rPr>
        <w:t xml:space="preserve">[11] CoolProp Cycle Calculations: </w:t>
      </w:r>
      <w:hyperlink r:id="rId21">
        <w:r>
          <w:rPr>
            <w:rFonts w:ascii="Noto Sans CJK SC" w:hAnsi="Noto Sans CJK SC" w:eastAsia="Noto Sans CJK SC" w:cs="Noto Sans CJK SC"/>
            <w:color w:val="0563C1"/>
            <w:u w:val="single"/>
            <w:sz w:val="19"/>
          </w:rPr>
          <w:t>https://coolprop.org/coolprop/python-cycles.html</w:t>
        </w:r>
      </w:hyperlink>
    </w:p>
    <w:p>
      <w:pPr>
        <w:spacing w:after="60"/>
      </w:pPr>
      <w:r>
        <w:rPr>
          <w:rFonts w:ascii="Noto Sans CJK SC" w:hAnsi="Noto Sans CJK SC" w:eastAsia="Noto Sans CJK SC" w:cs="Noto Sans CJK SC"/>
          <w:sz w:val="19"/>
        </w:rPr>
        <w:t xml:space="preserve">[12] RDKit Getting Started in Python: </w:t>
      </w:r>
      <w:hyperlink r:id="rId22">
        <w:r>
          <w:rPr>
            <w:rFonts w:ascii="Noto Sans CJK SC" w:hAnsi="Noto Sans CJK SC" w:eastAsia="Noto Sans CJK SC" w:cs="Noto Sans CJK SC"/>
            <w:color w:val="0563C1"/>
            <w:u w:val="single"/>
            <w:sz w:val="19"/>
          </w:rPr>
          <w:t>https://www.rdkit.org/docs/GettingStartedInPython.html</w:t>
        </w:r>
      </w:hyperlink>
    </w:p>
    <w:p>
      <w:pPr>
        <w:spacing w:after="60"/>
      </w:pPr>
      <w:r>
        <w:rPr>
          <w:rFonts w:ascii="Noto Sans CJK SC" w:hAnsi="Noto Sans CJK SC" w:eastAsia="Noto Sans CJK SC" w:cs="Noto Sans CJK SC"/>
          <w:sz w:val="19"/>
        </w:rPr>
        <w:t xml:space="preserve">[13] xTB documentation: </w:t>
      </w:r>
      <w:hyperlink r:id="rId23">
        <w:r>
          <w:rPr>
            <w:rFonts w:ascii="Noto Sans CJK SC" w:hAnsi="Noto Sans CJK SC" w:eastAsia="Noto Sans CJK SC" w:cs="Noto Sans CJK SC"/>
            <w:color w:val="0563C1"/>
            <w:u w:val="single"/>
            <w:sz w:val="19"/>
          </w:rPr>
          <w:t>https://xtb-docs.readthedocs.io/</w:t>
        </w:r>
      </w:hyperlink>
    </w:p>
    <w:p>
      <w:pPr>
        <w:spacing w:after="60"/>
      </w:pPr>
      <w:r>
        <w:rPr>
          <w:rFonts w:ascii="Noto Sans CJK SC" w:hAnsi="Noto Sans CJK SC" w:eastAsia="Noto Sans CJK SC" w:cs="Noto Sans CJK SC"/>
          <w:sz w:val="19"/>
        </w:rPr>
        <w:t xml:space="preserve">[14] Psi4 documentation: </w:t>
      </w:r>
      <w:hyperlink r:id="rId24">
        <w:r>
          <w:rPr>
            <w:rFonts w:ascii="Noto Sans CJK SC" w:hAnsi="Noto Sans CJK SC" w:eastAsia="Noto Sans CJK SC" w:cs="Noto Sans CJK SC"/>
            <w:color w:val="0563C1"/>
            <w:u w:val="single"/>
            <w:sz w:val="19"/>
          </w:rPr>
          <w:t>https://psicode.org/psi4manual/master/</w:t>
        </w:r>
      </w:hyperlink>
    </w:p>
    <w:p>
      <w:pPr>
        <w:spacing w:after="60"/>
      </w:pPr>
      <w:r>
        <w:rPr>
          <w:rFonts w:ascii="Noto Sans CJK SC" w:hAnsi="Noto Sans CJK SC" w:eastAsia="Noto Sans CJK SC" w:cs="Noto Sans CJK SC"/>
          <w:sz w:val="19"/>
        </w:rPr>
        <w:t xml:space="preserve">[15] PyTorch Geometric documentation: </w:t>
      </w:r>
      <w:hyperlink r:id="rId25">
        <w:r>
          <w:rPr>
            <w:rFonts w:ascii="Noto Sans CJK SC" w:hAnsi="Noto Sans CJK SC" w:eastAsia="Noto Sans CJK SC" w:cs="Noto Sans CJK SC"/>
            <w:color w:val="0563C1"/>
            <w:u w:val="single"/>
            <w:sz w:val="19"/>
          </w:rPr>
          <w:t>https://pytorch-geometric.readthedocs.io/</w:t>
        </w:r>
      </w:hyperlink>
    </w:p>
    <w:p>
      <w:pPr>
        <w:spacing w:before="200"/>
      </w:pPr>
      <w:r>
        <w:rPr>
          <w:rFonts w:ascii="Noto Sans CJK SC" w:hAnsi="Noto Sans CJK SC" w:eastAsia="Noto Sans CJK SC" w:cs="Noto Sans CJK SC"/>
          <w:i/>
          <w:color w:val="666666"/>
          <w:sz w:val="18"/>
        </w:rPr>
        <w:t>注：本文档中的仓库状态与任务描述基于 2026-04-29 对公开仓库文档的整理。实际执行时应以服务器当前检出的 commit、运行日志和 validation report 为准。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964" w:bottom="850" w:left="9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 w:cs="Noto Sans CJK SC"/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end"/>
    </w:r>
    <w:r>
      <w:rPr>
        <w:rFonts w:ascii="Noto Sans CJK SC" w:hAnsi="Noto Sans CJK SC" w:eastAsia="Noto Sans CJK SC" w:cs="Noto Sans CJK SC"/>
        <w:sz w:val="18"/>
      </w:rPr>
      <w:t xml:space="preserve"> 页 / 共 </w:t>
    </w:r>
    <w:r>
      <w:fldChar w:fldCharType="begin"/>
    </w:r>
    <w:r>
      <w:instrText xml:space="preserve">NUMPAGES</w:instrText>
    </w:r>
    <w:r>
      <w:fldChar w:fldCharType="end"/>
    </w:r>
    <w:r>
      <w:rPr>
        <w:rFonts w:ascii="Noto Sans CJK SC" w:hAnsi="Noto Sans CJK SC" w:eastAsia="Noto Sans CJK SC" w:cs="Noto Sans CJK SC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 w:cs="Noto Sans CJK SC"/>
        <w:color w:val="666666"/>
        <w:sz w:val="18"/>
      </w:rPr>
      <w:t>R-PhysGen-DB 数据增强与计算更新计划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7474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simon2036/R-PhysGen-DB" TargetMode="External"/><Relationship Id="rId12" Type="http://schemas.openxmlformats.org/officeDocument/2006/relationships/hyperlink" Target="https://raw.githubusercontent.com/simon2036/R-PhysGen-DB/main/requirements.txt" TargetMode="External"/><Relationship Id="rId13" Type="http://schemas.openxmlformats.org/officeDocument/2006/relationships/hyperlink" Target="https://raw.githubusercontent.com/simon2036/R-PhysGen-DB/main/docs/p0_remaining_backlog.md" TargetMode="External"/><Relationship Id="rId14" Type="http://schemas.openxmlformats.org/officeDocument/2006/relationships/hyperlink" Target="https://raw.githubusercontent.com/simon2036/R-PhysGen-DB/main/docs/data_contract.md" TargetMode="External"/><Relationship Id="rId15" Type="http://schemas.openxmlformats.org/officeDocument/2006/relationships/hyperlink" Target="https://raw.githubusercontent.com/simon2036/R-PhysGen-DB/main/docs/wave2_implementation.md" TargetMode="External"/><Relationship Id="rId16" Type="http://schemas.openxmlformats.org/officeDocument/2006/relationships/hyperlink" Target="https://github.com/simon2036/R-PhysGen-DB/blob/main/schemas/active_learning_queue.yaml" TargetMode="External"/><Relationship Id="rId17" Type="http://schemas.openxmlformats.org/officeDocument/2006/relationships/hyperlink" Target="https://pubchem.ncbi.nlm.nih.gov/docs/downloads" TargetMode="External"/><Relationship Id="rId18" Type="http://schemas.openxmlformats.org/officeDocument/2006/relationships/hyperlink" Target="https://pubchem.ncbi.nlm.nih.gov/docs/pug-rest" TargetMode="External"/><Relationship Id="rId19" Type="http://schemas.openxmlformats.org/officeDocument/2006/relationships/hyperlink" Target="https://webbook.nist.gov/chemistry/" TargetMode="External"/><Relationship Id="rId20" Type="http://schemas.openxmlformats.org/officeDocument/2006/relationships/hyperlink" Target="https://coolprop.org/coolprop/HighLevelAPI.html" TargetMode="External"/><Relationship Id="rId21" Type="http://schemas.openxmlformats.org/officeDocument/2006/relationships/hyperlink" Target="https://coolprop.org/coolprop/python-cycles.html" TargetMode="External"/><Relationship Id="rId22" Type="http://schemas.openxmlformats.org/officeDocument/2006/relationships/hyperlink" Target="https://www.rdkit.org/docs/GettingStartedInPython.html" TargetMode="External"/><Relationship Id="rId23" Type="http://schemas.openxmlformats.org/officeDocument/2006/relationships/hyperlink" Target="https://xtb-docs.readthedocs.io/" TargetMode="External"/><Relationship Id="rId24" Type="http://schemas.openxmlformats.org/officeDocument/2006/relationships/hyperlink" Target="https://psicode.org/psi4manual/master/" TargetMode="External"/><Relationship Id="rId25" Type="http://schemas.openxmlformats.org/officeDocument/2006/relationships/hyperlink" Target="https://pytorch-geometric.readthedocs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R-PhysGen-DB 数据增强与计算更新计划</dc:title>
  <dc:subject>第五代制冷剂数据库数据增强、计算标签与主动学习计划</dc:subject>
  <dc:creator>OpenAI</dc:creator>
  <cp:keywords>R-PhysGen-DB, refrigerant, data enhancement, CoolProp, RDKit, xTB, active learning</cp:keywords>
  <dc:description>generated by python-docx</dc:description>
  <cp:lastModifiedBy/>
  <cp:revision>1</cp:revision>
  <dcterms:created xsi:type="dcterms:W3CDTF">2026-04-29T00:00:00Z</dcterms:created>
  <dcterms:modified xsi:type="dcterms:W3CDTF">2026-04-29T00:00:00Z</dcterms:modified>
  <cp:category/>
</cp:coreProperties>
</file>