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</w:t>
            </w:r>
            <w:r>
              <w:rPr>
                <w:sz w:val="28"/>
                <w:szCs w:val="28"/>
              </w:rPr>
              <w:t>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</w:t>
            </w:r>
            <w:r>
              <w:rPr>
                <w:sz w:val="28"/>
                <w:szCs w:val="28"/>
              </w:rPr>
              <w:t>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1. Think about why you got the errors with some lines. How can you change the line to get no error? Test your guess in the Python shell!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266</Words>
  <Characters>1078</Characters>
  <CharactersWithSpaces>1317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2019-07-22T05:07:21Z</dcterms:modified>
  <cp:revision>1</cp:revision>
  <dc:subject/>
  <dc:title/>
</cp:coreProperties>
</file>