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
    </w:p>
    <w:p>
      <w:pPr>
        <w:pStyle w:val="Title"/>
        <w:rPr/>
      </w:pPr>
      <w:r>
        <w:rPr/>
      </w:r>
    </w:p>
    <w:p>
      <w:pPr>
        <w:pStyle w:val="Title"/>
        <w:jc w:val="both"/>
        <w:rPr/>
      </w:pPr>
      <w:r>
        <w:rPr/>
      </w:r>
    </w:p>
    <w:p>
      <w:pPr>
        <w:pStyle w:val="Title"/>
        <w:rPr/>
      </w:pPr>
      <w:r>
        <w:rPr/>
      </w:r>
    </w:p>
    <w:p>
      <w:pPr>
        <w:pStyle w:val="Title"/>
        <w:snapToGrid w:val="false"/>
        <w:rPr>
          <w:caps/>
          <w:sz w:val="28"/>
        </w:rPr>
      </w:pPr>
      <w:r>
        <w:rPr/>
      </w:r>
    </w:p>
    <w:p>
      <w:pPr>
        <w:pStyle w:val="Title"/>
        <w:rPr/>
      </w:pPr>
      <w:r>
        <w:rPr/>
        <w:fldChar w:fldCharType="begin"/>
      </w:r>
      <w:r>
        <w:rPr/>
        <w:instrText xml:space="preserve"> SUBJECT </w:instrText>
      </w:r>
      <w:r>
        <w:rPr/>
        <w:fldChar w:fldCharType="separate"/>
      </w:r>
      <w:r>
        <w:rPr/>
        <w:t>SIAC - Sistema Informatico Amministrativo Contabile</w:t>
      </w:r>
      <w:r>
        <w:rPr/>
        <w:fldChar w:fldCharType="end"/>
      </w:r>
    </w:p>
    <w:p>
      <w:pPr>
        <w:pStyle w:val="Normal"/>
        <w:rPr/>
      </w:pPr>
      <w:r>
        <w:rPr/>
      </w:r>
    </w:p>
    <w:p>
      <w:pPr>
        <w:pStyle w:val="Title"/>
        <w:rPr>
          <w:b w:val="false"/>
          <w:i/>
          <w:sz w:val="32"/>
          <w:szCs w:val="18"/>
        </w:rPr>
      </w:pPr>
      <w:r>
        <w:rPr>
          <w:b w:val="false"/>
          <w:i/>
          <w:sz w:val="32"/>
          <w:szCs w:val="18"/>
        </w:rPr>
        <w:t>Vista d'insieme</w:t>
      </w:r>
    </w:p>
    <w:p>
      <w:pPr>
        <w:pStyle w:val="Normal"/>
        <w:rPr/>
      </w:pPr>
      <w:r>
        <w:rPr/>
      </w:r>
    </w:p>
    <w:p>
      <w:pPr>
        <w:pStyle w:val="Normal"/>
        <w:tabs>
          <w:tab w:val="clear" w:pos="284"/>
          <w:tab w:val="left" w:pos="602" w:leader="none"/>
        </w:tabs>
        <w:snapToGrid w:val="false"/>
        <w:rPr>
          <w:rFonts w:ascii="Arial" w:hAnsi="Arial" w:cs="Arial"/>
          <w:i/>
          <w:sz w:val="40"/>
          <w:szCs w:val="40"/>
        </w:rPr>
      </w:pPr>
      <w:r>
        <w:rPr>
          <w:rFonts w:cs="Arial" w:ascii="Arial" w:hAnsi="Arial"/>
          <w:i/>
          <w:sz w:val="40"/>
          <w:szCs w:val="40"/>
        </w:rPr>
        <w:t xml:space="preserve"> </w:t>
      </w:r>
      <w:r>
        <w:rPr>
          <w:rFonts w:cs="Arial" w:ascii="Arial" w:hAnsi="Arial"/>
          <w:i/>
          <w:sz w:val="40"/>
          <w:szCs w:val="40"/>
        </w:rPr>
        <w:t xml:space="preserve">Richiesta Flussi Rendicontazione Pagopa </w:t>
      </w:r>
    </w:p>
    <w:p>
      <w:pPr>
        <w:pStyle w:val="Title"/>
        <w:rPr>
          <w:sz w:val="28"/>
        </w:rPr>
      </w:pPr>
      <w:r>
        <w:rPr>
          <w:sz w:val="28"/>
        </w:rPr>
        <w:t>Versione 1</w:t>
      </w:r>
    </w:p>
    <w:p>
      <w:pPr>
        <w:pStyle w:val="InfoBlue"/>
        <w:ind w:start="0"/>
        <w:rPr>
          <w:color w:val="auto"/>
        </w:rPr>
      </w:pPr>
      <w:r>
        <w:rPr>
          <w:color w:val="auto"/>
        </w:rPr>
        <w:t>.</w:t>
      </w:r>
    </w:p>
    <w:p>
      <w:pPr>
        <w:pStyle w:val="Normal"/>
        <w:rPr/>
      </w:pPr>
      <w:r>
        <w:rPr/>
      </w:r>
    </w:p>
    <w:p>
      <w:pPr>
        <w:pStyle w:val="Normal"/>
        <w:jc w:val="center"/>
        <w:rPr>
          <w:b/>
          <w:caps/>
        </w:rPr>
      </w:pPr>
      <w:r>
        <w:rPr>
          <w:b/>
          <w:caps/>
        </w:rPr>
        <w:t>VERIFICHE E APPROVAZIONI</w:t>
      </w:r>
    </w:p>
    <w:tbl>
      <w:tblPr>
        <w:tblW w:w="9931" w:type="dxa"/>
        <w:jc w:val="start"/>
        <w:tblInd w:w="-468" w:type="dxa"/>
        <w:tblLayout w:type="fixed"/>
        <w:tblCellMar>
          <w:top w:w="0" w:type="dxa"/>
          <w:start w:w="71" w:type="dxa"/>
          <w:bottom w:w="0" w:type="dxa"/>
          <w:end w:w="71" w:type="dxa"/>
        </w:tblCellMar>
        <w:tblLook w:firstRow="0" w:noVBand="0" w:lastRow="0" w:firstColumn="0" w:lastColumn="0" w:noHBand="0" w:val="0000"/>
      </w:tblPr>
      <w:tblGrid>
        <w:gridCol w:w="1307"/>
        <w:gridCol w:w="1702"/>
        <w:gridCol w:w="1134"/>
        <w:gridCol w:w="1957"/>
        <w:gridCol w:w="1160"/>
        <w:gridCol w:w="1519"/>
        <w:gridCol w:w="1152"/>
      </w:tblGrid>
      <w:tr>
        <w:trPr/>
        <w:tc>
          <w:tcPr>
            <w:tcW w:w="1307" w:type="dxa"/>
            <w:tcBorders>
              <w:top w:val="single" w:sz="8" w:space="0" w:color="000000"/>
              <w:start w:val="single" w:sz="8" w:space="0" w:color="000000"/>
            </w:tcBorders>
          </w:tcPr>
          <w:p>
            <w:pPr>
              <w:pStyle w:val="Normal"/>
              <w:snapToGrid w:val="false"/>
              <w:jc w:val="center"/>
              <w:rPr>
                <w:b/>
                <w:caps/>
              </w:rPr>
            </w:pPr>
            <w:r>
              <w:rPr>
                <w:b/>
                <w:caps/>
              </w:rPr>
            </w:r>
          </w:p>
          <w:p>
            <w:pPr>
              <w:pStyle w:val="Normal"/>
              <w:jc w:val="center"/>
              <w:rPr>
                <w:b/>
                <w:caps/>
              </w:rPr>
            </w:pPr>
            <w:r>
              <w:rPr>
                <w:b/>
                <w:caps/>
              </w:rPr>
              <w:t>versione</w:t>
            </w:r>
          </w:p>
        </w:tc>
        <w:tc>
          <w:tcPr>
            <w:tcW w:w="2836" w:type="dxa"/>
            <w:gridSpan w:val="2"/>
            <w:tcBorders>
              <w:top w:val="single" w:sz="8" w:space="0" w:color="000000"/>
              <w:start w:val="single" w:sz="8" w:space="0" w:color="000000"/>
              <w:bottom w:val="single" w:sz="8" w:space="0" w:color="000000"/>
            </w:tcBorders>
          </w:tcPr>
          <w:p>
            <w:pPr>
              <w:pStyle w:val="Normal"/>
              <w:snapToGrid w:val="false"/>
              <w:jc w:val="center"/>
              <w:rPr>
                <w:b/>
                <w:caps/>
              </w:rPr>
            </w:pPr>
            <w:r>
              <w:rPr>
                <w:b/>
                <w:caps/>
              </w:rPr>
            </w:r>
          </w:p>
          <w:p>
            <w:pPr>
              <w:pStyle w:val="Normal"/>
              <w:jc w:val="center"/>
              <w:rPr>
                <w:b/>
                <w:caps/>
              </w:rPr>
            </w:pPr>
            <w:r>
              <w:rPr>
                <w:b/>
                <w:caps/>
              </w:rPr>
              <w:t>REDAZIONE</w:t>
            </w:r>
          </w:p>
        </w:tc>
        <w:tc>
          <w:tcPr>
            <w:tcW w:w="3117" w:type="dxa"/>
            <w:gridSpan w:val="2"/>
            <w:tcBorders>
              <w:top w:val="single" w:sz="8" w:space="0" w:color="000000"/>
              <w:start w:val="single" w:sz="8" w:space="0" w:color="000000"/>
              <w:bottom w:val="single" w:sz="8" w:space="0" w:color="000000"/>
            </w:tcBorders>
          </w:tcPr>
          <w:p>
            <w:pPr>
              <w:pStyle w:val="Normal"/>
              <w:snapToGrid w:val="false"/>
              <w:jc w:val="center"/>
              <w:rPr>
                <w:b/>
                <w:caps/>
              </w:rPr>
            </w:pPr>
            <w:r>
              <w:rPr>
                <w:b/>
                <w:caps/>
              </w:rPr>
              <w:t>CONTROLLO</w:t>
            </w:r>
          </w:p>
          <w:p>
            <w:pPr>
              <w:pStyle w:val="Normal"/>
              <w:jc w:val="center"/>
              <w:rPr>
                <w:b/>
                <w:caps/>
              </w:rPr>
            </w:pPr>
            <w:r>
              <w:rPr>
                <w:b/>
                <w:caps/>
              </w:rPr>
              <w:t>APPROVAZIONE</w:t>
            </w:r>
          </w:p>
        </w:tc>
        <w:tc>
          <w:tcPr>
            <w:tcW w:w="2671" w:type="dxa"/>
            <w:gridSpan w:val="2"/>
            <w:tcBorders>
              <w:top w:val="single" w:sz="8" w:space="0" w:color="000000"/>
              <w:start w:val="single" w:sz="8" w:space="0" w:color="000000"/>
              <w:bottom w:val="single" w:sz="8" w:space="0" w:color="000000"/>
              <w:end w:val="single" w:sz="8" w:space="0" w:color="000000"/>
            </w:tcBorders>
          </w:tcPr>
          <w:p>
            <w:pPr>
              <w:pStyle w:val="Normal"/>
              <w:snapToGrid w:val="false"/>
              <w:jc w:val="center"/>
              <w:rPr>
                <w:b/>
                <w:caps/>
              </w:rPr>
            </w:pPr>
            <w:r>
              <w:rPr>
                <w:b/>
                <w:caps/>
              </w:rPr>
              <w:t>AUTORIZZAZIONE EMISSIONE</w:t>
            </w:r>
          </w:p>
        </w:tc>
      </w:tr>
      <w:tr>
        <w:trPr/>
        <w:tc>
          <w:tcPr>
            <w:tcW w:w="1307" w:type="dxa"/>
            <w:tcBorders>
              <w:start w:val="single" w:sz="8" w:space="0" w:color="000000"/>
              <w:bottom w:val="single" w:sz="8" w:space="0" w:color="000000"/>
            </w:tcBorders>
          </w:tcPr>
          <w:p>
            <w:pPr>
              <w:pStyle w:val="Normal"/>
              <w:snapToGrid w:val="false"/>
              <w:jc w:val="center"/>
              <w:rPr>
                <w:b/>
                <w:caps/>
              </w:rPr>
            </w:pPr>
            <w:r>
              <w:rPr>
                <w:b/>
                <w:caps/>
              </w:rPr>
            </w:r>
          </w:p>
        </w:tc>
        <w:tc>
          <w:tcPr>
            <w:tcW w:w="1702" w:type="dxa"/>
            <w:tcBorders>
              <w:top w:val="single" w:sz="8" w:space="0" w:color="000000"/>
              <w:start w:val="single" w:sz="8" w:space="0" w:color="000000"/>
            </w:tcBorders>
          </w:tcPr>
          <w:p>
            <w:pPr>
              <w:pStyle w:val="Normal"/>
              <w:snapToGrid w:val="false"/>
              <w:jc w:val="center"/>
              <w:rPr>
                <w:b/>
                <w:caps/>
              </w:rPr>
            </w:pPr>
            <w:r>
              <w:rPr>
                <w:b/>
                <w:caps/>
              </w:rPr>
              <w:t>NOME</w:t>
            </w:r>
          </w:p>
        </w:tc>
        <w:tc>
          <w:tcPr>
            <w:tcW w:w="1134" w:type="dxa"/>
            <w:tcBorders>
              <w:top w:val="single" w:sz="8" w:space="0" w:color="000000"/>
              <w:start w:val="single" w:sz="8" w:space="0" w:color="000000"/>
            </w:tcBorders>
          </w:tcPr>
          <w:p>
            <w:pPr>
              <w:pStyle w:val="Normal"/>
              <w:snapToGrid w:val="false"/>
              <w:jc w:val="center"/>
              <w:rPr>
                <w:b/>
                <w:caps/>
              </w:rPr>
            </w:pPr>
            <w:r>
              <w:rPr>
                <w:b/>
                <w:caps/>
              </w:rPr>
              <w:t>DATA</w:t>
            </w:r>
          </w:p>
        </w:tc>
        <w:tc>
          <w:tcPr>
            <w:tcW w:w="1957" w:type="dxa"/>
            <w:tcBorders>
              <w:top w:val="single" w:sz="8" w:space="0" w:color="000000"/>
              <w:start w:val="single" w:sz="8" w:space="0" w:color="000000"/>
              <w:bottom w:val="single" w:sz="8" w:space="0" w:color="000000"/>
            </w:tcBorders>
          </w:tcPr>
          <w:p>
            <w:pPr>
              <w:pStyle w:val="Normal"/>
              <w:snapToGrid w:val="false"/>
              <w:jc w:val="center"/>
              <w:rPr>
                <w:b/>
                <w:caps/>
              </w:rPr>
            </w:pPr>
            <w:r>
              <w:rPr>
                <w:b/>
                <w:caps/>
              </w:rPr>
              <w:t>NOME</w:t>
            </w:r>
          </w:p>
        </w:tc>
        <w:tc>
          <w:tcPr>
            <w:tcW w:w="1160" w:type="dxa"/>
            <w:tcBorders>
              <w:top w:val="single" w:sz="8" w:space="0" w:color="000000"/>
              <w:start w:val="single" w:sz="8" w:space="0" w:color="000000"/>
              <w:bottom w:val="single" w:sz="8" w:space="0" w:color="000000"/>
            </w:tcBorders>
          </w:tcPr>
          <w:p>
            <w:pPr>
              <w:pStyle w:val="Normal"/>
              <w:snapToGrid w:val="false"/>
              <w:jc w:val="center"/>
              <w:rPr>
                <w:b/>
                <w:caps/>
              </w:rPr>
            </w:pPr>
            <w:r>
              <w:rPr>
                <w:b/>
                <w:caps/>
              </w:rPr>
              <w:t>DATA</w:t>
            </w:r>
          </w:p>
        </w:tc>
        <w:tc>
          <w:tcPr>
            <w:tcW w:w="1519" w:type="dxa"/>
            <w:tcBorders>
              <w:top w:val="single" w:sz="8" w:space="0" w:color="000000"/>
              <w:start w:val="single" w:sz="8" w:space="0" w:color="000000"/>
              <w:bottom w:val="single" w:sz="8" w:space="0" w:color="000000"/>
            </w:tcBorders>
          </w:tcPr>
          <w:p>
            <w:pPr>
              <w:pStyle w:val="Normal"/>
              <w:snapToGrid w:val="false"/>
              <w:jc w:val="center"/>
              <w:rPr>
                <w:b/>
                <w:caps/>
              </w:rPr>
            </w:pPr>
            <w:r>
              <w:rPr>
                <w:b/>
                <w:caps/>
              </w:rPr>
              <w:t>NOME</w:t>
            </w:r>
          </w:p>
        </w:tc>
        <w:tc>
          <w:tcPr>
            <w:tcW w:w="1152" w:type="dxa"/>
            <w:tcBorders>
              <w:top w:val="single" w:sz="8" w:space="0" w:color="000000"/>
              <w:start w:val="single" w:sz="8" w:space="0" w:color="000000"/>
              <w:bottom w:val="single" w:sz="8" w:space="0" w:color="000000"/>
              <w:end w:val="single" w:sz="8" w:space="0" w:color="000000"/>
            </w:tcBorders>
          </w:tcPr>
          <w:p>
            <w:pPr>
              <w:pStyle w:val="Normal"/>
              <w:snapToGrid w:val="false"/>
              <w:jc w:val="center"/>
              <w:rPr>
                <w:b/>
                <w:caps/>
              </w:rPr>
            </w:pPr>
            <w:r>
              <w:rPr>
                <w:b/>
                <w:caps/>
              </w:rPr>
              <w:t>DATA</w:t>
            </w:r>
          </w:p>
        </w:tc>
      </w:tr>
      <w:tr>
        <w:trPr/>
        <w:tc>
          <w:tcPr>
            <w:tcW w:w="1307" w:type="dxa"/>
            <w:tcBorders>
              <w:top w:val="single" w:sz="4" w:space="0" w:color="000000"/>
              <w:start w:val="single" w:sz="4" w:space="0" w:color="000000"/>
              <w:bottom w:val="single" w:sz="4" w:space="0" w:color="000000"/>
            </w:tcBorders>
          </w:tcPr>
          <w:p>
            <w:pPr>
              <w:pStyle w:val="Normal"/>
              <w:snapToGrid w:val="false"/>
              <w:jc w:val="center"/>
              <w:rPr>
                <w:caps/>
              </w:rPr>
            </w:pPr>
            <w:r>
              <w:rPr>
                <w:caps/>
              </w:rPr>
              <w:t>V1</w:t>
            </w:r>
          </w:p>
        </w:tc>
        <w:tc>
          <w:tcPr>
            <w:tcW w:w="1702" w:type="dxa"/>
            <w:tcBorders>
              <w:top w:val="single" w:sz="4" w:space="0" w:color="000000"/>
              <w:start w:val="single" w:sz="4" w:space="0" w:color="000000"/>
              <w:bottom w:val="single" w:sz="4" w:space="0" w:color="000000"/>
            </w:tcBorders>
          </w:tcPr>
          <w:p>
            <w:pPr>
              <w:pStyle w:val="Normal"/>
              <w:snapToGrid w:val="false"/>
              <w:jc w:val="center"/>
              <w:rPr>
                <w:caps/>
              </w:rPr>
            </w:pPr>
            <w:r>
              <w:rPr>
                <w:caps/>
              </w:rPr>
              <w:t>M.Ferrero</w:t>
            </w:r>
          </w:p>
        </w:tc>
        <w:tc>
          <w:tcPr>
            <w:tcW w:w="1134" w:type="dxa"/>
            <w:tcBorders>
              <w:top w:val="single" w:sz="4" w:space="0" w:color="000000"/>
              <w:start w:val="single" w:sz="4" w:space="0" w:color="000000"/>
              <w:bottom w:val="single" w:sz="4" w:space="0" w:color="000000"/>
            </w:tcBorders>
          </w:tcPr>
          <w:p>
            <w:pPr>
              <w:pStyle w:val="Normal"/>
              <w:snapToGrid w:val="false"/>
              <w:jc w:val="center"/>
              <w:rPr>
                <w:caps/>
              </w:rPr>
            </w:pPr>
            <w:r>
              <w:rPr>
                <w:caps/>
              </w:rPr>
              <w:t>27/01/2025</w:t>
            </w:r>
          </w:p>
        </w:tc>
        <w:tc>
          <w:tcPr>
            <w:tcW w:w="1957" w:type="dxa"/>
            <w:tcBorders>
              <w:top w:val="single" w:sz="4" w:space="0" w:color="000000"/>
              <w:start w:val="single" w:sz="4" w:space="0" w:color="000000"/>
              <w:bottom w:val="single" w:sz="4" w:space="0" w:color="000000"/>
            </w:tcBorders>
          </w:tcPr>
          <w:p>
            <w:pPr>
              <w:pStyle w:val="Normal"/>
              <w:snapToGrid w:val="false"/>
              <w:rPr>
                <w:caps/>
              </w:rPr>
            </w:pPr>
            <w:r>
              <w:rPr>
                <w:caps/>
              </w:rPr>
              <w:t>G.VARESIO</w:t>
            </w:r>
          </w:p>
        </w:tc>
        <w:tc>
          <w:tcPr>
            <w:tcW w:w="1160" w:type="dxa"/>
            <w:tcBorders>
              <w:top w:val="single" w:sz="4" w:space="0" w:color="000000"/>
              <w:start w:val="single" w:sz="4" w:space="0" w:color="000000"/>
              <w:bottom w:val="single" w:sz="4" w:space="0" w:color="000000"/>
            </w:tcBorders>
          </w:tcPr>
          <w:p>
            <w:pPr>
              <w:pStyle w:val="Normal"/>
              <w:snapToGrid w:val="false"/>
              <w:jc w:val="center"/>
              <w:rPr>
                <w:caps/>
              </w:rPr>
            </w:pPr>
            <w:r>
              <w:rPr>
                <w:caps/>
              </w:rPr>
              <w:t>28/01/2025</w:t>
            </w:r>
          </w:p>
        </w:tc>
        <w:tc>
          <w:tcPr>
            <w:tcW w:w="1519" w:type="dxa"/>
            <w:tcBorders>
              <w:top w:val="single" w:sz="4" w:space="0" w:color="000000"/>
              <w:start w:val="single" w:sz="4" w:space="0" w:color="000000"/>
              <w:bottom w:val="single" w:sz="4" w:space="0" w:color="000000"/>
            </w:tcBorders>
          </w:tcPr>
          <w:p>
            <w:pPr>
              <w:pStyle w:val="Normal"/>
              <w:snapToGrid w:val="false"/>
              <w:rPr>
                <w:caps/>
              </w:rPr>
            </w:pPr>
            <w:r>
              <w:rPr>
                <w:caps/>
              </w:rPr>
              <w:t>G.VARESIO</w:t>
            </w:r>
          </w:p>
        </w:tc>
        <w:tc>
          <w:tcPr>
            <w:tcW w:w="115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caps/>
              </w:rPr>
            </w:pPr>
            <w:r>
              <w:rPr>
                <w:caps/>
              </w:rPr>
              <w:t>28/01/2025</w:t>
            </w:r>
          </w:p>
        </w:tc>
      </w:tr>
    </w:tbl>
    <w:p>
      <w:pPr>
        <w:pStyle w:val="Normal"/>
        <w:jc w:val="center"/>
        <w:rPr>
          <w:b/>
          <w:caps/>
        </w:rPr>
      </w:pPr>
      <w:r>
        <w:rPr>
          <w:b/>
          <w:caps/>
        </w:rPr>
      </w:r>
    </w:p>
    <w:p>
      <w:pPr>
        <w:pStyle w:val="Normal"/>
        <w:jc w:val="center"/>
        <w:rPr>
          <w:b/>
          <w:caps/>
        </w:rPr>
      </w:pPr>
      <w:r>
        <w:rPr>
          <w:b/>
          <w:caps/>
        </w:rPr>
        <w:t>STATO DELLE variazioni</w:t>
      </w:r>
    </w:p>
    <w:tbl>
      <w:tblPr>
        <w:tblW w:w="9980" w:type="dxa"/>
        <w:jc w:val="start"/>
        <w:tblInd w:w="-482" w:type="dxa"/>
        <w:tblLayout w:type="fixed"/>
        <w:tblCellMar>
          <w:top w:w="0" w:type="dxa"/>
          <w:start w:w="71" w:type="dxa"/>
          <w:bottom w:w="0" w:type="dxa"/>
          <w:end w:w="71" w:type="dxa"/>
        </w:tblCellMar>
        <w:tblLook w:firstRow="0" w:noVBand="0" w:lastRow="0" w:firstColumn="0" w:lastColumn="0" w:noHBand="0" w:val="0000"/>
      </w:tblPr>
      <w:tblGrid>
        <w:gridCol w:w="1489"/>
        <w:gridCol w:w="2835"/>
        <w:gridCol w:w="5656"/>
      </w:tblGrid>
      <w:tr>
        <w:trPr/>
        <w:tc>
          <w:tcPr>
            <w:tcW w:w="1489" w:type="dxa"/>
            <w:tcBorders>
              <w:top w:val="single" w:sz="4" w:space="0" w:color="000000"/>
              <w:start w:val="single" w:sz="4" w:space="0" w:color="000000"/>
              <w:bottom w:val="single" w:sz="4" w:space="0" w:color="000000"/>
            </w:tcBorders>
          </w:tcPr>
          <w:p>
            <w:pPr>
              <w:pStyle w:val="Normal"/>
              <w:snapToGrid w:val="false"/>
              <w:jc w:val="center"/>
              <w:rPr>
                <w:b/>
                <w:caps/>
              </w:rPr>
            </w:pPr>
            <w:r>
              <w:rPr>
                <w:b/>
                <w:caps/>
              </w:rPr>
              <w:t>versione</w:t>
            </w:r>
          </w:p>
        </w:tc>
        <w:tc>
          <w:tcPr>
            <w:tcW w:w="2835" w:type="dxa"/>
            <w:tcBorders>
              <w:top w:val="single" w:sz="4" w:space="0" w:color="000000"/>
              <w:start w:val="single" w:sz="4" w:space="0" w:color="000000"/>
              <w:bottom w:val="single" w:sz="4" w:space="0" w:color="000000"/>
            </w:tcBorders>
          </w:tcPr>
          <w:p>
            <w:pPr>
              <w:pStyle w:val="Normal"/>
              <w:snapToGrid w:val="false"/>
              <w:jc w:val="center"/>
              <w:rPr>
                <w:b/>
                <w:caps/>
              </w:rPr>
            </w:pPr>
            <w:r>
              <w:rPr>
                <w:b/>
                <w:caps/>
              </w:rPr>
              <w:t>PARAGRAFO O</w:t>
            </w:r>
          </w:p>
          <w:p>
            <w:pPr>
              <w:pStyle w:val="Normal"/>
              <w:jc w:val="center"/>
              <w:rPr>
                <w:b/>
                <w:caps/>
              </w:rPr>
            </w:pPr>
            <w:r>
              <w:rPr>
                <w:b/>
                <w:caps/>
              </w:rPr>
              <w:t>PAGINA</w:t>
            </w:r>
          </w:p>
        </w:tc>
        <w:tc>
          <w:tcPr>
            <w:tcW w:w="5656"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caps/>
              </w:rPr>
            </w:pPr>
            <w:r>
              <w:rPr>
                <w:b/>
                <w:caps/>
              </w:rPr>
              <w:t>DESCRIZIONE DELLA VARIAZIONE</w:t>
            </w:r>
          </w:p>
        </w:tc>
      </w:tr>
      <w:tr>
        <w:trPr/>
        <w:tc>
          <w:tcPr>
            <w:tcW w:w="1489" w:type="dxa"/>
            <w:tcBorders>
              <w:top w:val="single" w:sz="4" w:space="0" w:color="000000"/>
              <w:start w:val="single" w:sz="4" w:space="0" w:color="000000"/>
              <w:bottom w:val="single" w:sz="4" w:space="0" w:color="000000"/>
            </w:tcBorders>
          </w:tcPr>
          <w:p>
            <w:pPr>
              <w:pStyle w:val="Normal"/>
              <w:snapToGrid w:val="false"/>
              <w:jc w:val="center"/>
              <w:rPr/>
            </w:pPr>
            <w:r>
              <w:rPr/>
              <w:t>V1</w:t>
            </w:r>
          </w:p>
        </w:tc>
        <w:tc>
          <w:tcPr>
            <w:tcW w:w="2835" w:type="dxa"/>
            <w:tcBorders>
              <w:top w:val="single" w:sz="4" w:space="0" w:color="000000"/>
              <w:start w:val="single" w:sz="4" w:space="0" w:color="000000"/>
              <w:bottom w:val="single" w:sz="4" w:space="0" w:color="000000"/>
            </w:tcBorders>
          </w:tcPr>
          <w:p>
            <w:pPr>
              <w:pStyle w:val="Normal"/>
              <w:snapToGrid w:val="false"/>
              <w:rPr/>
            </w:pPr>
            <w:r>
              <w:rPr/>
              <w:t>Tutto il documento</w:t>
            </w:r>
          </w:p>
        </w:tc>
        <w:tc>
          <w:tcPr>
            <w:tcW w:w="565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Pr/>
      </w:r>
    </w:p>
    <w:p>
      <w:pPr>
        <w:pStyle w:val="Normal"/>
        <w:rPr/>
      </w:pPr>
      <w:r>
        <w:rPr/>
      </w:r>
      <w:r>
        <w:br w:type="page"/>
      </w:r>
    </w:p>
    <w:p>
      <w:pPr>
        <w:pStyle w:val="Normal"/>
        <w:spacing w:before="0" w:after="0"/>
        <w:jc w:val="center"/>
        <w:rPr>
          <w:b/>
        </w:rPr>
      </w:pPr>
      <w:r>
        <w:rPr>
          <w:b/>
        </w:rPr>
        <w:t>INDICE</w:t>
      </w:r>
    </w:p>
    <w:p>
      <w:pPr>
        <w:pStyle w:val="TOCHeading"/>
        <w:ind w:hanging="0" w:start="0"/>
        <w:rPr>
          <w:color w:val="auto"/>
        </w:rPr>
      </w:pPr>
      <w:r>
        <w:rPr>
          <w:color w:val="auto"/>
        </w:rPr>
        <w:t>Sommario</w:t>
      </w:r>
    </w:p>
    <w:sdt>
      <w:sdtPr>
        <w:docPartObj>
          <w:docPartGallery w:val="Table of Contents"/>
          <w:docPartUnique w:val="true"/>
        </w:docPartObj>
      </w:sdtPr>
      <w:sdtContent>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r>
            <w:fldChar w:fldCharType="begin"/>
          </w:r>
          <w:r>
            <w:rPr>
              <w:rStyle w:val="Collegamentoindice"/>
              <w:webHidden/>
            </w:rPr>
            <w:instrText xml:space="preserve"> TOC \z \o "1-3" \u \h</w:instrText>
          </w:r>
          <w:r>
            <w:rPr>
              <w:rStyle w:val="Collegamentoindice"/>
              <w:webHidden/>
            </w:rPr>
            <w:fldChar w:fldCharType="separate"/>
          </w:r>
          <w:hyperlink w:anchor="_Toc218761244">
            <w:r>
              <w:rPr>
                <w:rStyle w:val="Collegamentoindice"/>
                <w:webHidden/>
              </w:rPr>
              <w:t>1.</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Introduzione</w:t>
            </w:r>
            <w:r>
              <w:rPr>
                <w:webHidden/>
              </w:rPr>
              <w:fldChar w:fldCharType="begin"/>
            </w:r>
            <w:r>
              <w:rPr>
                <w:webHidden/>
              </w:rPr>
              <w:instrText xml:space="preserve">PAGEREF _Toc218761244 \h</w:instrText>
            </w:r>
            <w:r>
              <w:rPr>
                <w:webHidden/>
              </w:rPr>
              <w:fldChar w:fldCharType="separate"/>
            </w:r>
            <w:r>
              <w:rPr>
                <w:rStyle w:val="Collegamentoindice"/>
                <w:vanish w:val="false"/>
              </w:rPr>
              <w:tab/>
              <w:t>3</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45">
            <w:r>
              <w:rPr>
                <w:rStyle w:val="Collegamentoindice"/>
                <w:webHidden/>
              </w:rPr>
              <w:t>1.1</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Riferimenti</w:t>
            </w:r>
            <w:r>
              <w:rPr>
                <w:webHidden/>
              </w:rPr>
              <w:fldChar w:fldCharType="begin"/>
            </w:r>
            <w:r>
              <w:rPr>
                <w:webHidden/>
              </w:rPr>
              <w:instrText xml:space="preserve">PAGEREF _Toc218761245 \h</w:instrText>
            </w:r>
            <w:r>
              <w:rPr>
                <w:webHidden/>
              </w:rPr>
              <w:fldChar w:fldCharType="separate"/>
            </w:r>
            <w:r>
              <w:rPr>
                <w:rStyle w:val="Collegamentoindice"/>
                <w:vanish w:val="false"/>
              </w:rPr>
              <w:tab/>
              <w:t>4</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46">
            <w:r>
              <w:rPr>
                <w:rStyle w:val="Collegamentoindice"/>
                <w:webHidden/>
              </w:rPr>
              <w:t>1.2</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Glossario acronimi e abbreviazioni</w:t>
            </w:r>
            <w:r>
              <w:rPr>
                <w:webHidden/>
              </w:rPr>
              <w:fldChar w:fldCharType="begin"/>
            </w:r>
            <w:r>
              <w:rPr>
                <w:webHidden/>
              </w:rPr>
              <w:instrText xml:space="preserve">PAGEREF _Toc218761246 \h</w:instrText>
            </w:r>
            <w:r>
              <w:rPr>
                <w:webHidden/>
              </w:rPr>
              <w:fldChar w:fldCharType="separate"/>
            </w:r>
            <w:r>
              <w:rPr>
                <w:rStyle w:val="Collegamentoindice"/>
                <w:vanish w:val="false"/>
              </w:rPr>
              <w:tab/>
              <w:t>6</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47">
            <w:r>
              <w:rPr>
                <w:rStyle w:val="Collegamentoindice"/>
                <w:webHidden/>
              </w:rPr>
              <w:t>1.3</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Modalità della fornitura</w:t>
            </w:r>
            <w:r>
              <w:rPr>
                <w:webHidden/>
              </w:rPr>
              <w:fldChar w:fldCharType="begin"/>
            </w:r>
            <w:r>
              <w:rPr>
                <w:webHidden/>
              </w:rPr>
              <w:instrText xml:space="preserve">PAGEREF _Toc218761247 \h</w:instrText>
            </w:r>
            <w:r>
              <w:rPr>
                <w:webHidden/>
              </w:rPr>
              <w:fldChar w:fldCharType="separate"/>
            </w:r>
            <w:r>
              <w:rPr>
                <w:rStyle w:val="Collegamentoindice"/>
                <w:vanish w:val="false"/>
              </w:rPr>
              <w:tab/>
              <w:t>6</w:t>
            </w:r>
            <w:r>
              <w:rPr>
                <w:webHidden/>
              </w:rPr>
              <w:fldChar w:fldCharType="end"/>
            </w:r>
          </w:hyperlink>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48">
            <w:r>
              <w:rPr>
                <w:rStyle w:val="Collegamentoindice"/>
                <w:webHidden/>
              </w:rPr>
              <w:t>2</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Architettura di Business</w:t>
            </w:r>
            <w:r>
              <w:rPr>
                <w:webHidden/>
              </w:rPr>
              <w:fldChar w:fldCharType="begin"/>
            </w:r>
            <w:r>
              <w:rPr>
                <w:webHidden/>
              </w:rPr>
              <w:instrText xml:space="preserve">PAGEREF _Toc218761248 \h</w:instrText>
            </w:r>
            <w:r>
              <w:rPr>
                <w:webHidden/>
              </w:rPr>
              <w:fldChar w:fldCharType="separate"/>
            </w:r>
            <w:r>
              <w:rPr>
                <w:rStyle w:val="Collegamentoindice"/>
                <w:vanish w:val="false"/>
              </w:rPr>
              <w:tab/>
              <w:t>8</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49">
            <w:r>
              <w:rPr>
                <w:rStyle w:val="Collegamentoindice"/>
                <w:webHidden/>
              </w:rPr>
              <w:t>2.1</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Beneficiari e Stakeholders di riferimento</w:t>
            </w:r>
            <w:r>
              <w:rPr>
                <w:webHidden/>
              </w:rPr>
              <w:fldChar w:fldCharType="begin"/>
            </w:r>
            <w:r>
              <w:rPr>
                <w:webHidden/>
              </w:rPr>
              <w:instrText xml:space="preserve">PAGEREF _Toc218761249 \h</w:instrText>
            </w:r>
            <w:r>
              <w:rPr>
                <w:webHidden/>
              </w:rPr>
              <w:fldChar w:fldCharType="separate"/>
            </w:r>
            <w:r>
              <w:rPr>
                <w:rStyle w:val="Collegamentoindice"/>
                <w:vanish w:val="false"/>
              </w:rPr>
              <w:tab/>
              <w:t>8</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0">
            <w:r>
              <w:rPr>
                <w:rStyle w:val="Collegamentoindice"/>
                <w:webHidden/>
              </w:rPr>
              <w:t>2.2</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Processi di Business</w:t>
            </w:r>
            <w:r>
              <w:rPr>
                <w:webHidden/>
              </w:rPr>
              <w:fldChar w:fldCharType="begin"/>
            </w:r>
            <w:r>
              <w:rPr>
                <w:webHidden/>
              </w:rPr>
              <w:instrText xml:space="preserve">PAGEREF _Toc218761250 \h</w:instrText>
            </w:r>
            <w:r>
              <w:rPr>
                <w:webHidden/>
              </w:rPr>
              <w:fldChar w:fldCharType="separate"/>
            </w:r>
            <w:r>
              <w:rPr>
                <w:rStyle w:val="Collegamentoindice"/>
                <w:vanish w:val="false"/>
              </w:rPr>
              <w:tab/>
              <w:t>8</w:t>
            </w:r>
            <w:r>
              <w:rPr>
                <w:webHidden/>
              </w:rPr>
              <w:fldChar w:fldCharType="end"/>
            </w:r>
          </w:hyperlink>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1">
            <w:r>
              <w:rPr>
                <w:rStyle w:val="Collegamentoindice"/>
                <w:webHidden/>
              </w:rPr>
              <w:t>3</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Oggetto della fornitura</w:t>
            </w:r>
            <w:r>
              <w:rPr>
                <w:webHidden/>
              </w:rPr>
              <w:fldChar w:fldCharType="begin"/>
            </w:r>
            <w:r>
              <w:rPr>
                <w:webHidden/>
              </w:rPr>
              <w:instrText xml:space="preserve">PAGEREF _Toc218761251 \h</w:instrText>
            </w:r>
            <w:r>
              <w:rPr>
                <w:webHidden/>
              </w:rPr>
              <w:fldChar w:fldCharType="separate"/>
            </w:r>
            <w:r>
              <w:rPr>
                <w:rStyle w:val="Collegamentoindice"/>
                <w:vanish w:val="false"/>
              </w:rPr>
              <w:tab/>
              <w:t>9</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2">
            <w:r>
              <w:rPr>
                <w:rStyle w:val="Collegamentoindice"/>
                <w:webHidden/>
              </w:rPr>
              <w:t>3.1</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Situazione AS-IS</w:t>
            </w:r>
            <w:r>
              <w:rPr>
                <w:webHidden/>
              </w:rPr>
              <w:fldChar w:fldCharType="begin"/>
            </w:r>
            <w:r>
              <w:rPr>
                <w:webHidden/>
              </w:rPr>
              <w:instrText xml:space="preserve">PAGEREF _Toc218761252 \h</w:instrText>
            </w:r>
            <w:r>
              <w:rPr>
                <w:webHidden/>
              </w:rPr>
              <w:fldChar w:fldCharType="separate"/>
            </w:r>
            <w:r>
              <w:rPr>
                <w:rStyle w:val="Collegamentoindice"/>
                <w:vanish w:val="false"/>
              </w:rPr>
              <w:tab/>
              <w:t>10</w:t>
            </w:r>
            <w:r>
              <w:rPr>
                <w:webHidden/>
              </w:rPr>
              <w:fldChar w:fldCharType="end"/>
            </w:r>
          </w:hyperlink>
        </w:p>
        <w:p>
          <w:pPr>
            <w:pStyle w:val="TOC2"/>
            <w:tabs>
              <w:tab w:val="left" w:pos="1000"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3">
            <w:r>
              <w:rPr>
                <w:rStyle w:val="Collegamentoindice"/>
                <w:webHidden/>
              </w:rPr>
              <w:t>3.2</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Evolutiva TO-BE</w:t>
            </w:r>
            <w:r>
              <w:rPr>
                <w:webHidden/>
              </w:rPr>
              <w:fldChar w:fldCharType="begin"/>
            </w:r>
            <w:r>
              <w:rPr>
                <w:webHidden/>
              </w:rPr>
              <w:instrText xml:space="preserve">PAGEREF _Toc218761253 \h</w:instrText>
            </w:r>
            <w:r>
              <w:rPr>
                <w:webHidden/>
              </w:rPr>
              <w:fldChar w:fldCharType="separate"/>
            </w:r>
            <w:r>
              <w:rPr>
                <w:rStyle w:val="Collegamentoindice"/>
                <w:vanish w:val="false"/>
              </w:rPr>
              <w:tab/>
              <w:t>12</w:t>
            </w:r>
            <w:r>
              <w:rPr>
                <w:webHidden/>
              </w:rPr>
              <w:fldChar w:fldCharType="end"/>
            </w:r>
          </w:hyperlink>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4">
            <w:r>
              <w:rPr>
                <w:rStyle w:val="Collegamentoindice"/>
                <w:webHidden/>
              </w:rPr>
              <w:t>4</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Requisiti</w:t>
            </w:r>
            <w:r>
              <w:rPr>
                <w:webHidden/>
              </w:rPr>
              <w:fldChar w:fldCharType="begin"/>
            </w:r>
            <w:r>
              <w:rPr>
                <w:webHidden/>
              </w:rPr>
              <w:instrText xml:space="preserve">PAGEREF _Toc218761254 \h</w:instrText>
            </w:r>
            <w:r>
              <w:rPr>
                <w:webHidden/>
              </w:rPr>
              <w:fldChar w:fldCharType="separate"/>
            </w:r>
            <w:r>
              <w:rPr>
                <w:rStyle w:val="Collegamentoindice"/>
                <w:vanish w:val="false"/>
              </w:rPr>
              <w:tab/>
              <w:t>14</w:t>
            </w:r>
            <w:r>
              <w:rPr>
                <w:webHidden/>
              </w:rPr>
              <w:fldChar w:fldCharType="end"/>
            </w:r>
          </w:hyperlink>
        </w:p>
        <w:p>
          <w:pPr>
            <w:pStyle w:val="TOC1"/>
            <w:tabs>
              <w:tab w:val="left" w:pos="432" w:leader="none"/>
              <w:tab w:val="right" w:pos="9360" w:leader="none"/>
            </w:tabs>
            <w:rPr>
              <w:rFonts w:ascii="Calibri" w:hAnsi="Calibri" w:eastAsia="" w:cs="" w:asciiTheme="minorHAnsi" w:cstheme="minorBidi" w:eastAsiaTheme="minorEastAsia" w:hAnsiTheme="minorHAnsi"/>
              <w:kern w:val="2"/>
              <w:sz w:val="24"/>
              <w:szCs w:val="24"/>
              <w:lang w:eastAsia="it-IT"/>
              <w14:ligatures w14:val="standardContextual"/>
            </w:rPr>
          </w:pPr>
          <w:hyperlink w:anchor="_Toc218761255">
            <w:r>
              <w:rPr>
                <w:rStyle w:val="Collegamentoindice"/>
                <w:webHidden/>
              </w:rPr>
              <w:t>5</w:t>
            </w:r>
            <w:r>
              <w:rPr>
                <w:rStyle w:val="Collegamentoindice"/>
                <w:rFonts w:eastAsia="" w:cs="" w:ascii="Calibri" w:hAnsi="Calibri" w:asciiTheme="minorHAnsi" w:cstheme="minorBidi" w:eastAsiaTheme="minorEastAsia" w:hAnsiTheme="minorHAnsi"/>
                <w:kern w:val="2"/>
                <w:sz w:val="24"/>
                <w:szCs w:val="24"/>
                <w:lang w:eastAsia="it-IT"/>
                <w14:ligatures w14:val="standardContextual"/>
              </w:rPr>
              <w:tab/>
            </w:r>
            <w:r>
              <w:rPr>
                <w:rStyle w:val="Collegamentoindice"/>
              </w:rPr>
              <w:t>Tabella degli impatti</w:t>
            </w:r>
            <w:r>
              <w:rPr>
                <w:webHidden/>
              </w:rPr>
              <w:fldChar w:fldCharType="begin"/>
            </w:r>
            <w:r>
              <w:rPr>
                <w:webHidden/>
              </w:rPr>
              <w:instrText xml:space="preserve">PAGEREF _Toc218761255 \h</w:instrText>
            </w:r>
            <w:r>
              <w:rPr>
                <w:webHidden/>
              </w:rPr>
              <w:fldChar w:fldCharType="separate"/>
            </w:r>
            <w:r>
              <w:rPr>
                <w:rStyle w:val="Collegamentoindice"/>
                <w:vanish w:val="false"/>
              </w:rPr>
              <w:tab/>
              <w:t>15</w:t>
            </w:r>
            <w:r>
              <w:rPr>
                <w:webHidden/>
              </w:rPr>
              <w:fldChar w:fldCharType="end"/>
            </w:r>
          </w:hyperlink>
          <w:r>
            <w:rPr>
              <w:rStyle w:val="Collegamentoindice"/>
              <w:vanish w:val="false"/>
            </w:rPr>
            <w:fldChar w:fldCharType="end"/>
          </w:r>
        </w:p>
      </w:sdtContent>
    </w:sdt>
    <w:p>
      <w:pPr>
        <w:pStyle w:val="TOC1"/>
        <w:tabs>
          <w:tab w:val="left" w:pos="390" w:leader="none"/>
          <w:tab w:val="right" w:pos="9015" w:leader="dot"/>
          <w:tab w:val="right" w:pos="9360" w:leader="none"/>
        </w:tabs>
        <w:rPr>
          <w:rFonts w:ascii="Calibri" w:hAnsi="Calibri" w:eastAsia="" w:cs="" w:asciiTheme="minorHAnsi" w:cstheme="minorBidi" w:eastAsiaTheme="minorEastAsia" w:hAnsiTheme="minorHAnsi"/>
          <w:sz w:val="22"/>
          <w:szCs w:val="22"/>
          <w:lang w:eastAsia="it-IT"/>
        </w:rPr>
      </w:pPr>
      <w:r>
        <w:rPr>
          <w:rFonts w:eastAsia="" w:cs="" w:cstheme="minorBidi" w:eastAsiaTheme="minorEastAsia" w:ascii="Calibri" w:hAnsi="Calibri"/>
          <w:sz w:val="22"/>
          <w:szCs w:val="22"/>
          <w:lang w:eastAsia="it-IT"/>
        </w:rPr>
      </w:r>
    </w:p>
    <w:p>
      <w:pPr>
        <w:pStyle w:val="Normal"/>
        <w:rPr>
          <w:b/>
          <w:bCs/>
        </w:rPr>
      </w:pPr>
      <w:r>
        <w:rPr>
          <w:b/>
          <w:bCs/>
        </w:rPr>
      </w:r>
    </w:p>
    <w:p>
      <w:pPr>
        <w:pStyle w:val="Normal"/>
        <w:rPr/>
      </w:pPr>
      <w:r>
        <w:rPr/>
      </w:r>
      <w:r>
        <w:br w:type="page"/>
      </w:r>
    </w:p>
    <w:p>
      <w:pPr>
        <w:pStyle w:val="Heading1"/>
        <w:numPr>
          <w:ilvl w:val="0"/>
          <w:numId w:val="2"/>
        </w:numPr>
        <w:spacing w:before="0" w:after="60"/>
        <w:rPr/>
      </w:pPr>
      <w:bookmarkStart w:id="0" w:name="_Toc218761244"/>
      <w:r>
        <w:rPr/>
        <w:t>Introduzione</w:t>
      </w:r>
      <w:bookmarkEnd w:id="0"/>
    </w:p>
    <w:p>
      <w:pPr>
        <w:pStyle w:val="Normal"/>
        <w:rPr>
          <w:sz w:val="24"/>
          <w:szCs w:val="24"/>
        </w:rPr>
      </w:pPr>
      <w:r>
        <w:rPr>
          <w:sz w:val="24"/>
          <w:szCs w:val="24"/>
        </w:rPr>
      </w:r>
      <w:bookmarkStart w:id="1" w:name="_Hlk30422140"/>
      <w:bookmarkStart w:id="2" w:name="_Hlk30422140"/>
      <w:bookmarkEnd w:id="2"/>
    </w:p>
    <w:p>
      <w:pPr>
        <w:pStyle w:val="Normal"/>
        <w:rPr>
          <w:sz w:val="24"/>
          <w:szCs w:val="24"/>
        </w:rPr>
      </w:pPr>
      <w:r>
        <w:rPr>
          <w:sz w:val="24"/>
          <w:szCs w:val="24"/>
        </w:rPr>
        <w:t xml:space="preserve">Il documento ha lo scopo di tracciare e analizzare le modifiche evolutive della piattaforma PiemontePAY e degli applicativi che ne fanno parte. </w:t>
      </w:r>
    </w:p>
    <w:p>
      <w:pPr>
        <w:pStyle w:val="Normal"/>
        <w:rPr>
          <w:sz w:val="24"/>
          <w:szCs w:val="24"/>
        </w:rPr>
      </w:pPr>
      <w:r>
        <w:rPr>
          <w:sz w:val="24"/>
          <w:szCs w:val="24"/>
        </w:rPr>
      </w:r>
    </w:p>
    <w:p>
      <w:pPr>
        <w:pStyle w:val="Normal"/>
        <w:rPr>
          <w:sz w:val="24"/>
          <w:szCs w:val="24"/>
        </w:rPr>
      </w:pPr>
      <w:r>
        <w:rPr>
          <w:sz w:val="24"/>
          <w:szCs w:val="24"/>
        </w:rPr>
        <w:t>Nello specifico questo documento descrive le attività di adeguamento alle nuove primitive pagoPA per:</w:t>
      </w:r>
    </w:p>
    <w:p>
      <w:pPr>
        <w:pStyle w:val="Normal"/>
        <w:numPr>
          <w:ilvl w:val="0"/>
          <w:numId w:val="14"/>
        </w:numPr>
        <w:rPr>
          <w:sz w:val="24"/>
          <w:szCs w:val="24"/>
        </w:rPr>
      </w:pPr>
      <w:r>
        <w:rPr>
          <w:sz w:val="24"/>
          <w:szCs w:val="24"/>
        </w:rPr>
        <w:t>l’acquisizione dei flussi di rendicontazione (FdR),</w:t>
      </w:r>
    </w:p>
    <w:p>
      <w:pPr>
        <w:pStyle w:val="Normal"/>
        <w:numPr>
          <w:ilvl w:val="0"/>
          <w:numId w:val="14"/>
        </w:numPr>
        <w:rPr>
          <w:sz w:val="24"/>
          <w:szCs w:val="24"/>
        </w:rPr>
      </w:pPr>
      <w:r>
        <w:rPr>
          <w:sz w:val="24"/>
          <w:szCs w:val="24"/>
        </w:rPr>
        <w:t>l’elaborazione dei dati acquisiti,</w:t>
      </w:r>
    </w:p>
    <w:p>
      <w:pPr>
        <w:pStyle w:val="Normal"/>
        <w:numPr>
          <w:ilvl w:val="0"/>
          <w:numId w:val="14"/>
        </w:numPr>
        <w:rPr>
          <w:sz w:val="24"/>
          <w:szCs w:val="24"/>
        </w:rPr>
      </w:pPr>
      <w:r>
        <w:rPr>
          <w:sz w:val="24"/>
          <w:szCs w:val="24"/>
        </w:rPr>
        <w:t xml:space="preserve">l’invio del FdR originario pagoPA agli stakeholder integrati nel sistema PiemontePAY che ne hanno fatto richiesta </w:t>
      </w:r>
    </w:p>
    <w:p>
      <w:pPr>
        <w:pStyle w:val="Normal"/>
        <w:rPr>
          <w:sz w:val="24"/>
          <w:szCs w:val="24"/>
        </w:rPr>
      </w:pPr>
      <w:r>
        <w:rPr>
          <w:sz w:val="24"/>
          <w:szCs w:val="24"/>
        </w:rPr>
      </w:r>
    </w:p>
    <w:p>
      <w:pPr>
        <w:pStyle w:val="Normal"/>
        <w:rPr>
          <w:sz w:val="24"/>
          <w:szCs w:val="24"/>
        </w:rPr>
      </w:pPr>
      <w:r>
        <w:rPr>
          <w:sz w:val="24"/>
          <w:szCs w:val="24"/>
        </w:rPr>
        <w:t xml:space="preserve">L’adeguamento alle nuove primitive è indicato come evolutiva obbligatoria nella roadmap e nella SANP pagoPa. </w:t>
      </w:r>
    </w:p>
    <w:p>
      <w:pPr>
        <w:pStyle w:val="Normal"/>
        <w:rPr>
          <w:sz w:val="24"/>
          <w:szCs w:val="24"/>
        </w:rPr>
      </w:pPr>
      <w:r>
        <w:rPr>
          <w:sz w:val="24"/>
          <w:szCs w:val="24"/>
        </w:rPr>
      </w:r>
    </w:p>
    <w:p>
      <w:pPr>
        <w:pStyle w:val="Normal"/>
        <w:rPr>
          <w:sz w:val="24"/>
          <w:szCs w:val="24"/>
        </w:rPr>
      </w:pPr>
      <w:r>
        <w:rPr>
          <w:sz w:val="24"/>
          <w:szCs w:val="24"/>
        </w:rPr>
        <w:t xml:space="preserve">Le nuove primitive forniranno i flussi di rendicontazione in modalità paginata ed in formato JSON, sostituendo l’attuale modalità di trasmissione in formato XML senza paginazione. </w:t>
      </w:r>
    </w:p>
    <w:p>
      <w:pPr>
        <w:pStyle w:val="Normal"/>
        <w:rPr>
          <w:sz w:val="24"/>
          <w:szCs w:val="24"/>
        </w:rPr>
      </w:pPr>
      <w:r>
        <w:rPr>
          <w:sz w:val="24"/>
          <w:szCs w:val="24"/>
        </w:rPr>
      </w:r>
    </w:p>
    <w:p>
      <w:pPr>
        <w:pStyle w:val="Normal"/>
        <w:rPr>
          <w:sz w:val="24"/>
          <w:szCs w:val="24"/>
        </w:rPr>
      </w:pPr>
      <w:r>
        <w:rPr>
          <w:sz w:val="24"/>
          <w:szCs w:val="24"/>
        </w:rPr>
        <w:t>Ne consegue che anche gli stakeholder dovranno adeguarsi al nuovo formato JSON dei FdR.</w:t>
      </w:r>
    </w:p>
    <w:p>
      <w:pPr>
        <w:pStyle w:val="Normal"/>
        <w:rPr>
          <w:sz w:val="24"/>
          <w:szCs w:val="24"/>
        </w:rPr>
      </w:pPr>
      <w:r>
        <w:rPr>
          <w:sz w:val="24"/>
          <w:szCs w:val="24"/>
        </w:rPr>
      </w:r>
    </w:p>
    <w:p>
      <w:pPr>
        <w:pStyle w:val="Normal"/>
        <w:rPr>
          <w:sz w:val="24"/>
          <w:szCs w:val="24"/>
        </w:rPr>
      </w:pPr>
      <w:r>
        <w:rPr>
          <w:sz w:val="24"/>
          <w:szCs w:val="24"/>
        </w:rPr>
        <w:t>PagoPa garantisce la coesistenza tra le nuove e le vecchie primitive fino alla dismissione di queste ultime (rif. Roadmap 2025-Q2).</w:t>
      </w:r>
    </w:p>
    <w:p>
      <w:pPr>
        <w:pStyle w:val="Normal"/>
        <w:rPr>
          <w:sz w:val="24"/>
          <w:szCs w:val="24"/>
        </w:rPr>
      </w:pPr>
      <w:r>
        <w:rPr>
          <w:sz w:val="24"/>
          <w:szCs w:val="24"/>
        </w:rPr>
      </w:r>
    </w:p>
    <w:p>
      <w:pPr>
        <w:pStyle w:val="Normal"/>
        <w:rPr>
          <w:sz w:val="24"/>
          <w:szCs w:val="24"/>
        </w:rPr>
      </w:pPr>
      <w:r>
        <w:rPr>
          <w:sz w:val="24"/>
          <w:szCs w:val="24"/>
        </w:rPr>
        <w:t>L’acquisizione e l’elaborazione dei FdR viene effettuato dal Motore dei Pagamenti, (MDPNEW).</w:t>
      </w:r>
    </w:p>
    <w:p>
      <w:pPr>
        <w:pStyle w:val="Normal"/>
        <w:rPr>
          <w:sz w:val="24"/>
          <w:szCs w:val="24"/>
        </w:rPr>
      </w:pPr>
      <w:r>
        <w:rPr>
          <w:sz w:val="24"/>
          <w:szCs w:val="24"/>
        </w:rPr>
      </w:r>
    </w:p>
    <w:p>
      <w:pPr>
        <w:pStyle w:val="Normal"/>
        <w:tabs>
          <w:tab w:val="clear" w:pos="284"/>
          <w:tab w:val="left" w:pos="720" w:leader="none"/>
        </w:tabs>
        <w:rPr>
          <w:sz w:val="24"/>
          <w:szCs w:val="24"/>
        </w:rPr>
      </w:pPr>
      <w:r>
        <w:rPr>
          <w:sz w:val="24"/>
          <w:szCs w:val="24"/>
        </w:rPr>
        <w:t>Non potendo vincolare la messa in esercizio della presente evolutiva all’adeguamento di tutti gli stakeholder al nuovo formato dei FdR e dovendo garantire la continuità dei loro processi di elaborazione degli FdR si propone di “svincolare” il processo di invio dei FdR agli stakeholder dalla modalità di acquisizione ed elaborazione degli stessi da parte di MDPNEW.</w:t>
      </w:r>
    </w:p>
    <w:p>
      <w:pPr>
        <w:pStyle w:val="Normal"/>
        <w:tabs>
          <w:tab w:val="clear" w:pos="284"/>
          <w:tab w:val="left" w:pos="720" w:leader="none"/>
        </w:tabs>
        <w:rPr>
          <w:sz w:val="24"/>
          <w:szCs w:val="24"/>
        </w:rPr>
      </w:pPr>
      <w:r>
        <w:rPr>
          <w:sz w:val="24"/>
          <w:szCs w:val="24"/>
        </w:rPr>
      </w:r>
    </w:p>
    <w:p>
      <w:pPr>
        <w:pStyle w:val="Normal"/>
        <w:rPr>
          <w:sz w:val="24"/>
          <w:szCs w:val="24"/>
        </w:rPr>
      </w:pPr>
      <w:r>
        <w:rPr>
          <w:sz w:val="24"/>
          <w:szCs w:val="24"/>
        </w:rPr>
        <w:t>Per l’acquisizione e l’elaborazione dei dati verranno utilizzate le nuove primitive ed il nuovo formato dati.</w:t>
      </w:r>
    </w:p>
    <w:p>
      <w:pPr>
        <w:pStyle w:val="Normal"/>
        <w:rPr>
          <w:sz w:val="24"/>
          <w:szCs w:val="24"/>
        </w:rPr>
      </w:pPr>
      <w:r>
        <w:rPr>
          <w:sz w:val="24"/>
          <w:szCs w:val="24"/>
        </w:rPr>
        <w:t>Per l’invio dei FdR originari pagoPA agli stakeholder si deve prevedere un processo che consenta, a seconda dei casi, l’invio dei FdR nel nuovo formato JSON oppure il recupero dei FdR nel formato attuale (XML), senza ulteriori elaborazioni dei dati e riutilizzando il più possibile il software già esistente.</w:t>
      </w:r>
    </w:p>
    <w:p>
      <w:pPr>
        <w:pStyle w:val="Normal"/>
        <w:rPr>
          <w:sz w:val="24"/>
          <w:szCs w:val="24"/>
        </w:rPr>
      </w:pPr>
      <w:r>
        <w:rPr>
          <w:sz w:val="24"/>
          <w:szCs w:val="24"/>
        </w:rPr>
      </w:r>
    </w:p>
    <w:p>
      <w:pPr>
        <w:pStyle w:val="Normal"/>
        <w:rPr>
          <w:sz w:val="24"/>
          <w:szCs w:val="24"/>
        </w:rPr>
      </w:pPr>
      <w:r>
        <w:rPr>
          <w:sz w:val="24"/>
          <w:szCs w:val="24"/>
        </w:rPr>
        <w:t>PiemontePay garantirà la disponibilità degli Fdr nell’attuale formato XML fino alla disponibilità delle vecchie primitive pagoPa, alla loro dismissione tale flusso non sarà più disponibile ne sono previste attività di trascodifica dei dati da un formato all’altro.</w:t>
      </w:r>
    </w:p>
    <w:p>
      <w:pPr>
        <w:pStyle w:val="Normal"/>
        <w:rPr>
          <w:sz w:val="24"/>
          <w:szCs w:val="24"/>
        </w:rPr>
      </w:pPr>
      <w:r>
        <w:rPr>
          <w:sz w:val="24"/>
          <w:szCs w:val="24"/>
        </w:rPr>
      </w:r>
    </w:p>
    <w:p>
      <w:pPr>
        <w:pStyle w:val="Normal"/>
        <w:rPr>
          <w:sz w:val="24"/>
          <w:szCs w:val="24"/>
        </w:rPr>
      </w:pPr>
      <w:r>
        <w:rPr>
          <w:sz w:val="24"/>
          <w:szCs w:val="24"/>
        </w:rPr>
        <w:t xml:space="preserve">L’abilitazione all’utilizzo delle nuove primitive avviene attraverso una subscription key specifica, la cui generazione è a carico del committente. </w:t>
      </w:r>
    </w:p>
    <w:p>
      <w:pPr>
        <w:pStyle w:val="Normal"/>
        <w:rPr>
          <w:sz w:val="24"/>
          <w:szCs w:val="24"/>
        </w:rPr>
      </w:pPr>
      <w:r>
        <w:rPr>
          <w:sz w:val="24"/>
          <w:szCs w:val="24"/>
        </w:rPr>
        <w:t>Ogni ambiente operativo (uat o produzione) avrà la propria subscription key.</w:t>
      </w:r>
    </w:p>
    <w:p>
      <w:pPr>
        <w:pStyle w:val="Normal"/>
        <w:rPr>
          <w:sz w:val="24"/>
          <w:szCs w:val="24"/>
        </w:rPr>
      </w:pPr>
      <w:r>
        <w:rPr>
          <w:sz w:val="24"/>
          <w:szCs w:val="24"/>
        </w:rPr>
      </w:r>
    </w:p>
    <w:p>
      <w:pPr>
        <w:pStyle w:val="Normal"/>
        <w:rPr>
          <w:sz w:val="24"/>
          <w:szCs w:val="24"/>
        </w:rPr>
      </w:pPr>
      <w:r>
        <w:rPr>
          <w:sz w:val="24"/>
          <w:szCs w:val="24"/>
        </w:rPr>
      </w:r>
      <w:bookmarkStart w:id="3" w:name="_Hlk30422140"/>
      <w:bookmarkStart w:id="4" w:name="_Hlk30422140"/>
      <w:bookmarkEnd w:id="4"/>
    </w:p>
    <w:p>
      <w:pPr>
        <w:pStyle w:val="Normal"/>
        <w:jc w:val="both"/>
        <w:rPr/>
      </w:pPr>
      <w:r>
        <w:rPr/>
      </w:r>
    </w:p>
    <w:p>
      <w:pPr>
        <w:pStyle w:val="Heading2"/>
        <w:rPr/>
      </w:pPr>
      <w:bookmarkStart w:id="5" w:name="_Toc218761245"/>
      <w:bookmarkStart w:id="6" w:name="_Toc212738159"/>
      <w:r>
        <w:rPr/>
        <w:t>Riferimenti</w:t>
      </w:r>
      <w:bookmarkEnd w:id="5"/>
      <w:bookmarkEnd w:id="6"/>
    </w:p>
    <w:p>
      <w:pPr>
        <w:pStyle w:val="Normal"/>
        <w:rPr/>
      </w:pPr>
      <w:r>
        <w:rPr/>
      </w:r>
    </w:p>
    <w:tbl>
      <w:tblPr>
        <w:tblW w:w="9375" w:type="dxa"/>
        <w:jc w:val="start"/>
        <w:tblInd w:w="250" w:type="dxa"/>
        <w:tblLayout w:type="fixed"/>
        <w:tblCellMar>
          <w:top w:w="0" w:type="dxa"/>
          <w:start w:w="108" w:type="dxa"/>
          <w:bottom w:w="0" w:type="dxa"/>
          <w:end w:w="108" w:type="dxa"/>
        </w:tblCellMar>
        <w:tblLook w:firstRow="0" w:noVBand="0" w:lastRow="0" w:firstColumn="0" w:lastColumn="0" w:noHBand="0" w:val="0000"/>
      </w:tblPr>
      <w:tblGrid>
        <w:gridCol w:w="737"/>
        <w:gridCol w:w="3827"/>
        <w:gridCol w:w="4792"/>
        <w:gridCol w:w="19"/>
      </w:tblGrid>
      <w:tr>
        <w:trPr/>
        <w:tc>
          <w:tcPr>
            <w:tcW w:w="737" w:type="dxa"/>
            <w:tcBorders>
              <w:top w:val="single" w:sz="4" w:space="0" w:color="000000"/>
              <w:start w:val="single" w:sz="4" w:space="0" w:color="000000"/>
              <w:bottom w:val="single" w:sz="4" w:space="0" w:color="000000"/>
            </w:tcBorders>
            <w:shd w:color="auto" w:fill="D9D9D9" w:themeFill="background1" w:themeFillShade="d9" w:val="clear"/>
          </w:tcPr>
          <w:p>
            <w:pPr>
              <w:pStyle w:val="Normal"/>
              <w:snapToGrid w:val="false"/>
              <w:rPr>
                <w:b/>
                <w:bCs/>
                <w:sz w:val="18"/>
              </w:rPr>
            </w:pPr>
            <w:r>
              <w:rPr>
                <w:b/>
                <w:bCs/>
                <w:sz w:val="18"/>
              </w:rPr>
              <w:t>Num.</w:t>
            </w:r>
          </w:p>
        </w:tc>
        <w:tc>
          <w:tcPr>
            <w:tcW w:w="3827" w:type="dxa"/>
            <w:tcBorders>
              <w:top w:val="single" w:sz="4" w:space="0" w:color="000000"/>
              <w:start w:val="single" w:sz="4" w:space="0" w:color="000000"/>
              <w:bottom w:val="single" w:sz="4" w:space="0" w:color="000000"/>
            </w:tcBorders>
            <w:shd w:color="auto" w:fill="D9D9D9" w:themeFill="background1" w:themeFillShade="d9" w:val="clear"/>
          </w:tcPr>
          <w:p>
            <w:pPr>
              <w:pStyle w:val="Normal"/>
              <w:snapToGrid w:val="false"/>
              <w:rPr>
                <w:b/>
                <w:bCs/>
                <w:sz w:val="18"/>
              </w:rPr>
            </w:pPr>
            <w:r>
              <w:rPr>
                <w:b/>
                <w:bCs/>
                <w:sz w:val="18"/>
              </w:rPr>
              <w:t>Riferimento</w:t>
            </w:r>
          </w:p>
        </w:tc>
        <w:tc>
          <w:tcPr>
            <w:tcW w:w="4792"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napToGrid w:val="false"/>
              <w:rPr>
                <w:b/>
                <w:bCs/>
                <w:sz w:val="18"/>
              </w:rPr>
            </w:pPr>
            <w:r>
              <w:rPr>
                <w:b/>
                <w:bCs/>
                <w:sz w:val="18"/>
              </w:rPr>
              <w:t>Descrizione</w:t>
            </w:r>
          </w:p>
        </w:tc>
        <w:tc>
          <w:tcPr>
            <w:tcW w:w="19" w:type="dxa"/>
            <w:tcBorders/>
          </w:tcPr>
          <w:p>
            <w:pPr>
              <w:pStyle w:val="Normal"/>
              <w:spacing w:lineRule="atLeast" w:line="0" w:before="0" w:after="0"/>
              <w:rPr>
                <w:sz w:val="2"/>
              </w:rPr>
            </w:pPr>
            <w:r>
              <w:rPr>
                <w:sz w:val="2"/>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t>AGID Piano Triennale 2024-2026: digitalizzazione dei servizi ai cittadini e alle imprese</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0"/>
              <w:rPr/>
            </w:pPr>
            <w:r>
              <w:rPr/>
              <w:t xml:space="preserve">AgID, </w:t>
            </w:r>
            <w:r>
              <w:rPr>
                <w:b/>
                <w:bCs/>
              </w:rPr>
              <w:t>Agenzia per l'Italia Digitale</w:t>
            </w:r>
            <w:r>
              <w:rPr/>
              <w:t xml:space="preserve">, è l'agenzia tecnica della Presidenza del Consiglio dei Ministri che ha il compito di guidare la trasformazione digitale del Paese per raggiungere gli obiettivi dell'Agenda digitale </w:t>
            </w:r>
          </w:p>
          <w:p>
            <w:pPr>
              <w:pStyle w:val="BodyText"/>
              <w:snapToGrid w:val="false"/>
              <w:spacing w:before="0" w:after="120"/>
              <w:ind w:start="0"/>
              <w:rPr/>
            </w:pPr>
            <w:hyperlink r:id="rId2">
              <w:r>
                <w:rPr>
                  <w:rStyle w:val="Hyperlink"/>
                </w:rPr>
                <w:t>https://www.agid.gov.it/it/agenzia/piano-triennale</w:t>
              </w:r>
            </w:hyperlink>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bookmarkStart w:id="7" w:name="_Ref372281931"/>
            <w:bookmarkStart w:id="8" w:name="_Ref372281931"/>
            <w:bookmarkEnd w:id="8"/>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t xml:space="preserve">pagoPA </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0"/>
              <w:rPr/>
            </w:pPr>
            <w:r>
              <w:rPr/>
              <w:t>pagoPA è la piattaforma digitale che ti permette di effettuare pagamenti verso la Pubblica Amministrazione e altri soggetti aderenti. La piattaforma, gestita da PagoPA S.p.A., garantisce la standardizzazione, la sicurezza e la trasparenza delle transazioni. </w:t>
            </w:r>
          </w:p>
          <w:p>
            <w:pPr>
              <w:pStyle w:val="BodyText"/>
              <w:snapToGrid w:val="false"/>
              <w:ind w:start="0"/>
              <w:rPr/>
            </w:pPr>
            <w:hyperlink r:id="rId3">
              <w:r>
                <w:rPr>
                  <w:rStyle w:val="Hyperlink"/>
                </w:rPr>
                <w:t>https://www.pagopa.gov.it/</w:t>
              </w:r>
            </w:hyperlink>
          </w:p>
          <w:p>
            <w:pPr>
              <w:pStyle w:val="BodyText"/>
              <w:snapToGrid w:val="false"/>
              <w:spacing w:before="0" w:after="120"/>
              <w:ind w:start="0"/>
              <w:rPr/>
            </w:pPr>
            <w:r>
              <w:rPr/>
              <w:t xml:space="preserve">la documentazione tecnica completa è disponibile su </w:t>
            </w:r>
            <w:hyperlink r:id="rId4">
              <w:r>
                <w:rPr>
                  <w:rStyle w:val="Hyperlink"/>
                </w:rPr>
                <w:t>https://developer.pagopa.it/</w:t>
              </w:r>
            </w:hyperlink>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rFonts w:cs="Calibri" w:cstheme="minorHAnsi"/>
              </w:rPr>
            </w:pPr>
            <w:r>
              <w:rPr/>
              <w:t xml:space="preserve">SANP </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Normal"/>
              <w:rPr>
                <w:b/>
                <w:bCs/>
              </w:rPr>
            </w:pPr>
            <w:r>
              <w:rPr/>
              <w:t>SANP sono le Specifiche Attuative del Nodo dei Pagamenti, un documento tecnico che definisce le regole per il sistema di pagamenti elettronici pagoPA, l’ insieme di specifiche tecniche e attuative che regolano l'interazione tra gli enti, i prestatori di servizi di pagamento e la piattaforma pagoPA.</w:t>
            </w:r>
          </w:p>
          <w:p>
            <w:pPr>
              <w:pStyle w:val="Normal"/>
              <w:rPr/>
            </w:pPr>
            <w:r>
              <w:rPr/>
              <w:t xml:space="preserve"> </w:t>
            </w:r>
            <w:hyperlink r:id="rId5">
              <w:r>
                <w:rPr>
                  <w:rStyle w:val="Hyperlink"/>
                </w:rPr>
                <w:t>https://developer.pagopa.it/pago-pa/guides/sanp</w:t>
              </w:r>
            </w:hyperlink>
          </w:p>
          <w:p>
            <w:pPr>
              <w:pStyle w:val="Normal"/>
              <w:rPr/>
            </w:pPr>
            <w:r>
              <w:rPr/>
            </w:r>
          </w:p>
          <w:p>
            <w:pPr>
              <w:pStyle w:val="Normal"/>
              <w:rPr/>
            </w:pPr>
            <w:r>
              <w:rPr/>
              <w:t>versione pubblicata al momento della stesura del documento 3.9.1</w:t>
            </w:r>
          </w:p>
          <w:p>
            <w:pPr>
              <w:pStyle w:val="Normal"/>
              <w:rPr>
                <w:rFonts w:cs="Calibri" w:cstheme="minorHAnsi"/>
                <w:color w:val="0070C0"/>
              </w:rPr>
            </w:pPr>
            <w:r>
              <w:rPr>
                <w:rFonts w:cs="Calibri" w:cstheme="minorHAnsi"/>
                <w:color w:val="0070C0"/>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t>SACI</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0"/>
              <w:rPr/>
            </w:pPr>
            <w:r>
              <w:rPr/>
              <w:t>SACI sono le Specifiche Attuative dei Codici Identificativi del Nodo dei Pagamenti, documenti tecnici della piattaforma pagoPA che stabiliscono le regole per la generazione e l'utilizzo dei codici che identificano i versamenti, i riversamenti e la rendicontazione. Permettono la corretta gestione dei pagamenti tramite pagoPA, in particolare per quanto riguarda l'identificativo univoco di versamento (IUV) e le relative rendicontazioni</w:t>
            </w:r>
          </w:p>
          <w:p>
            <w:pPr>
              <w:pStyle w:val="Normal"/>
              <w:rPr/>
            </w:pPr>
            <w:hyperlink r:id="rId6">
              <w:r>
                <w:rPr>
                  <w:rStyle w:val="Hyperlink"/>
                </w:rPr>
                <w:t>https://developer.pagopa.it/pago-pa/guides/saci</w:t>
              </w:r>
            </w:hyperlink>
          </w:p>
          <w:p>
            <w:pPr>
              <w:pStyle w:val="Normal"/>
              <w:rPr/>
            </w:pPr>
            <w:r>
              <w:rPr/>
            </w:r>
          </w:p>
          <w:p>
            <w:pPr>
              <w:pStyle w:val="Normal"/>
              <w:rPr/>
            </w:pPr>
            <w:r>
              <w:rPr/>
              <w:t>versione pubblicata al momento della stesura del documento 3.2.1</w:t>
            </w:r>
          </w:p>
          <w:p>
            <w:pPr>
              <w:pStyle w:val="Normal"/>
              <w:rPr/>
            </w:pPr>
            <w:r>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rFonts w:cs="Calibri" w:cstheme="minorHAnsi"/>
              </w:rPr>
            </w:pPr>
            <w:r>
              <w:rPr/>
              <w:t>Flusso di Rendicontazione</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Un flusso di rendicontazione pagoPA è un </w:t>
            </w:r>
          </w:p>
          <w:p>
            <w:pPr>
              <w:pStyle w:val="Normal"/>
              <w:rPr/>
            </w:pPr>
            <w:r>
              <w:rPr/>
              <w:t>documento digitale inviato dai fornitori di servizi di pagamento (PSP) che elenca i pagamenti effettuati in un dato giorno tramite la piattaforma pagoPA e che devono essere accreditati all'Ente Creditore (EC)</w:t>
            </w:r>
          </w:p>
          <w:p>
            <w:pPr>
              <w:pStyle w:val="Normal"/>
              <w:rPr/>
            </w:pPr>
            <w:hyperlink r:id="rId7">
              <w:r>
                <w:rPr>
                  <w:rStyle w:val="Hyperlink"/>
                </w:rPr>
                <w:t>https://developer.pagopa.it/pago-pa/tutorials/cosa-sono-i-flussi-di-rendicontazione-e-come-usarli-correttamente</w:t>
              </w:r>
            </w:hyperlink>
          </w:p>
          <w:p>
            <w:pPr>
              <w:pStyle w:val="Normal"/>
              <w:rPr/>
            </w:pPr>
            <w:r>
              <w:rPr/>
            </w:r>
          </w:p>
          <w:p>
            <w:pPr>
              <w:pStyle w:val="Normal"/>
              <w:rPr/>
            </w:pPr>
            <w:hyperlink r:id="rId8">
              <w:r>
                <w:rPr>
                  <w:rStyle w:val="Hyperlink"/>
                </w:rPr>
                <w:t>https://developer.pagopa.it/pago-pa/guides/sanp/3.9.1/specifiche-attuative-del-nodo-dei-pagamenti-spc/funzionamento-generale/rendicontazione-e-cashflow</w:t>
              </w:r>
            </w:hyperlink>
          </w:p>
          <w:p>
            <w:pPr>
              <w:pStyle w:val="Normal"/>
              <w:rPr/>
            </w:pPr>
            <w:r>
              <w:rPr/>
            </w:r>
            <w:bookmarkStart w:id="9" w:name="_Hlk212128612"/>
            <w:bookmarkStart w:id="10" w:name="_Hlk212128612"/>
            <w:bookmarkEnd w:id="10"/>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t>Primitive pagoPA</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0"/>
              <w:rPr/>
            </w:pPr>
            <w:r>
              <w:rPr/>
              <w:t>Le "primitive pagoPA" si riferiscono alle chiamate API (interfacce di programmazione delle applicazioni) SOAP (Simple Object Access Protocol) che gli enti e i PSP  utilizzano per comunicare con la piattaforma pagoPA</w:t>
            </w:r>
          </w:p>
          <w:p>
            <w:pPr>
              <w:pStyle w:val="BodyText"/>
              <w:snapToGrid w:val="false"/>
              <w:ind w:start="0"/>
              <w:rPr/>
            </w:pPr>
            <w:r>
              <w:rPr/>
              <w:t>.</w:t>
            </w:r>
            <w:hyperlink r:id="rId9">
              <w:r>
                <w:rPr>
                  <w:rStyle w:val="Hyperlink"/>
                </w:rPr>
                <w:t>https://developer.pagopa.it/pago-pa/guides/sanp/3.9.1/appendici/primitive</w:t>
              </w:r>
            </w:hyperlink>
          </w:p>
          <w:p>
            <w:pPr>
              <w:pStyle w:val="BodyText"/>
              <w:snapToGrid w:val="false"/>
              <w:ind w:start="0"/>
              <w:rPr/>
            </w:pPr>
            <w:hyperlink r:id="rId10">
              <w:r>
                <w:rPr>
                  <w:rStyle w:val="Hyperlink"/>
                </w:rPr>
                <w:t>https://developer.pagopa.it/pago-pa/api</w:t>
              </w:r>
            </w:hyperlink>
          </w:p>
          <w:p>
            <w:pPr>
              <w:pStyle w:val="BodyText"/>
              <w:snapToGrid w:val="false"/>
              <w:spacing w:before="0" w:after="120"/>
              <w:ind w:start="0"/>
              <w:rPr>
                <w:color w:val="0070C0"/>
              </w:rPr>
            </w:pPr>
            <w:r>
              <w:rPr>
                <w:color w:val="0070C0"/>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t>GitHub pagoPA</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0"/>
              <w:rPr/>
            </w:pPr>
            <w:r>
              <w:rPr/>
              <w:t xml:space="preserve">si riferisce al repo su </w:t>
            </w:r>
            <w:r>
              <w:rPr>
                <w:b/>
                <w:bCs/>
              </w:rPr>
              <w:t>GitHub</w:t>
            </w:r>
            <w:r>
              <w:rPr/>
              <w:t xml:space="preserve"> del progetto dei pagamenti elettronici pagoPA, repository che contengono il codice e gli strumenti per  integrare con la piattaforma pagoPA. Al suo interno sono disponibili gli yaml, i WSDL e gli XSD.</w:t>
            </w:r>
          </w:p>
          <w:p>
            <w:pPr>
              <w:pStyle w:val="BodyText"/>
              <w:snapToGrid w:val="false"/>
              <w:ind w:start="0"/>
              <w:rPr/>
            </w:pPr>
            <w:r>
              <w:rPr/>
              <w:t>Le informazioni presenti nel repository sono la parte di documentazione più affidabile ed aggiornata della piattaforma pagoPA</w:t>
            </w:r>
          </w:p>
          <w:p>
            <w:pPr>
              <w:pStyle w:val="BodyText"/>
              <w:snapToGrid w:val="false"/>
              <w:ind w:start="0"/>
              <w:rPr/>
            </w:pPr>
            <w:hyperlink r:id="rId11">
              <w:r>
                <w:rPr>
                  <w:rStyle w:val="Hyperlink"/>
                </w:rPr>
                <w:t>https://github.com/pagopa/pagopa-api</w:t>
              </w:r>
            </w:hyperlink>
          </w:p>
          <w:p>
            <w:pPr>
              <w:pStyle w:val="BodyText"/>
              <w:snapToGrid w:val="false"/>
              <w:spacing w:before="0" w:after="120"/>
              <w:ind w:start="0"/>
              <w:rPr/>
            </w:pPr>
            <w:hyperlink r:id="rId12">
              <w:r>
                <w:rPr>
                  <w:rStyle w:val="Hyperlink"/>
                </w:rPr>
                <w:t>https://github.com/pagopa/pagopa-api/blob/master/openapi/fdr_organization.yaml</w:t>
              </w:r>
            </w:hyperlink>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pPr>
            <w:r>
              <w:rPr>
                <w:rFonts w:cs="Calibri" w:cstheme="minorHAnsi"/>
              </w:rPr>
              <w:t>PIEMONTE PAY</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Normal"/>
              <w:rPr>
                <w:rFonts w:cs="Calibri" w:cstheme="minorHAnsi"/>
              </w:rPr>
            </w:pPr>
            <w:r>
              <w:rPr>
                <w:rFonts w:cs="Calibri" w:cstheme="minorHAnsi"/>
              </w:rPr>
              <w:t>PiemontePAY è la declinazione piemontese del </w:t>
            </w:r>
            <w:hyperlink r:id="rId13" w:tgtFrame="_blank">
              <w:r>
                <w:rPr>
                  <w:rStyle w:val="Style"/>
                  <w:rFonts w:cs="Calibri" w:cstheme="minorHAnsi"/>
                </w:rPr>
                <w:t>progetto nazionale pagoPA</w:t>
              </w:r>
            </w:hyperlink>
            <w:r>
              <w:rPr>
                <w:rFonts w:cs="Calibri" w:cstheme="minorHAnsi"/>
              </w:rPr>
              <w:t>, la soluzione regionale dei pagamenti telematici PiemontePAY si compone di tre moduli:</w:t>
            </w:r>
          </w:p>
          <w:p>
            <w:pPr>
              <w:pStyle w:val="ListParagraph"/>
              <w:widowControl/>
              <w:numPr>
                <w:ilvl w:val="0"/>
                <w:numId w:val="7"/>
              </w:numPr>
              <w:suppressAutoHyphens w:val="false"/>
              <w:spacing w:lineRule="auto" w:line="240"/>
              <w:rPr>
                <w:rFonts w:cs="Calibri" w:cstheme="minorHAnsi"/>
              </w:rPr>
            </w:pPr>
            <w:r>
              <w:rPr>
                <w:rFonts w:cs="Calibri" w:cstheme="minorHAnsi"/>
              </w:rPr>
              <w:t>Piattaforma tecnologica per l'interconnessione e l'interoperabilità tra REGIONE, Ente Pubblico e Nodo dei Pagamenti-SPC (MDPNEW);</w:t>
            </w:r>
          </w:p>
          <w:p>
            <w:pPr>
              <w:pStyle w:val="ListParagraph"/>
              <w:widowControl/>
              <w:numPr>
                <w:ilvl w:val="0"/>
                <w:numId w:val="7"/>
              </w:numPr>
              <w:suppressAutoHyphens w:val="false"/>
              <w:spacing w:lineRule="auto" w:line="240"/>
              <w:rPr>
                <w:rFonts w:cs="Calibri" w:cstheme="minorHAnsi"/>
              </w:rPr>
            </w:pPr>
            <w:r>
              <w:rPr>
                <w:rFonts w:cs="Calibri" w:cstheme="minorHAnsi"/>
              </w:rPr>
              <w:t>Portale rivolto al il cittadino/impresa per effettuare i pagamenti e consultarne l’esito (Sportello);</w:t>
            </w:r>
          </w:p>
          <w:p>
            <w:pPr>
              <w:pStyle w:val="BodyText"/>
              <w:numPr>
                <w:ilvl w:val="0"/>
                <w:numId w:val="7"/>
              </w:numPr>
              <w:snapToGrid w:val="false"/>
              <w:spacing w:before="0" w:after="120"/>
              <w:rPr>
                <w:rFonts w:cs="" w:cstheme="minorBidi"/>
              </w:rPr>
            </w:pPr>
            <w:r>
              <w:rPr>
                <w:rFonts w:cs="" w:cstheme="minorBidi"/>
              </w:rPr>
              <w:t>Portale rivolto all’ente Creditore, su cui gli utenti della PA possono caricare/scaricare le liste delle posizioni debitorie, e monitorare i pagamenti (PEC).</w:t>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bCs/>
                <w:sz w:val="18"/>
              </w:rPr>
            </w:pPr>
            <w:r>
              <w:rPr>
                <w:rFonts w:cs="Calibri" w:cstheme="minorHAnsi"/>
              </w:rPr>
              <w:t>MOTORE DEI PAGAMENTI (MDPNEW)</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Normal"/>
              <w:rPr>
                <w:rFonts w:cs="Calibri" w:cstheme="minorHAnsi"/>
              </w:rPr>
            </w:pPr>
            <w:r>
              <w:rPr>
                <w:rFonts w:cs="Calibri" w:cstheme="minorHAnsi"/>
              </w:rPr>
              <w:t>Piattaforma centralizzata di supporto alle applicazioni nella gestione di servizi di pagamento da/verso gli enti della pubblica amministrazione piemontese e la piattaforma nazionale pagoPA.  Permette alle applicazioni fruitrici di gestire i pagamenti indipendente dalla piattaforma di e-commerce utilizzata</w:t>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rFonts w:cs="Calibri" w:cstheme="minorHAnsi"/>
              </w:rPr>
            </w:pPr>
            <w:r>
              <w:rPr>
                <w:bCs/>
                <w:sz w:val="18"/>
              </w:rPr>
              <w:t>Sportello del cittadino</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Normal"/>
              <w:rPr>
                <w:rFonts w:cs="Calibri" w:cstheme="minorHAnsi"/>
              </w:rPr>
            </w:pPr>
            <w:r>
              <w:rPr>
                <w:rFonts w:cs="Calibri" w:cstheme="minorHAnsi"/>
              </w:rPr>
              <w:t xml:space="preserve">Portale rivolto al il cittadino/impresa per effettuare i pagamenti e consultarne l’esito. </w:t>
            </w:r>
          </w:p>
          <w:p>
            <w:pPr>
              <w:pStyle w:val="Normal"/>
              <w:rPr>
                <w:rFonts w:cs="Calibri" w:cstheme="minorHAnsi"/>
              </w:rPr>
            </w:pPr>
            <w:r>
              <w:rPr>
                <w:rFonts w:cs="Calibri" w:cstheme="minorHAnsi"/>
              </w:rPr>
            </w:r>
          </w:p>
          <w:p>
            <w:pPr>
              <w:pStyle w:val="BodyText"/>
              <w:snapToGrid w:val="false"/>
              <w:ind w:start="0"/>
              <w:rPr>
                <w:rStyle w:val="Hyperlink"/>
              </w:rPr>
            </w:pPr>
            <w:hyperlink r:id="rId14">
              <w:r>
                <w:rPr>
                  <w:rStyle w:val="Hyperlink"/>
                </w:rPr>
                <w:t>https://pay.sistemapiemonte.it/epayweb/</w:t>
              </w:r>
            </w:hyperlink>
          </w:p>
          <w:p>
            <w:pPr>
              <w:pStyle w:val="Normal"/>
              <w:rPr/>
            </w:pPr>
            <w:hyperlink r:id="rId15">
              <w:r>
                <w:rPr>
                  <w:rStyle w:val="Hyperlink"/>
                </w:rPr>
                <w:t>https://servizi.regione.piemonte.it/catalogo/portale-dei-pagamenti</w:t>
              </w:r>
            </w:hyperlink>
          </w:p>
          <w:p>
            <w:pPr>
              <w:pStyle w:val="Normal"/>
              <w:rPr/>
            </w:pPr>
            <w:r>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bCs/>
                <w:sz w:val="18"/>
              </w:rPr>
            </w:pPr>
            <w:r>
              <w:rPr>
                <w:rFonts w:cs="Calibri" w:cstheme="minorHAnsi"/>
              </w:rPr>
              <w:t>Portale dell’Ente Creditore</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28"/>
              <w:jc w:val="both"/>
              <w:rPr>
                <w:rFonts w:cs="Calibri" w:cstheme="minorHAnsi"/>
              </w:rPr>
            </w:pPr>
            <w:r>
              <w:rPr>
                <w:rFonts w:cs="Calibri" w:cstheme="minorHAnsi"/>
              </w:rPr>
              <w:t>Portale rivolto all’ente Creditore, su cui gli utenti della PA possono gestire le posizioni debitorie, monitorare i pagamenti, configurare i codici versamento</w:t>
            </w:r>
          </w:p>
          <w:p>
            <w:pPr>
              <w:pStyle w:val="BodyText"/>
              <w:snapToGrid w:val="false"/>
              <w:ind w:start="0"/>
              <w:rPr>
                <w:rStyle w:val="Hyperlink"/>
              </w:rPr>
            </w:pPr>
            <w:hyperlink r:id="rId16">
              <w:r>
                <w:rPr>
                  <w:rStyle w:val="Hyperlink"/>
                </w:rPr>
                <w:t>https://pay.sistemapiemonte.it/epaypaweb/</w:t>
              </w:r>
            </w:hyperlink>
          </w:p>
          <w:p>
            <w:pPr>
              <w:pStyle w:val="Normal"/>
              <w:rPr/>
            </w:pPr>
            <w:hyperlink r:id="rId17">
              <w:r>
                <w:rPr>
                  <w:rStyle w:val="Hyperlink"/>
                </w:rPr>
                <w:t>https://servizi.regione.piemonte.it/catalogo/portale-dellente-creditore</w:t>
              </w:r>
            </w:hyperlink>
          </w:p>
          <w:p>
            <w:pPr>
              <w:pStyle w:val="Normal"/>
              <w:rPr>
                <w:rFonts w:cs="Calibri" w:cstheme="minorHAnsi"/>
              </w:rPr>
            </w:pPr>
            <w:r>
              <w:rPr>
                <w:rFonts w:cs="Calibri" w:cstheme="minorHAnsi"/>
              </w:rPr>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rFonts w:cs="Calibri" w:cstheme="minorHAnsi"/>
              </w:rPr>
            </w:pPr>
            <w:r>
              <w:rPr>
                <w:rFonts w:cs="Calibri" w:cstheme="minorHAnsi"/>
              </w:rPr>
              <w:t>Documentazione piattaforma PiemontePay</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ind w:start="28"/>
              <w:jc w:val="both"/>
              <w:rPr>
                <w:rFonts w:cs="Calibri" w:cstheme="minorHAnsi"/>
              </w:rPr>
            </w:pPr>
            <w:r>
              <w:rPr>
                <w:rFonts w:cs="Calibri" w:cstheme="minorHAnsi"/>
              </w:rPr>
              <w:t>Documentazione dei servizi di integrazione con la piattaforma PiemontePay</w:t>
            </w:r>
          </w:p>
          <w:p>
            <w:pPr>
              <w:pStyle w:val="BodyText"/>
              <w:snapToGrid w:val="false"/>
              <w:ind w:start="28"/>
              <w:jc w:val="both"/>
              <w:rPr>
                <w:rFonts w:cs="Calibri" w:cstheme="minorHAnsi"/>
              </w:rPr>
            </w:pPr>
            <w:hyperlink r:id="rId18">
              <w:r>
                <w:rPr>
                  <w:rStyle w:val="Hyperlink"/>
                  <w:rFonts w:cs="Calibri" w:cstheme="minorHAnsi"/>
                </w:rPr>
                <w:t>https://www.servizi.piemonte.it/srv/piemontepay/documentazione-fornitori.shtml</w:t>
              </w:r>
            </w:hyperlink>
          </w:p>
          <w:p>
            <w:pPr>
              <w:pStyle w:val="BodyText"/>
              <w:snapToGrid w:val="false"/>
              <w:spacing w:before="0" w:after="120"/>
              <w:ind w:start="28"/>
              <w:jc w:val="both"/>
              <w:rPr>
                <w:rFonts w:cs="Calibri" w:cstheme="minorHAnsi"/>
              </w:rPr>
            </w:pPr>
            <w:r>
              <w:rPr>
                <w:rFonts w:cs="Calibri" w:cstheme="minorHAnsi"/>
              </w:rPr>
              <w:t>Integrazione applicazioni con MDPNEW-SPC_V22.pdf</w:t>
            </w:r>
          </w:p>
        </w:tc>
      </w:tr>
      <w:tr>
        <w:trPr/>
        <w:tc>
          <w:tcPr>
            <w:tcW w:w="737" w:type="dxa"/>
            <w:tcBorders>
              <w:top w:val="single" w:sz="4" w:space="0" w:color="000000"/>
              <w:start w:val="single" w:sz="4" w:space="0" w:color="000000"/>
              <w:bottom w:val="single" w:sz="4" w:space="0" w:color="000000"/>
            </w:tcBorders>
          </w:tcPr>
          <w:p>
            <w:pPr>
              <w:pStyle w:val="BodyText"/>
              <w:numPr>
                <w:ilvl w:val="0"/>
                <w:numId w:val="6"/>
              </w:numPr>
              <w:snapToGrid w:val="false"/>
              <w:spacing w:before="0" w:after="120"/>
              <w:ind w:hanging="360" w:start="459"/>
              <w:rPr>
                <w:b/>
                <w:bCs/>
                <w:sz w:val="18"/>
              </w:rPr>
            </w:pPr>
            <w:r>
              <w:rPr>
                <w:b/>
                <w:bCs/>
                <w:sz w:val="18"/>
              </w:rPr>
            </w:r>
          </w:p>
        </w:tc>
        <w:tc>
          <w:tcPr>
            <w:tcW w:w="3827" w:type="dxa"/>
            <w:tcBorders>
              <w:top w:val="single" w:sz="4" w:space="0" w:color="000000"/>
              <w:start w:val="single" w:sz="4" w:space="0" w:color="000000"/>
              <w:bottom w:val="single" w:sz="4" w:space="0" w:color="000000"/>
            </w:tcBorders>
          </w:tcPr>
          <w:p>
            <w:pPr>
              <w:pStyle w:val="BodyText"/>
              <w:snapToGrid w:val="false"/>
              <w:spacing w:before="0" w:after="120"/>
              <w:ind w:start="0"/>
              <w:rPr>
                <w:rFonts w:cs="Calibri" w:cstheme="minorHAnsi"/>
              </w:rPr>
            </w:pPr>
            <w:r>
              <w:rPr>
                <w:rFonts w:cs="Calibri" w:cstheme="minorHAnsi"/>
              </w:rPr>
              <w:t>Subscription-key FdR</w:t>
            </w:r>
          </w:p>
        </w:tc>
        <w:tc>
          <w:tcPr>
            <w:tcW w:w="4811" w:type="dxa"/>
            <w:gridSpan w:val="2"/>
            <w:tcBorders>
              <w:top w:val="single" w:sz="4" w:space="0" w:color="000000"/>
              <w:start w:val="single" w:sz="4" w:space="0" w:color="000000"/>
              <w:bottom w:val="single" w:sz="4" w:space="0" w:color="000000"/>
              <w:end w:val="single" w:sz="4" w:space="0" w:color="000000"/>
            </w:tcBorders>
          </w:tcPr>
          <w:p>
            <w:pPr>
              <w:pStyle w:val="BodyText"/>
              <w:snapToGrid w:val="false"/>
              <w:spacing w:before="0" w:after="120"/>
              <w:ind w:start="28"/>
              <w:jc w:val="both"/>
              <w:rPr>
                <w:rFonts w:cs="Calibri" w:cstheme="minorHAnsi"/>
              </w:rPr>
            </w:pPr>
            <w:r>
              <w:rPr>
                <w:rFonts w:cs="Calibri" w:cstheme="minorHAnsi"/>
              </w:rPr>
              <w:t>E’ la chiave che permette l'accesso determinate risorse (APIs), deve essere generata dal committente (CSI-Piemonte) ed è specifica per ogni ambiente operativo.</w:t>
            </w:r>
          </w:p>
        </w:tc>
      </w:tr>
    </w:tbl>
    <w:p>
      <w:pPr>
        <w:pStyle w:val="Normal"/>
        <w:rPr/>
      </w:pPr>
      <w:r>
        <w:rPr/>
      </w:r>
      <w:bookmarkStart w:id="11" w:name="_Toc447619337"/>
      <w:bookmarkStart w:id="12" w:name="_Toc447619337"/>
      <w:bookmarkEnd w:id="12"/>
    </w:p>
    <w:p>
      <w:pPr>
        <w:pStyle w:val="Heading2"/>
        <w:rPr/>
      </w:pPr>
      <w:bookmarkStart w:id="13" w:name="_Toc218761246"/>
      <w:bookmarkStart w:id="14" w:name="_Toc212738160"/>
      <w:r>
        <w:rPr/>
        <w:t>Glossario acronimi e abbreviazioni</w:t>
      </w:r>
      <w:bookmarkEnd w:id="13"/>
      <w:bookmarkEnd w:id="14"/>
      <w:r>
        <w:rPr/>
        <w:t xml:space="preserve"> </w:t>
      </w:r>
    </w:p>
    <w:p>
      <w:pPr>
        <w:pStyle w:val="Normal"/>
        <w:rPr/>
      </w:pPr>
      <w:r>
        <w:rPr/>
      </w:r>
    </w:p>
    <w:tbl>
      <w:tblPr>
        <w:tblStyle w:val="Grigliatabella"/>
        <w:tblW w:w="935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89"/>
        <w:gridCol w:w="6662"/>
      </w:tblGrid>
      <w:tr>
        <w:trPr/>
        <w:tc>
          <w:tcPr>
            <w:tcW w:w="2689" w:type="dxa"/>
            <w:tcBorders/>
          </w:tcPr>
          <w:p>
            <w:pPr>
              <w:pStyle w:val="Normal"/>
              <w:snapToGrid w:val="false"/>
              <w:spacing w:before="0" w:after="0"/>
              <w:jc w:val="start"/>
              <w:rPr>
                <w:b/>
                <w:bCs/>
                <w:sz w:val="18"/>
              </w:rPr>
            </w:pPr>
            <w:r>
              <w:rPr>
                <w:rFonts w:eastAsia="Times New Roman" w:cs="Times New Roman"/>
                <w:b/>
                <w:bCs/>
                <w:kern w:val="0"/>
                <w:sz w:val="18"/>
                <w:szCs w:val="20"/>
                <w:lang w:val="it-IT" w:bidi="ar-SA"/>
              </w:rPr>
              <w:t>Acronimo / Abbreviazione</w:t>
            </w:r>
          </w:p>
        </w:tc>
        <w:tc>
          <w:tcPr>
            <w:tcW w:w="6662" w:type="dxa"/>
            <w:tcBorders/>
          </w:tcPr>
          <w:p>
            <w:pPr>
              <w:pStyle w:val="Normal"/>
              <w:snapToGrid w:val="false"/>
              <w:spacing w:before="0" w:after="0"/>
              <w:jc w:val="start"/>
              <w:rPr>
                <w:b/>
                <w:bCs/>
                <w:sz w:val="18"/>
              </w:rPr>
            </w:pPr>
            <w:r>
              <w:rPr>
                <w:rFonts w:eastAsia="Times New Roman" w:cs="Times New Roman"/>
                <w:b/>
                <w:bCs/>
                <w:kern w:val="0"/>
                <w:sz w:val="18"/>
                <w:szCs w:val="20"/>
                <w:lang w:val="it-IT" w:bidi="ar-SA"/>
              </w:rPr>
              <w:t>Definizione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COV</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Codice versamento del Catalogo delle Entrate di un Ente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CSI</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Consorzio per il Sistema Informativo - Piemonte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DB</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Database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IUV</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Identificativo Univoco di Versamento</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MDP</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Motore dei Pagamenti</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MDPNEW</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Motore dei Pagamenti</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PEC</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Portale Ente Creditore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PPAY</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Sistema PiemontePAY</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RF</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Riferimento Contabile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EC</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Ente Creditore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WS</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Web Services</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FdR</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Flusso di rendicontazione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 xml:space="preserve">MUT </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Manuale utente</w:t>
            </w:r>
          </w:p>
        </w:tc>
      </w:tr>
      <w:tr>
        <w:trPr/>
        <w:tc>
          <w:tcPr>
            <w:tcW w:w="2689"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IT</w:t>
            </w:r>
          </w:p>
        </w:tc>
        <w:tc>
          <w:tcPr>
            <w:tcW w:w="6662" w:type="dxa"/>
            <w:tcBorders/>
          </w:tcPr>
          <w:p>
            <w:pPr>
              <w:pStyle w:val="Normal"/>
              <w:spacing w:before="0" w:after="0"/>
              <w:jc w:val="start"/>
              <w:rPr>
                <w:rFonts w:ascii="Times New Roman" w:hAnsi="Times New Roman" w:eastAsia="Times New Roman" w:cs="Times New Roman"/>
                <w:kern w:val="0"/>
                <w:sz w:val="20"/>
                <w:szCs w:val="20"/>
                <w:lang w:val="it-IT" w:bidi="ar-SA"/>
              </w:rPr>
            </w:pPr>
            <w:r>
              <w:rPr>
                <w:rFonts w:eastAsia="Times New Roman" w:cs="Times New Roman"/>
                <w:kern w:val="0"/>
                <w:sz w:val="20"/>
                <w:szCs w:val="20"/>
                <w:lang w:val="it-IT" w:bidi="ar-SA"/>
              </w:rPr>
              <w:t>Intermediario Tecnologico</w:t>
            </w:r>
          </w:p>
        </w:tc>
      </w:tr>
    </w:tbl>
    <w:p>
      <w:pPr>
        <w:pStyle w:val="Heading2"/>
        <w:rPr/>
      </w:pPr>
      <w:bookmarkStart w:id="15" w:name="_Toc218761247"/>
      <w:r>
        <w:rPr/>
        <w:t>Modalità della fornitura</w:t>
      </w:r>
      <w:bookmarkEnd w:id="15"/>
    </w:p>
    <w:p>
      <w:pPr>
        <w:pStyle w:val="Normal"/>
        <w:jc w:val="both"/>
        <w:rPr>
          <w:sz w:val="24"/>
          <w:szCs w:val="24"/>
          <w:highlight w:val="yellow"/>
        </w:rPr>
      </w:pPr>
      <w:r>
        <w:rPr>
          <w:sz w:val="24"/>
          <w:szCs w:val="24"/>
        </w:rPr>
        <w:t>La fornitura richiesta avviene nell’ambito del Contratto:</w:t>
      </w:r>
    </w:p>
    <w:p>
      <w:pPr>
        <w:pStyle w:val="Normal"/>
        <w:jc w:val="both"/>
        <w:rPr>
          <w:rStyle w:val="normaltextrun"/>
          <w:b/>
          <w:bCs/>
          <w:smallCaps/>
          <w:sz w:val="24"/>
          <w:szCs w:val="24"/>
        </w:rPr>
      </w:pPr>
      <w:r>
        <w:rPr>
          <w:b/>
          <w:bCs/>
          <w:smallCaps/>
          <w:sz w:val="24"/>
          <w:szCs w:val="24"/>
        </w:rPr>
      </w:r>
    </w:p>
    <w:p>
      <w:pPr>
        <w:pStyle w:val="Normal"/>
        <w:jc w:val="both"/>
        <w:rPr>
          <w:caps/>
          <w:sz w:val="24"/>
          <w:szCs w:val="24"/>
          <w:lang w:eastAsia="it-IT"/>
        </w:rPr>
      </w:pPr>
      <w:r>
        <w:rPr>
          <w:rStyle w:val="normaltextrun"/>
          <w:b/>
          <w:bCs/>
          <w:smallCaps/>
          <w:sz w:val="24"/>
          <w:szCs w:val="24"/>
        </w:rPr>
        <w:t>Id _provvedimento</w:t>
      </w:r>
      <w:r>
        <w:rPr>
          <w:rStyle w:val="normaltextrun"/>
          <w:bCs/>
          <w:smallCaps/>
          <w:sz w:val="24"/>
          <w:szCs w:val="24"/>
        </w:rPr>
        <w:t>: GA23_011 L1</w:t>
      </w:r>
      <w:r>
        <w:rPr>
          <w:rStyle w:val="eop"/>
          <w:bCs/>
          <w:caps/>
          <w:sz w:val="24"/>
          <w:szCs w:val="24"/>
        </w:rPr>
        <w:t> </w:t>
      </w:r>
    </w:p>
    <w:p>
      <w:pPr>
        <w:pStyle w:val="Normal"/>
        <w:jc w:val="both"/>
        <w:rPr>
          <w:rStyle w:val="normaltextrun"/>
          <w:bCs/>
          <w:smallCaps/>
          <w:sz w:val="24"/>
          <w:szCs w:val="24"/>
        </w:rPr>
      </w:pPr>
      <w:r>
        <w:rPr>
          <w:rStyle w:val="normaltextrun"/>
          <w:b/>
          <w:bCs/>
          <w:smallCaps/>
          <w:sz w:val="24"/>
          <w:szCs w:val="24"/>
        </w:rPr>
        <w:t>Oggetto</w:t>
      </w:r>
      <w:r>
        <w:rPr>
          <w:rStyle w:val="normaltextrun"/>
          <w:bCs/>
          <w:smallCaps/>
          <w:sz w:val="24"/>
          <w:szCs w:val="24"/>
        </w:rPr>
        <w:t>: Accordo Quadro per l’acquisizione di servizi informatici su tecnologie e metodiche ad alta specializzazione servizi informatici di sviluppo, manutenzione e gestione della Piattaforma Pagamenti Elettronici</w:t>
      </w:r>
    </w:p>
    <w:p>
      <w:pPr>
        <w:pStyle w:val="Normal"/>
        <w:jc w:val="both"/>
        <w:rPr>
          <w:caps/>
          <w:sz w:val="24"/>
          <w:szCs w:val="24"/>
        </w:rPr>
      </w:pPr>
      <w:r>
        <w:rPr>
          <w:rStyle w:val="normaltextrun"/>
          <w:b/>
          <w:bCs/>
          <w:smallCaps/>
          <w:sz w:val="24"/>
          <w:szCs w:val="24"/>
        </w:rPr>
        <w:t>cig</w:t>
      </w:r>
      <w:r>
        <w:rPr>
          <w:rStyle w:val="normaltextrun"/>
          <w:bCs/>
          <w:smallCaps/>
          <w:sz w:val="24"/>
          <w:szCs w:val="24"/>
        </w:rPr>
        <w:t>: </w:t>
      </w:r>
      <w:r>
        <w:rPr>
          <w:bCs/>
          <w:smallCaps/>
          <w:sz w:val="24"/>
          <w:szCs w:val="24"/>
        </w:rPr>
        <w:t>B254EA636B</w:t>
      </w:r>
    </w:p>
    <w:p>
      <w:pPr>
        <w:pStyle w:val="Normal"/>
        <w:jc w:val="both"/>
        <w:rPr>
          <w:caps/>
          <w:sz w:val="24"/>
          <w:szCs w:val="24"/>
        </w:rPr>
      </w:pPr>
      <w:r>
        <w:rPr>
          <w:rStyle w:val="normaltextrun"/>
          <w:b/>
          <w:bCs/>
          <w:smallCaps/>
          <w:sz w:val="24"/>
          <w:szCs w:val="24"/>
        </w:rPr>
        <w:t>Ordine di acquisto</w:t>
      </w:r>
      <w:r>
        <w:rPr>
          <w:rStyle w:val="normaltextrun"/>
          <w:bCs/>
          <w:smallCaps/>
          <w:sz w:val="24"/>
          <w:szCs w:val="24"/>
        </w:rPr>
        <w:t xml:space="preserve">: </w:t>
      </w:r>
      <w:r>
        <w:rPr>
          <w:bCs/>
          <w:smallCaps/>
          <w:sz w:val="24"/>
          <w:szCs w:val="24"/>
        </w:rPr>
        <w:t>2025000355</w:t>
      </w:r>
    </w:p>
    <w:p>
      <w:pPr>
        <w:pStyle w:val="Normal"/>
        <w:jc w:val="both"/>
        <w:rPr>
          <w:sz w:val="24"/>
          <w:szCs w:val="24"/>
        </w:rPr>
      </w:pPr>
      <w:r>
        <w:rPr>
          <w:sz w:val="24"/>
          <w:szCs w:val="24"/>
        </w:rPr>
      </w:r>
    </w:p>
    <w:p>
      <w:pPr>
        <w:pStyle w:val="Normal"/>
        <w:jc w:val="both"/>
        <w:rPr>
          <w:sz w:val="24"/>
          <w:szCs w:val="24"/>
        </w:rPr>
      </w:pPr>
      <w:r>
        <w:rPr>
          <w:sz w:val="24"/>
          <w:szCs w:val="24"/>
        </w:rPr>
        <w:t>Nell’ambito del contratto sopra citato si richiede la definizione, progettazione ed analisi dei requisiti funzionali di evoluzione di seguito espressi.</w:t>
      </w:r>
    </w:p>
    <w:p>
      <w:pPr>
        <w:pStyle w:val="Normal"/>
        <w:jc w:val="both"/>
        <w:rPr>
          <w:sz w:val="24"/>
          <w:szCs w:val="24"/>
        </w:rPr>
      </w:pPr>
      <w:r>
        <w:rPr>
          <w:sz w:val="24"/>
          <w:szCs w:val="24"/>
        </w:rPr>
        <w:t>Si richiamano anche i requisiti minimi di progettazione elencati nell’ambito del progetto specifico di PiemontePAY: vedi documento in allegato:</w:t>
      </w:r>
    </w:p>
    <w:p>
      <w:pPr>
        <w:pStyle w:val="Normal"/>
        <w:jc w:val="both"/>
        <w:rPr>
          <w:sz w:val="24"/>
          <w:szCs w:val="24"/>
        </w:rPr>
      </w:pPr>
      <w:r>
        <w:rPr>
          <w:sz w:val="24"/>
          <w:szCs w:val="24"/>
        </w:rPr>
        <w:t>GA23-011-L1-AllegatoRequisitiDiProgettazione-V1.doc</w:t>
      </w:r>
    </w:p>
    <w:p>
      <w:pPr>
        <w:pStyle w:val="Normal"/>
        <w:jc w:val="both"/>
        <w:rPr>
          <w:sz w:val="24"/>
          <w:szCs w:val="24"/>
        </w:rPr>
      </w:pPr>
      <w:r>
        <w:rPr>
          <w:sz w:val="24"/>
          <w:szCs w:val="24"/>
        </w:rPr>
        <w:tab/>
      </w:r>
    </w:p>
    <w:p>
      <w:pPr>
        <w:pStyle w:val="Normal"/>
        <w:jc w:val="both"/>
        <w:rPr>
          <w:sz w:val="24"/>
          <w:szCs w:val="24"/>
        </w:rPr>
      </w:pPr>
      <w:r>
        <w:rPr>
          <w:sz w:val="24"/>
          <w:szCs w:val="24"/>
        </w:rPr>
        <w:t>Si richiede la consegna di tutti i prodotti della fornitura di natura documentale ed in particolare è richiesto anche l’aggiornamento dei manuali interessati (Manuale Ente, Utente, Fornitore, Yaml, altro).</w:t>
      </w:r>
    </w:p>
    <w:p>
      <w:pPr>
        <w:pStyle w:val="Normal"/>
        <w:jc w:val="both"/>
        <w:rPr>
          <w:sz w:val="24"/>
          <w:szCs w:val="24"/>
        </w:rPr>
      </w:pPr>
      <w:r>
        <w:rPr>
          <w:sz w:val="24"/>
          <w:szCs w:val="24"/>
        </w:rPr>
      </w:r>
    </w:p>
    <w:p>
      <w:pPr>
        <w:pStyle w:val="Normal"/>
        <w:jc w:val="both"/>
        <w:rPr>
          <w:sz w:val="24"/>
          <w:szCs w:val="24"/>
        </w:rPr>
      </w:pPr>
      <w:r>
        <w:rPr>
          <w:sz w:val="24"/>
          <w:szCs w:val="24"/>
        </w:rPr>
        <w:t>Si precisa che ogni intervento dovrà essere autorizzato ed accettato previa stima di dettaglio.</w:t>
      </w:r>
    </w:p>
    <w:p>
      <w:pPr>
        <w:pStyle w:val="Normal"/>
        <w:jc w:val="both"/>
        <w:rPr>
          <w:sz w:val="24"/>
          <w:szCs w:val="24"/>
        </w:rPr>
      </w:pPr>
      <w:r>
        <w:rPr>
          <w:sz w:val="24"/>
          <w:szCs w:val="24"/>
        </w:rPr>
        <w:t>Oltre alla stima complessiva delle attività, viene richiesta una stima di dettaglio per ogni evolutiva.</w:t>
      </w:r>
    </w:p>
    <w:p>
      <w:pPr>
        <w:pStyle w:val="Normal"/>
        <w:widowControl/>
        <w:suppressAutoHyphens w:val="false"/>
        <w:spacing w:lineRule="auto" w:line="240"/>
        <w:rPr/>
      </w:pPr>
      <w:r>
        <w:rPr/>
      </w:r>
      <w:r>
        <w:br w:type="page"/>
      </w:r>
    </w:p>
    <w:p>
      <w:pPr>
        <w:pStyle w:val="Heading1"/>
        <w:spacing w:before="0" w:after="60"/>
        <w:rPr/>
      </w:pPr>
      <w:bookmarkStart w:id="16" w:name="_Toc218761248"/>
      <w:r>
        <w:rPr/>
        <w:t>Architettura di Business</w:t>
      </w:r>
      <w:bookmarkEnd w:id="16"/>
    </w:p>
    <w:p>
      <w:pPr>
        <w:pStyle w:val="Heading2"/>
        <w:rPr>
          <w:sz w:val="24"/>
          <w:szCs w:val="24"/>
        </w:rPr>
      </w:pPr>
      <w:bookmarkStart w:id="17" w:name="_Toc218761249"/>
      <w:r>
        <w:rPr>
          <w:sz w:val="24"/>
          <w:szCs w:val="24"/>
        </w:rPr>
        <w:t>Beneficiari e Stakeholders di riferimento</w:t>
      </w:r>
      <w:bookmarkEnd w:id="17"/>
      <w:r>
        <w:rPr>
          <w:sz w:val="24"/>
          <w:szCs w:val="24"/>
        </w:rPr>
        <w:t xml:space="preserve"> </w:t>
      </w:r>
    </w:p>
    <w:p>
      <w:pPr>
        <w:pStyle w:val="Normal"/>
        <w:rPr>
          <w:sz w:val="24"/>
          <w:szCs w:val="24"/>
        </w:rPr>
      </w:pPr>
      <w:r>
        <w:rPr>
          <w:sz w:val="24"/>
          <w:szCs w:val="24"/>
        </w:rPr>
        <w:t>Beneficiari sono:</w:t>
      </w:r>
    </w:p>
    <w:p>
      <w:pPr>
        <w:pStyle w:val="Normal"/>
        <w:rPr>
          <w:sz w:val="24"/>
          <w:szCs w:val="24"/>
        </w:rPr>
      </w:pPr>
      <w:r>
        <w:rPr>
          <w:sz w:val="24"/>
          <w:szCs w:val="24"/>
        </w:rPr>
        <w:t>Privati – Cittadini e Imprese</w:t>
      </w:r>
    </w:p>
    <w:p>
      <w:pPr>
        <w:pStyle w:val="Normal"/>
        <w:rPr>
          <w:sz w:val="24"/>
          <w:szCs w:val="24"/>
        </w:rPr>
      </w:pPr>
      <w:r>
        <w:rPr>
          <w:sz w:val="24"/>
          <w:szCs w:val="24"/>
        </w:rPr>
        <w:t>Enti Intermediati per pagoPA- Pubbliche Amministrazioni e Privati convenzionati che erogano un pubblico servizio (rif. all’art. 2 del CAD D.Lgs. n. 82/2005)</w:t>
      </w:r>
    </w:p>
    <w:p>
      <w:pPr>
        <w:pStyle w:val="Normal"/>
        <w:rPr/>
      </w:pPr>
      <w:r>
        <w:rPr/>
      </w:r>
    </w:p>
    <w:tbl>
      <w:tblPr>
        <w:tblW w:w="9498"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3598"/>
        <w:gridCol w:w="3596"/>
        <w:gridCol w:w="2304"/>
      </w:tblGrid>
      <w:tr>
        <w:trPr>
          <w:trHeight w:val="247" w:hRule="atLeast"/>
        </w:trPr>
        <w:tc>
          <w:tcPr>
            <w:tcW w:w="3598" w:type="dxa"/>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Beneficiari</w:t>
            </w:r>
          </w:p>
        </w:tc>
        <w:tc>
          <w:tcPr>
            <w:tcW w:w="3596" w:type="dxa"/>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Capability</w:t>
            </w:r>
          </w:p>
        </w:tc>
        <w:tc>
          <w:tcPr>
            <w:tcW w:w="2304" w:type="dxa"/>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Servizio di Business</w:t>
            </w:r>
          </w:p>
        </w:tc>
      </w:tr>
      <w:tr>
        <w:trPr>
          <w:trHeight w:val="1249" w:hRule="atLeast"/>
        </w:trPr>
        <w:tc>
          <w:tcPr>
            <w:tcW w:w="35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Privati – Cittadini e Imprese</w:t>
            </w:r>
          </w:p>
        </w:tc>
        <w:tc>
          <w:tcPr>
            <w:tcW w:w="359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Accesso libero o Login</w:t>
            </w:r>
          </w:p>
        </w:tc>
        <w:tc>
          <w:tcPr>
            <w:tcW w:w="2304"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rFonts w:cs="Calibri" w:cstheme="minorHAnsi"/>
                <w:sz w:val="24"/>
                <w:szCs w:val="24"/>
              </w:rPr>
              <w:t>Persona fisica o giuridica che effettua un pagamento elettronico in favore di un Ente creditore attraverso pagoPA.</w:t>
            </w:r>
          </w:p>
        </w:tc>
      </w:tr>
      <w:tr>
        <w:trPr>
          <w:trHeight w:val="991" w:hRule="atLeast"/>
        </w:trPr>
        <w:tc>
          <w:tcPr>
            <w:tcW w:w="35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Enti- PA e Privati convenzionati</w:t>
            </w:r>
          </w:p>
        </w:tc>
        <w:tc>
          <w:tcPr>
            <w:tcW w:w="359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Credenziali Sistema Piemonte</w:t>
            </w:r>
          </w:p>
        </w:tc>
        <w:tc>
          <w:tcPr>
            <w:tcW w:w="2304" w:type="dxa"/>
            <w:tcBorders>
              <w:top w:val="single" w:sz="4" w:space="0" w:color="000000"/>
              <w:start w:val="single" w:sz="4" w:space="0" w:color="000000"/>
              <w:bottom w:val="single" w:sz="4" w:space="0" w:color="000000"/>
              <w:end w:val="single" w:sz="4" w:space="0" w:color="000000"/>
            </w:tcBorders>
          </w:tcPr>
          <w:p>
            <w:pPr>
              <w:pStyle w:val="Normal"/>
              <w:rPr>
                <w:rFonts w:cs="Calibri" w:cstheme="minorHAnsi"/>
                <w:sz w:val="24"/>
                <w:szCs w:val="24"/>
              </w:rPr>
            </w:pPr>
            <w:r>
              <w:rPr>
                <w:rFonts w:cs="Calibri" w:cstheme="minorHAnsi"/>
                <w:sz w:val="24"/>
                <w:szCs w:val="24"/>
              </w:rPr>
              <w:t>Persona giuridica abilitata alla ricezione dei flussi di pagamento</w:t>
            </w:r>
          </w:p>
        </w:tc>
      </w:tr>
    </w:tbl>
    <w:tbl>
      <w:tblPr>
        <w:tblpPr w:vertAnchor="text" w:horzAnchor="margin" w:leftFromText="141" w:rightFromText="141" w:tblpX="0" w:tblpY="323"/>
        <w:tblW w:w="9493" w:type="dxa"/>
        <w:jc w:val="start"/>
        <w:tblInd w:w="-5" w:type="dxa"/>
        <w:tblLayout w:type="fixed"/>
        <w:tblCellMar>
          <w:top w:w="0" w:type="dxa"/>
          <w:start w:w="108" w:type="dxa"/>
          <w:bottom w:w="0" w:type="dxa"/>
          <w:end w:w="108" w:type="dxa"/>
        </w:tblCellMar>
        <w:tblLook w:firstRow="1" w:noVBand="0" w:lastRow="0" w:firstColumn="0" w:lastColumn="0" w:noHBand="0" w:val="0020"/>
      </w:tblPr>
      <w:tblGrid>
        <w:gridCol w:w="3113"/>
        <w:gridCol w:w="3260"/>
        <w:gridCol w:w="3120"/>
      </w:tblGrid>
      <w:tr>
        <w:trPr>
          <w:trHeight w:val="317" w:hRule="atLeast"/>
        </w:trPr>
        <w:tc>
          <w:tcPr>
            <w:tcW w:w="3113" w:type="dxa"/>
            <w:tcBorders>
              <w:top w:val="single" w:sz="4" w:space="0" w:color="000000"/>
              <w:start w:val="single" w:sz="4" w:space="0" w:color="000000"/>
              <w:bottom w:val="single" w:sz="4" w:space="0" w:color="000000"/>
              <w:end w:val="single" w:sz="4" w:space="0" w:color="000000"/>
            </w:tcBorders>
            <w:vAlign w:val="center"/>
          </w:tcPr>
          <w:p>
            <w:pPr>
              <w:pStyle w:val="InfoBlue"/>
              <w:spacing w:before="0" w:after="120"/>
              <w:jc w:val="center"/>
              <w:rPr>
                <w:b/>
                <w:i w:val="false"/>
                <w:color w:val="auto"/>
                <w:sz w:val="24"/>
                <w:szCs w:val="24"/>
              </w:rPr>
            </w:pPr>
            <w:r>
              <w:rPr>
                <w:b/>
                <w:i w:val="false"/>
                <w:color w:val="auto"/>
                <w:sz w:val="24"/>
                <w:szCs w:val="24"/>
              </w:rPr>
              <w:t>Stakeholders</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InfoBlue"/>
              <w:spacing w:before="0" w:after="120"/>
              <w:jc w:val="center"/>
              <w:rPr>
                <w:b/>
                <w:i w:val="false"/>
                <w:color w:val="auto"/>
                <w:sz w:val="24"/>
                <w:szCs w:val="24"/>
              </w:rPr>
            </w:pPr>
            <w:r>
              <w:rPr>
                <w:b/>
                <w:i w:val="false"/>
                <w:color w:val="auto"/>
                <w:sz w:val="24"/>
                <w:szCs w:val="24"/>
              </w:rPr>
              <w:t>Bisogni principali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InfoBlue"/>
              <w:spacing w:before="0" w:after="120"/>
              <w:jc w:val="center"/>
              <w:rPr>
                <w:b/>
                <w:i w:val="false"/>
                <w:color w:val="auto"/>
                <w:sz w:val="24"/>
                <w:szCs w:val="24"/>
              </w:rPr>
            </w:pPr>
            <w:r>
              <w:rPr>
                <w:b/>
                <w:i w:val="false"/>
                <w:color w:val="auto"/>
                <w:sz w:val="24"/>
                <w:szCs w:val="24"/>
              </w:rPr>
              <w:t>Utilizzatore del sistema</w:t>
            </w:r>
          </w:p>
        </w:tc>
      </w:tr>
      <w:tr>
        <w:trPr>
          <w:trHeight w:val="597" w:hRule="atLeast"/>
        </w:trPr>
        <w:tc>
          <w:tcPr>
            <w:tcW w:w="3113" w:type="dxa"/>
            <w:tcBorders>
              <w:top w:val="single" w:sz="4" w:space="0" w:color="000000"/>
              <w:start w:val="single" w:sz="4" w:space="0" w:color="000000"/>
              <w:bottom w:val="single" w:sz="4" w:space="0" w:color="000000"/>
              <w:end w:val="single" w:sz="4" w:space="0" w:color="000000"/>
            </w:tcBorders>
            <w:vAlign w:val="center"/>
          </w:tcPr>
          <w:p>
            <w:pPr>
              <w:pStyle w:val="InfoBlue"/>
              <w:ind w:start="0"/>
              <w:jc w:val="both"/>
              <w:rPr>
                <w:i w:val="false"/>
                <w:color w:val="auto"/>
                <w:sz w:val="24"/>
                <w:szCs w:val="24"/>
              </w:rPr>
            </w:pPr>
            <w:r>
              <w:rPr>
                <w:i w:val="false"/>
                <w:color w:val="auto"/>
                <w:sz w:val="24"/>
                <w:szCs w:val="24"/>
              </w:rPr>
              <w:t xml:space="preserve">Privati (cittadini e imprese)  </w:t>
            </w:r>
          </w:p>
          <w:p>
            <w:pPr>
              <w:pStyle w:val="InfoBlue"/>
              <w:ind w:start="0"/>
              <w:rPr>
                <w:i w:val="false"/>
                <w:color w:val="auto"/>
                <w:sz w:val="24"/>
                <w:szCs w:val="24"/>
              </w:rPr>
            </w:pPr>
            <w:r>
              <w:rPr>
                <w:i w:val="false"/>
                <w:color w:val="auto"/>
                <w:sz w:val="24"/>
                <w:szCs w:val="24"/>
              </w:rPr>
              <w:t xml:space="preserve">ENTI Pubblici e Privati convenzionati  </w:t>
            </w:r>
          </w:p>
          <w:p>
            <w:pPr>
              <w:pStyle w:val="InfoBlue"/>
              <w:spacing w:before="0" w:after="120"/>
              <w:ind w:start="22"/>
              <w:rPr>
                <w:i w:val="false"/>
                <w:color w:val="auto"/>
                <w:sz w:val="24"/>
                <w:szCs w:val="24"/>
              </w:rPr>
            </w:pPr>
            <w:r>
              <w:rPr>
                <w:i w:val="false"/>
                <w:color w:val="auto"/>
                <w:sz w:val="24"/>
                <w:szCs w:val="24"/>
              </w:rPr>
              <w:t xml:space="preserve">Fornitori integrati con PiemontePAY e MDP  </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InfoBlue"/>
              <w:spacing w:before="0" w:after="120"/>
              <w:ind w:start="0"/>
              <w:jc w:val="both"/>
              <w:rPr>
                <w:i w:val="false"/>
                <w:color w:val="auto"/>
                <w:sz w:val="24"/>
                <w:szCs w:val="24"/>
              </w:rPr>
            </w:pPr>
            <w:r>
              <w:rPr>
                <w:i w:val="false"/>
                <w:color w:val="auto"/>
                <w:sz w:val="24"/>
                <w:szCs w:val="24"/>
              </w:rPr>
              <w:t>PiemontePAY e MDP: interventi migliorativi ed evolutivi</w:t>
            </w:r>
          </w:p>
        </w:tc>
        <w:tc>
          <w:tcPr>
            <w:tcW w:w="3120" w:type="dxa"/>
            <w:tcBorders>
              <w:top w:val="single" w:sz="4" w:space="0" w:color="000000"/>
              <w:start w:val="single" w:sz="4" w:space="0" w:color="000000"/>
              <w:bottom w:val="single" w:sz="4" w:space="0" w:color="000000"/>
              <w:end w:val="single" w:sz="4" w:space="0" w:color="000000"/>
            </w:tcBorders>
            <w:vAlign w:val="center"/>
          </w:tcPr>
          <w:p>
            <w:pPr>
              <w:pStyle w:val="InfoBlue"/>
              <w:ind w:start="0"/>
              <w:jc w:val="both"/>
              <w:rPr>
                <w:i w:val="false"/>
                <w:color w:val="auto"/>
                <w:sz w:val="24"/>
                <w:szCs w:val="24"/>
              </w:rPr>
            </w:pPr>
            <w:r>
              <w:rPr>
                <w:i w:val="false"/>
                <w:color w:val="auto"/>
                <w:sz w:val="24"/>
                <w:szCs w:val="24"/>
              </w:rPr>
              <w:t xml:space="preserve">Privati (cittadini e imprese)  </w:t>
            </w:r>
          </w:p>
          <w:p>
            <w:pPr>
              <w:pStyle w:val="InfoBlue"/>
              <w:ind w:start="0"/>
              <w:jc w:val="both"/>
              <w:rPr>
                <w:i w:val="false"/>
                <w:color w:val="auto"/>
                <w:sz w:val="24"/>
                <w:szCs w:val="24"/>
              </w:rPr>
            </w:pPr>
            <w:r>
              <w:rPr>
                <w:i w:val="false"/>
                <w:color w:val="auto"/>
                <w:sz w:val="24"/>
                <w:szCs w:val="24"/>
              </w:rPr>
              <w:t>Enti PA del territorio piemontese circa 200</w:t>
            </w:r>
          </w:p>
          <w:p>
            <w:pPr>
              <w:pStyle w:val="InfoBlue"/>
              <w:spacing w:before="0" w:after="120"/>
              <w:ind w:start="0"/>
              <w:jc w:val="both"/>
              <w:rPr/>
            </w:pPr>
            <w:r>
              <w:rPr>
                <w:i w:val="false"/>
                <w:color w:val="auto"/>
                <w:sz w:val="24"/>
                <w:szCs w:val="24"/>
              </w:rPr>
              <w:t>Fornitori terzi dei Sistemi Informativi delle PA e integrati con la piattaforma PiemontePay.</w:t>
            </w:r>
          </w:p>
        </w:tc>
      </w:tr>
    </w:tbl>
    <w:p>
      <w:pPr>
        <w:pStyle w:val="Heading2"/>
        <w:rPr>
          <w:sz w:val="24"/>
          <w:szCs w:val="24"/>
        </w:rPr>
      </w:pPr>
      <w:bookmarkStart w:id="18" w:name="_Toc218761250"/>
      <w:r/>
      <w:r>
        <w:rPr>
          <w:sz w:val="24"/>
          <w:szCs w:val="24"/>
        </w:rPr>
        <w:t>Processi di Business</w:t>
      </w:r>
      <w:bookmarkEnd w:id="18"/>
      <w:r>
        <w:rPr>
          <w:sz w:val="24"/>
          <w:szCs w:val="24"/>
        </w:rPr>
        <w:t xml:space="preserve"> </w:t>
      </w:r>
    </w:p>
    <w:p>
      <w:pPr>
        <w:pStyle w:val="Normal"/>
        <w:rPr/>
      </w:pPr>
      <w:r>
        <w:rPr/>
      </w:r>
    </w:p>
    <w:p>
      <w:pPr>
        <w:pStyle w:val="Normal"/>
        <w:jc w:val="both"/>
        <w:rPr>
          <w:sz w:val="24"/>
          <w:szCs w:val="24"/>
          <w:highlight w:val="yellow"/>
        </w:rPr>
      </w:pPr>
      <w:r>
        <w:rPr>
          <w:sz w:val="24"/>
          <w:szCs w:val="24"/>
        </w:rPr>
        <w:t>PiemontePAY è il sistema tecnico-organizzativo che supporta l’iniziativa della società ministeriale PagoPA s.p.a. volta a rendere disponibili gli strumenti abilitanti per i Pagamenti elettronici con pagoPA a tutte le amministrazioni/enti del territorio piemontese.</w:t>
      </w:r>
    </w:p>
    <w:p>
      <w:pPr>
        <w:pStyle w:val="Normal"/>
        <w:jc w:val="both"/>
        <w:rPr>
          <w:sz w:val="24"/>
          <w:szCs w:val="24"/>
        </w:rPr>
      </w:pPr>
      <w:bookmarkStart w:id="19" w:name="_Hlk212132816"/>
      <w:r>
        <w:rPr>
          <w:sz w:val="24"/>
          <w:szCs w:val="24"/>
        </w:rPr>
        <w:t>Il processo di business interessato da questa fornitura riguarda la gestione dei flussi base da parte di pagopa e si articola in diverse fasi:</w:t>
      </w:r>
    </w:p>
    <w:p>
      <w:pPr>
        <w:pStyle w:val="ListParagraph"/>
        <w:numPr>
          <w:ilvl w:val="0"/>
          <w:numId w:val="12"/>
        </w:numPr>
        <w:jc w:val="both"/>
        <w:rPr>
          <w:sz w:val="24"/>
          <w:szCs w:val="24"/>
        </w:rPr>
      </w:pPr>
      <w:bookmarkStart w:id="20" w:name="_Hlk212132839"/>
      <w:r>
        <w:rPr>
          <w:sz w:val="24"/>
          <w:szCs w:val="24"/>
        </w:rPr>
        <w:t>Acquisizione dei flussi base, messi a disposizione dai diversi PSP, relativi ai pagamenti effettuati tramite la piattaforma Pagopa</w:t>
      </w:r>
      <w:bookmarkEnd w:id="20"/>
    </w:p>
    <w:p>
      <w:pPr>
        <w:pStyle w:val="ListParagraph"/>
        <w:numPr>
          <w:ilvl w:val="0"/>
          <w:numId w:val="12"/>
        </w:numPr>
        <w:jc w:val="both"/>
        <w:rPr>
          <w:sz w:val="24"/>
          <w:szCs w:val="24"/>
        </w:rPr>
      </w:pPr>
      <w:r>
        <w:rPr>
          <w:sz w:val="24"/>
          <w:szCs w:val="24"/>
        </w:rPr>
        <w:t>Gestione interna dei flussi per l’elaborazione dei dati acquisiti e la loro integrazione con fonti informative aggiuntive</w:t>
      </w:r>
    </w:p>
    <w:p>
      <w:pPr>
        <w:pStyle w:val="ListParagraph"/>
        <w:numPr>
          <w:ilvl w:val="0"/>
          <w:numId w:val="12"/>
        </w:numPr>
        <w:jc w:val="both"/>
        <w:rPr>
          <w:sz w:val="24"/>
          <w:szCs w:val="24"/>
        </w:rPr>
      </w:pPr>
      <w:r>
        <w:rPr>
          <w:sz w:val="24"/>
          <w:szCs w:val="24"/>
        </w:rPr>
        <w:t xml:space="preserve">Produzione dei flussi in output in vari formati: </w:t>
      </w:r>
      <w:bookmarkStart w:id="21" w:name="_Hlk212132850"/>
      <w:r>
        <w:rPr>
          <w:sz w:val="24"/>
          <w:szCs w:val="24"/>
        </w:rPr>
        <w:t>flusso base , completo e riconciliato, messo a disposizione di tutti gli stakeholders che ne fanno richiesta</w:t>
      </w:r>
      <w:bookmarkEnd w:id="19"/>
      <w:bookmarkEnd w:id="21"/>
    </w:p>
    <w:p>
      <w:pPr>
        <w:pStyle w:val="Normal"/>
        <w:widowControl/>
        <w:suppressAutoHyphens w:val="false"/>
        <w:spacing w:lineRule="auto" w:line="240"/>
        <w:jc w:val="both"/>
        <w:rPr>
          <w:sz w:val="24"/>
          <w:szCs w:val="24"/>
        </w:rPr>
      </w:pPr>
      <w:r>
        <w:rPr>
          <w:sz w:val="24"/>
          <w:szCs w:val="24"/>
        </w:rPr>
      </w:r>
      <w:r>
        <w:br w:type="page"/>
      </w:r>
    </w:p>
    <w:p>
      <w:pPr>
        <w:pStyle w:val="Heading1"/>
        <w:spacing w:before="0" w:after="60"/>
        <w:rPr/>
      </w:pPr>
      <w:bookmarkStart w:id="22" w:name="_Toc218761251"/>
      <w:bookmarkStart w:id="23" w:name="_Toc212738165"/>
      <w:r>
        <w:rPr/>
        <w:t>Oggetto della fornitura</w:t>
      </w:r>
      <w:bookmarkEnd w:id="22"/>
      <w:bookmarkEnd w:id="23"/>
    </w:p>
    <w:p>
      <w:pPr>
        <w:pStyle w:val="Normal"/>
        <w:rPr/>
      </w:pPr>
      <w:r>
        <w:rPr/>
      </w:r>
    </w:p>
    <w:p>
      <w:pPr>
        <w:pStyle w:val="Normal"/>
        <w:rPr>
          <w:sz w:val="24"/>
          <w:szCs w:val="24"/>
        </w:rPr>
      </w:pPr>
      <w:r>
        <w:rPr>
          <w:sz w:val="24"/>
          <w:szCs w:val="24"/>
        </w:rPr>
        <w:t>L’oggetto della fornitura consiste nell’adeguamento alle nuove specifiche tecniche previste da PagoPA per la gestione dei flussi di rendicontazione.</w:t>
      </w:r>
    </w:p>
    <w:p>
      <w:pPr>
        <w:pStyle w:val="NormalWeb"/>
        <w:spacing w:before="100" w:after="100"/>
        <w:rPr/>
      </w:pPr>
      <w:r>
        <w:rPr/>
        <w:t>Queste primitive permettono di ricevere le informazioni relative ai flussi base che vanno salvate e inviate agli enti o fornitori terzi degli enti nei vari formati richiesti. Dovranno  essere mantenute la attuali modalità di configurazioni degli enti riguardo al tipo di invio (base o completo).</w:t>
      </w:r>
    </w:p>
    <w:p>
      <w:pPr>
        <w:pStyle w:val="NormalWeb"/>
        <w:spacing w:before="100" w:after="100"/>
        <w:rPr/>
      </w:pPr>
      <w:r>
        <w:rPr/>
        <w:t>Rispetto alle primitive precedenti cambiano le modalità di acquisizione dei flussi. In precedenza, i flussi venivano richiesti interrogando pagopa per ogni stazione dell’intermediario. Con l’introduzione delle nuove primitive si passa ad un’ interrogazione per ogni EC integrato a PiemontePay indipendentemente dalla stazione dell’ IT. Per garantire continuità operativa, è necessario adeguare le richieste alle nuove modalità, mantenendo attivi, dove presenti, gli stessi processi di controllo e selezione, opportunamente rivisti e adattati al nuovo contesto.</w:t>
      </w:r>
    </w:p>
    <w:p>
      <w:pPr>
        <w:pStyle w:val="NormalWeb"/>
        <w:spacing w:before="100" w:after="100"/>
        <w:rPr/>
      </w:pPr>
      <w:bookmarkStart w:id="24" w:name="_Hlk212136246"/>
      <w:r>
        <w:rPr/>
        <w:t xml:space="preserve">Le nuove primitive mettono a disposizione informazioni utili per abilitare la ricezione e l’invio dei flussi in modalità </w:t>
      </w:r>
      <w:r>
        <w:rPr>
          <w:b/>
          <w:bCs/>
        </w:rPr>
        <w:t>paginata</w:t>
      </w:r>
      <w:r>
        <w:rPr/>
        <w:t xml:space="preserve">. Occorre definire la modalità con cui richiedere i flussi in maniera paginata in modo da scorrere tutte le pagine fino al recupero dell’intero contenuto (l’adozione di questa funzionalità in fase di invio agli EC richiederebbe un ulteriore adeguamento da parte degli enti riceventi. Non è quindi opportuno implementarla al momento, ma si richiede comunque </w:t>
      </w:r>
      <w:r>
        <w:rPr>
          <w:b/>
          <w:bCs/>
        </w:rPr>
        <w:t>di predisporre il sistema</w:t>
      </w:r>
      <w:r>
        <w:rPr/>
        <w:t xml:space="preserve"> in modo da consentire, in futuro, l’eventuale invio dei flussi attraverso meccanismi di paginazione)</w:t>
      </w:r>
    </w:p>
    <w:p>
      <w:pPr>
        <w:pStyle w:val="Normal"/>
        <w:rPr>
          <w:sz w:val="24"/>
          <w:szCs w:val="24"/>
        </w:rPr>
      </w:pPr>
      <w:r>
        <w:rPr>
          <w:sz w:val="24"/>
          <w:szCs w:val="24"/>
        </w:rPr>
        <w:t xml:space="preserve">La </w:t>
      </w:r>
      <w:r>
        <w:rPr>
          <w:b/>
          <w:bCs/>
          <w:sz w:val="24"/>
          <w:szCs w:val="24"/>
        </w:rPr>
        <w:t>ricezione</w:t>
      </w:r>
      <w:r>
        <w:rPr>
          <w:sz w:val="24"/>
          <w:szCs w:val="24"/>
        </w:rPr>
        <w:t xml:space="preserve"> da pagopa dovrà avvenire in formato json per tutti gli enti, e formato xml per  gli enti i cui fornitori si devono ancora adeguare . Si dovrà gestire parametricamente la modalità con cui effettuare ricezione tramite parametri salvati sul db e definiti in base alle richieste dei fornitori degli enti.</w:t>
      </w:r>
    </w:p>
    <w:p>
      <w:pPr>
        <w:pStyle w:val="NormalWeb"/>
        <w:spacing w:before="100" w:after="100"/>
        <w:rPr/>
      </w:pPr>
      <w:r>
        <w:rPr/>
        <w:t xml:space="preserve">È necessario implementare la gestione delle nuove richieste dei flussi di Pagopa che, in precedenza, non sono stati acquisiti correttamente a causa di </w:t>
      </w:r>
      <w:r>
        <w:rPr>
          <w:b/>
          <w:bCs/>
        </w:rPr>
        <w:t>errori</w:t>
      </w:r>
      <w:r>
        <w:rPr/>
        <w:t>. Tale gestione dovrà essere di tipo parametrico, in modo da consentire chiamate puntuali per il recupero dei dati. I parametri necessari per effettuare queste richieste dovranno essere inseriti in una tabella del DB in modo da essere modificati all’occorrenza</w:t>
      </w:r>
      <w:bookmarkEnd w:id="24"/>
      <w:r>
        <w:rPr/>
        <w:t>. Va gestita la tracciatura degli errori inserendo i log in una tabella apposita.</w:t>
      </w:r>
    </w:p>
    <w:p>
      <w:pPr>
        <w:pStyle w:val="NormalWeb"/>
        <w:spacing w:before="100" w:after="100"/>
        <w:rPr/>
      </w:pPr>
      <w:r>
        <w:rPr/>
        <w:t xml:space="preserve">Si richiede l’implementazione di una modalità di interrogazione dei flussi PagoPA che consideri la </w:t>
      </w:r>
      <w:r>
        <w:rPr>
          <w:b/>
          <w:bCs/>
        </w:rPr>
        <w:t>data di pubblicazione</w:t>
      </w:r>
      <w:r>
        <w:rPr/>
        <w:t xml:space="preserve"> dell’ultimo flusso acquisito. Tale modalità dovrà consentire la richiesta dei flussi a partire da una data antecedente, calcolata sottraendo un numero di giorni specificato tramite un apposito parametro. I nuovi parametri, che permetteranno di effettuare chiamate puntuali, dovranno essere inseriti in una tabella.</w:t>
      </w:r>
    </w:p>
    <w:p>
      <w:pPr>
        <w:pStyle w:val="NormalWeb"/>
        <w:spacing w:before="100" w:after="100"/>
        <w:rPr/>
      </w:pPr>
      <w:r>
        <w:rPr/>
        <w:t xml:space="preserve">I nuovi parametri di configurazione devono essere facilmente accessibili e modificabili in modo dinamico, senza richiedere il riavvio del sistema. Non è prevista la gestione di tali parametri tramite interfaccia front-end applicativa. </w:t>
      </w:r>
    </w:p>
    <w:p>
      <w:pPr>
        <w:pStyle w:val="NormalWeb"/>
        <w:spacing w:before="100" w:after="100"/>
        <w:rPr/>
      </w:pPr>
      <w:r>
        <w:rPr/>
        <w:t>Le informazioni ricevute devono essere successivamente trasmesse agli EC nei tre diversi formati: base, completi e riconciliati.</w:t>
      </w:r>
    </w:p>
    <w:p>
      <w:pPr>
        <w:pStyle w:val="NormalWeb"/>
        <w:spacing w:before="100" w:after="100"/>
        <w:rPr/>
      </w:pPr>
      <w:r>
        <w:rPr/>
        <w:t>La modifica impatta solamente i flussi base, che devono essere inviati nello stesso formato ricevuto da PagoPA. Pertanto, è necessario adeguare le modalità di gestione e invio dei dati agli EC e ai fornitori degli enti mantenendo, per ridurre l’impatto sui riceventi, la modalità di trasmissione attualmente in uso. Il cambiamento richiesto riguarda quindi, nel caso nel caso dei nuovi Fdr, il formato del file trasmesso in modalità criptata e inoltre dovrà essere inviata l’informazione relativa al formato del flusso nel tracciato del flusso. Nel tracciato potrebbero essere inserite in chiaro ulteriori informazioni restituite dai nuovi Fdr, da valutare in fase di analisi dei dati. Le modifiche non sono retrocompatibili, vi dovrà essere una versione V2 delle primitive di invio del flusso base.</w:t>
      </w:r>
    </w:p>
    <w:p>
      <w:pPr>
        <w:pStyle w:val="NormalWeb"/>
        <w:spacing w:before="100" w:after="100"/>
        <w:jc w:val="both"/>
        <w:rPr/>
      </w:pPr>
      <w:r>
        <w:rPr/>
        <w:t>Nei nostri sistemi possono coesistere più versioni non elaborate dello stesso flusso. Durante il processo di elaborazione, è fondamentale identificare ed elaborare esclusivamente la versione più recente, che sarà poi trasmessa agli Enti Creditori.</w:t>
      </w:r>
    </w:p>
    <w:p>
      <w:pPr>
        <w:pStyle w:val="NormalWeb"/>
        <w:spacing w:before="100" w:after="100"/>
        <w:rPr/>
      </w:pPr>
      <w:r>
        <w:rPr/>
        <w:t>Si deve inoltre fornire agli EC il tempo di uniformarsi  alle nuove modalità di gestione, prevedendo una modifica che permetta loro di ricevere i flussi di rendicontazione tramite la vecchia modalità fino alla dismissione da parte di pagopa. Questo comporta il mantenimento delle precedenti procedure di ricezione e invio dei flussi in formato xml per gli EC che ne avranno la necessità.</w:t>
      </w:r>
    </w:p>
    <w:p>
      <w:pPr>
        <w:pStyle w:val="NormalWeb"/>
        <w:spacing w:before="100" w:after="100"/>
        <w:rPr/>
      </w:pPr>
      <w:r>
        <w:rPr/>
        <w:t xml:space="preserve">Le due processi di acquisizione devono poter coesistere per permettere la verifica che l’output del nuovo processo sia uguale a quello del precedente. </w:t>
      </w:r>
    </w:p>
    <w:p>
      <w:pPr>
        <w:pStyle w:val="Normal"/>
        <w:rPr>
          <w:sz w:val="24"/>
          <w:szCs w:val="24"/>
        </w:rPr>
      </w:pPr>
      <w:r>
        <w:rPr>
          <w:sz w:val="24"/>
          <w:szCs w:val="24"/>
        </w:rPr>
        <w:t>Le altre operazioni legate alla gestione dei flussi non vanno modificate.</w:t>
      </w:r>
    </w:p>
    <w:p>
      <w:pPr>
        <w:pStyle w:val="Normal"/>
        <w:rPr>
          <w:sz w:val="24"/>
          <w:szCs w:val="24"/>
        </w:rPr>
      </w:pPr>
      <w:r>
        <w:rPr>
          <w:sz w:val="24"/>
          <w:szCs w:val="24"/>
        </w:rPr>
      </w:r>
    </w:p>
    <w:p>
      <w:pPr>
        <w:pStyle w:val="Normal"/>
        <w:rPr>
          <w:sz w:val="24"/>
          <w:szCs w:val="24"/>
        </w:rPr>
      </w:pPr>
      <w:r>
        <w:rPr>
          <w:sz w:val="24"/>
          <w:szCs w:val="24"/>
        </w:rPr>
      </w:r>
    </w:p>
    <w:p>
      <w:pPr>
        <w:pStyle w:val="Heading2"/>
        <w:rPr>
          <w:rFonts w:ascii="Times New Roman" w:hAnsi="Times New Roman"/>
          <w:sz w:val="24"/>
          <w:szCs w:val="24"/>
        </w:rPr>
      </w:pPr>
      <w:bookmarkStart w:id="25" w:name="_Toc218761252"/>
      <w:bookmarkStart w:id="26" w:name="_Toc212738166"/>
      <w:bookmarkStart w:id="27" w:name="_Toc120717621"/>
      <w:r>
        <w:rPr>
          <w:rFonts w:ascii="Times New Roman" w:hAnsi="Times New Roman"/>
          <w:sz w:val="24"/>
          <w:szCs w:val="24"/>
        </w:rPr>
        <w:t>Situazione AS-IS</w:t>
      </w:r>
      <w:bookmarkEnd w:id="25"/>
      <w:bookmarkEnd w:id="26"/>
      <w:bookmarkEnd w:id="27"/>
    </w:p>
    <w:p>
      <w:pPr>
        <w:pStyle w:val="Normal"/>
        <w:rPr>
          <w:sz w:val="24"/>
          <w:szCs w:val="24"/>
        </w:rPr>
      </w:pPr>
      <w:r>
        <w:rPr>
          <w:sz w:val="24"/>
          <w:szCs w:val="24"/>
        </w:rPr>
        <w:t>Attualmente I flussi vengono richiesti tramite l’intermediario pagoPA e la stazione di riferimento. Viene richiesta la presenza della password specifica per stazione di riferimento, utilizzata quindi per selezionare gli applicationId dei quali richiedere l’acquisizione dei flussi, in quanto gli enti dismessi non possiedono una password valida.</w:t>
      </w:r>
    </w:p>
    <w:p>
      <w:pPr>
        <w:pStyle w:val="Normal"/>
        <w:rPr>
          <w:sz w:val="24"/>
          <w:szCs w:val="24"/>
        </w:rPr>
      </w:pPr>
      <w:r>
        <w:rPr>
          <w:sz w:val="24"/>
          <w:szCs w:val="24"/>
        </w:rPr>
      </w:r>
    </w:p>
    <w:p>
      <w:pPr>
        <w:pStyle w:val="Normal"/>
        <w:rPr>
          <w:sz w:val="24"/>
          <w:szCs w:val="24"/>
        </w:rPr>
      </w:pPr>
      <w:r>
        <w:rPr>
          <w:sz w:val="24"/>
          <w:szCs w:val="24"/>
        </w:rPr>
        <w:t xml:space="preserve">Le primitive utilizzate  sono: </w:t>
      </w:r>
    </w:p>
    <w:p>
      <w:pPr>
        <w:pStyle w:val="ListParagraph"/>
        <w:numPr>
          <w:ilvl w:val="0"/>
          <w:numId w:val="9"/>
        </w:numPr>
        <w:rPr>
          <w:sz w:val="24"/>
          <w:szCs w:val="24"/>
        </w:rPr>
      </w:pPr>
      <w:r>
        <w:rPr>
          <w:b/>
          <w:bCs/>
          <w:sz w:val="24"/>
          <w:szCs w:val="24"/>
        </w:rPr>
        <w:t>nodoChiediElencoFlussiRendicontazione</w:t>
      </w:r>
      <w:r>
        <w:rPr>
          <w:sz w:val="24"/>
          <w:szCs w:val="24"/>
        </w:rPr>
        <w:t>, per avere l'elenco dei flussi disponibili per intermediario pagoPa e stazione.</w:t>
      </w:r>
    </w:p>
    <w:p>
      <w:pPr>
        <w:pStyle w:val="ListParagraph"/>
        <w:numPr>
          <w:ilvl w:val="0"/>
          <w:numId w:val="9"/>
        </w:numPr>
        <w:rPr>
          <w:sz w:val="24"/>
          <w:szCs w:val="24"/>
        </w:rPr>
      </w:pPr>
      <w:r>
        <w:rPr>
          <w:b/>
          <w:bCs/>
          <w:sz w:val="24"/>
          <w:szCs w:val="24"/>
        </w:rPr>
        <w:t xml:space="preserve">nodoChiediFlussoRendicontazione, </w:t>
      </w:r>
      <w:r>
        <w:rPr>
          <w:sz w:val="24"/>
          <w:szCs w:val="24"/>
        </w:rPr>
        <w:t xml:space="preserve"> richiamata per ogni flusso per scaricare lo specifico flusso e i pagamenti ad esso associati.</w:t>
      </w:r>
    </w:p>
    <w:p>
      <w:pPr>
        <w:pStyle w:val="ListParagraph"/>
        <w:rPr>
          <w:sz w:val="24"/>
          <w:szCs w:val="24"/>
        </w:rPr>
      </w:pPr>
      <w:r>
        <w:rPr>
          <w:sz w:val="24"/>
          <w:szCs w:val="24"/>
        </w:rPr>
        <w:t>la piattaforma risponde con un file XML.</w:t>
      </w:r>
    </w:p>
    <w:p>
      <w:pPr>
        <w:pStyle w:val="ListParagraph"/>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Questa scelta è data dalla natura della funzionalità lato EC che prevede:</w:t>
      </w:r>
    </w:p>
    <w:p>
      <w:pPr>
        <w:pStyle w:val="Normal"/>
        <w:widowControl/>
        <w:numPr>
          <w:ilvl w:val="0"/>
          <w:numId w:val="8"/>
        </w:numPr>
        <w:suppressAutoHyphens w:val="false"/>
        <w:spacing w:lineRule="auto" w:line="278" w:before="0" w:after="160"/>
        <w:rPr>
          <w:sz w:val="24"/>
          <w:szCs w:val="24"/>
        </w:rPr>
      </w:pPr>
      <w:r>
        <w:rPr>
          <w:sz w:val="24"/>
          <w:szCs w:val="24"/>
        </w:rPr>
        <w:t>Recupero di “lista di flussi”</w:t>
      </w:r>
    </w:p>
    <w:p>
      <w:pPr>
        <w:pStyle w:val="Normal"/>
        <w:widowControl/>
        <w:numPr>
          <w:ilvl w:val="0"/>
          <w:numId w:val="8"/>
        </w:numPr>
        <w:suppressAutoHyphens w:val="false"/>
        <w:spacing w:lineRule="auto" w:line="278" w:before="0" w:after="160"/>
        <w:rPr>
          <w:sz w:val="24"/>
          <w:szCs w:val="24"/>
        </w:rPr>
      </w:pPr>
      <w:r>
        <w:rPr>
          <w:sz w:val="24"/>
          <w:szCs w:val="24"/>
        </w:rPr>
        <w:t>Recupero del singolo flusso (menzionato precedentemente in lista e che non sia ancora stato elaborato in precedenza)</w:t>
      </w:r>
    </w:p>
    <w:p>
      <w:pPr>
        <w:pStyle w:val="Normal"/>
        <w:rPr>
          <w:sz w:val="24"/>
          <w:szCs w:val="24"/>
        </w:rPr>
      </w:pPr>
      <w:r>
        <w:rPr>
          <w:sz w:val="24"/>
          <w:szCs w:val="24"/>
        </w:rPr>
        <w:t>Di seguito l’immagine illustra il funzionamento del ciclo:</w:t>
      </w:r>
    </w:p>
    <w:p>
      <w:pPr>
        <w:pStyle w:val="Normal"/>
        <w:rPr>
          <w:sz w:val="24"/>
          <w:szCs w:val="24"/>
        </w:rPr>
      </w:pPr>
      <w:r>
        <w:rPr>
          <w:sz w:val="24"/>
          <w:szCs w:val="24"/>
        </w:rPr>
      </w:r>
    </w:p>
    <w:p>
      <w:pPr>
        <w:pStyle w:val="Normal"/>
        <w:rPr>
          <w:sz w:val="24"/>
          <w:szCs w:val="24"/>
        </w:rPr>
      </w:pPr>
      <w:r>
        <w:rPr/>
        <w:drawing>
          <wp:inline distT="0" distB="0" distL="0" distR="0">
            <wp:extent cx="5731510" cy="2463800"/>
            <wp:effectExtent l="0" t="0" r="0" b="0"/>
            <wp:docPr id="1"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Carattere, linea&#10;&#10;Il contenuto generato dall'IA potrebbe non essere corretto."/>
                    <pic:cNvPicPr>
                      <a:picLocks noChangeAspect="1" noChangeArrowheads="1"/>
                    </pic:cNvPicPr>
                  </pic:nvPicPr>
                  <pic:blipFill>
                    <a:blip r:embed="rId19"/>
                    <a:stretch>
                      <a:fillRect/>
                    </a:stretch>
                  </pic:blipFill>
                  <pic:spPr bwMode="auto">
                    <a:xfrm>
                      <a:off x="0" y="0"/>
                      <a:ext cx="5731510" cy="2463800"/>
                    </a:xfrm>
                    <a:prstGeom prst="rect">
                      <a:avLst/>
                    </a:prstGeom>
                    <a:noFill/>
                  </pic:spPr>
                </pic:pic>
              </a:graphicData>
            </a:graphic>
          </wp:inline>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lang w:eastAsia="it-IT"/>
        </w:rPr>
      </w:pPr>
      <w:r>
        <w:rPr>
          <w:sz w:val="24"/>
          <w:szCs w:val="24"/>
          <w:lang w:eastAsia="it-IT"/>
        </w:rPr>
        <w:t>I dati ricevuti tramite le vecchie primitive vengono :</w:t>
      </w:r>
    </w:p>
    <w:p>
      <w:pPr>
        <w:pStyle w:val="Normal"/>
        <w:rPr>
          <w:sz w:val="24"/>
          <w:szCs w:val="24"/>
          <w:lang w:eastAsia="it-IT"/>
        </w:rPr>
      </w:pPr>
      <w:r>
        <w:rPr>
          <w:sz w:val="24"/>
          <w:szCs w:val="24"/>
          <w:lang w:eastAsia="it-IT"/>
        </w:rPr>
      </w:r>
    </w:p>
    <w:p>
      <w:pPr>
        <w:pStyle w:val="ListParagraph"/>
        <w:numPr>
          <w:ilvl w:val="0"/>
          <w:numId w:val="11"/>
        </w:numPr>
        <w:rPr>
          <w:sz w:val="24"/>
          <w:szCs w:val="24"/>
          <w:lang w:eastAsia="it-IT"/>
        </w:rPr>
      </w:pPr>
      <w:r>
        <w:rPr>
          <w:sz w:val="24"/>
          <w:szCs w:val="24"/>
        </w:rPr>
        <w:t xml:space="preserve">Ricevuti in formato xml e  salvati sul nostro sistema </w:t>
      </w:r>
      <w:r>
        <w:rPr>
          <w:sz w:val="24"/>
          <w:szCs w:val="24"/>
          <w:lang w:eastAsia="it-IT"/>
        </w:rPr>
        <w:t>mantenendo la struttura con cui sono stati ricevuti da pagoPa.</w:t>
      </w:r>
    </w:p>
    <w:p>
      <w:pPr>
        <w:pStyle w:val="ListParagraph"/>
        <w:numPr>
          <w:ilvl w:val="0"/>
          <w:numId w:val="10"/>
        </w:numPr>
        <w:rPr>
          <w:sz w:val="24"/>
          <w:szCs w:val="24"/>
        </w:rPr>
      </w:pPr>
      <w:r>
        <w:rPr>
          <w:sz w:val="24"/>
          <w:szCs w:val="24"/>
        </w:rPr>
        <w:t>Inviati, nello stesso formato con cui sono ricevuti, agli EC che hanno fatto richiesta di ricevere i flussi base.</w:t>
      </w:r>
    </w:p>
    <w:p>
      <w:pPr>
        <w:pStyle w:val="ListParagraph"/>
        <w:numPr>
          <w:ilvl w:val="0"/>
          <w:numId w:val="10"/>
        </w:numPr>
        <w:rPr>
          <w:sz w:val="24"/>
          <w:szCs w:val="24"/>
        </w:rPr>
      </w:pPr>
      <w:r>
        <w:rPr>
          <w:sz w:val="24"/>
          <w:szCs w:val="24"/>
        </w:rPr>
        <w:t xml:space="preserve">Recuperati e integrati con altre informazioni e inviati nel formato completo e riconciliato agli enti che ne fanno richiesta. </w:t>
      </w:r>
    </w:p>
    <w:p>
      <w:pPr>
        <w:pStyle w:val="ListParagraph"/>
        <w:ind w:start="1068"/>
        <w:rPr>
          <w:sz w:val="24"/>
          <w:szCs w:val="24"/>
        </w:rPr>
      </w:pPr>
      <w:r>
        <w:rPr>
          <w:sz w:val="24"/>
          <w:szCs w:val="24"/>
        </w:rPr>
      </w:r>
    </w:p>
    <w:p>
      <w:pPr>
        <w:pStyle w:val="Normal"/>
        <w:jc w:val="center"/>
        <w:rPr>
          <w:sz w:val="24"/>
          <w:szCs w:val="24"/>
        </w:rPr>
      </w:pPr>
      <w:r>
        <w:rPr/>
        <w:drawing>
          <wp:inline distT="0" distB="0" distL="0" distR="0">
            <wp:extent cx="3836670" cy="2450465"/>
            <wp:effectExtent l="0" t="0" r="0" b="0"/>
            <wp:docPr id="2" name="Immagine3" descr="Figura 3 – Processo di riconcili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3" descr="Figura 3 – Processo di riconciliazione"/>
                    <pic:cNvPicPr>
                      <a:picLocks noChangeAspect="1" noChangeArrowheads="1"/>
                    </pic:cNvPicPr>
                  </pic:nvPicPr>
                  <pic:blipFill>
                    <a:blip r:embed="rId20"/>
                    <a:srcRect l="3238" t="17250" r="26668" b="0"/>
                    <a:stretch>
                      <a:fillRect/>
                    </a:stretch>
                  </pic:blipFill>
                  <pic:spPr bwMode="auto">
                    <a:xfrm>
                      <a:off x="0" y="0"/>
                      <a:ext cx="3836670" cy="2450465"/>
                    </a:xfrm>
                    <a:prstGeom prst="rect">
                      <a:avLst/>
                    </a:prstGeom>
                    <a:noFill/>
                  </pic:spPr>
                </pic:pic>
              </a:graphicData>
            </a:graphic>
          </wp:inline>
        </w:drawing>
      </w:r>
    </w:p>
    <w:p>
      <w:pPr>
        <w:pStyle w:val="NormalWeb"/>
        <w:spacing w:before="100" w:after="100"/>
        <w:rPr/>
      </w:pPr>
      <w:r>
        <w:rPr/>
      </w:r>
    </w:p>
    <w:p>
      <w:pPr>
        <w:pStyle w:val="Heading2"/>
        <w:rPr>
          <w:rFonts w:ascii="Times New Roman" w:hAnsi="Times New Roman"/>
          <w:sz w:val="24"/>
          <w:szCs w:val="24"/>
        </w:rPr>
      </w:pPr>
      <w:bookmarkStart w:id="28" w:name="_Toc218761253"/>
      <w:bookmarkStart w:id="29" w:name="_Toc212738167"/>
      <w:r>
        <w:rPr>
          <w:rFonts w:ascii="Times New Roman" w:hAnsi="Times New Roman"/>
          <w:sz w:val="24"/>
          <w:szCs w:val="24"/>
        </w:rPr>
        <w:t>Evolutiva TO-BE</w:t>
      </w:r>
      <w:bookmarkEnd w:id="28"/>
      <w:bookmarkEnd w:id="29"/>
    </w:p>
    <w:p>
      <w:pPr>
        <w:pStyle w:val="Normal"/>
        <w:rPr>
          <w:sz w:val="24"/>
          <w:szCs w:val="24"/>
        </w:rPr>
      </w:pPr>
      <w:r>
        <w:rPr>
          <w:sz w:val="24"/>
          <w:szCs w:val="24"/>
        </w:rPr>
      </w:r>
    </w:p>
    <w:p>
      <w:pPr>
        <w:pStyle w:val="Normal"/>
        <w:rPr>
          <w:sz w:val="24"/>
          <w:szCs w:val="24"/>
        </w:rPr>
      </w:pPr>
      <w:r>
        <w:rPr>
          <w:sz w:val="24"/>
          <w:szCs w:val="24"/>
        </w:rPr>
        <w:t>Pagopa ha messo a disposizione nuove primitive rest per la gestione dei flussi di rendicontazione che prevedono l’adeguamento del nostro sistema per poterle richiamarle e per poter elaborare e inviare agli EC le informazioni ricevute nella nuova modalità.</w:t>
      </w:r>
    </w:p>
    <w:p>
      <w:pPr>
        <w:pStyle w:val="Normal"/>
        <w:rPr>
          <w:sz w:val="24"/>
          <w:szCs w:val="24"/>
        </w:rPr>
      </w:pPr>
      <w:r>
        <w:rPr>
          <w:sz w:val="24"/>
          <w:szCs w:val="24"/>
        </w:rPr>
      </w:r>
    </w:p>
    <w:p>
      <w:pPr>
        <w:pStyle w:val="Normal"/>
        <w:rPr>
          <w:strike/>
          <w:sz w:val="24"/>
          <w:szCs w:val="24"/>
        </w:rPr>
      </w:pPr>
      <w:r>
        <w:rPr>
          <w:sz w:val="24"/>
          <w:szCs w:val="24"/>
        </w:rPr>
        <w:t xml:space="preserve">Per poter usufruire delle nuove API sarà necessario effettuare una sottoscrizione al nuovo prodotto che mette a disposizione le primitive di seguito elencate. L’autorizzazione richiesta per le nuove primitive  è </w:t>
      </w:r>
      <w:r>
        <w:rPr>
          <w:b/>
          <w:bCs/>
          <w:sz w:val="24"/>
          <w:szCs w:val="24"/>
        </w:rPr>
        <w:t>Authorizations</w:t>
      </w:r>
      <w:r>
        <w:rPr>
          <w:sz w:val="24"/>
          <w:szCs w:val="24"/>
        </w:rPr>
        <w:t>: Ocp-Apim-Subscription-Keystring. La generazione è in carico a csi.</w:t>
      </w:r>
      <w:r>
        <w:rPr>
          <w:strike/>
          <w:sz w:val="24"/>
          <w:szCs w:val="24"/>
        </w:rPr>
        <w:t xml:space="preserve"> </w:t>
      </w:r>
    </w:p>
    <w:p>
      <w:pPr>
        <w:pStyle w:val="Normal"/>
        <w:rPr>
          <w:sz w:val="24"/>
          <w:szCs w:val="24"/>
        </w:rPr>
      </w:pPr>
      <w:r>
        <w:rPr>
          <w:sz w:val="24"/>
          <w:szCs w:val="24"/>
        </w:rPr>
        <w:t>Le subscription key sono specifiche per servizio pagopa integrato e ambiente</w:t>
      </w:r>
    </w:p>
    <w:p>
      <w:pPr>
        <w:pStyle w:val="Normal"/>
        <w:rPr>
          <w:sz w:val="24"/>
          <w:szCs w:val="24"/>
        </w:rPr>
      </w:pPr>
      <w:r>
        <w:rPr>
          <w:sz w:val="24"/>
          <w:szCs w:val="24"/>
        </w:rPr>
        <w:t>Le regole della  gestione della conservazione della Subscription-Key devono essere conformi a quelle in uso attualmente per gli altri servizi.</w:t>
      </w:r>
    </w:p>
    <w:p>
      <w:pPr>
        <w:pStyle w:val="Normal"/>
        <w:rPr>
          <w:sz w:val="24"/>
          <w:szCs w:val="24"/>
        </w:rPr>
      </w:pPr>
      <w:r>
        <w:rPr>
          <w:sz w:val="24"/>
          <w:szCs w:val="24"/>
        </w:rPr>
      </w:r>
    </w:p>
    <w:p>
      <w:pPr>
        <w:pStyle w:val="Normal"/>
        <w:rPr>
          <w:sz w:val="24"/>
          <w:szCs w:val="24"/>
        </w:rPr>
      </w:pPr>
      <w:r>
        <w:rPr>
          <w:sz w:val="24"/>
          <w:szCs w:val="24"/>
        </w:rPr>
        <w:t>Cambiano le modalità di acquisizione dei flussi.</w:t>
      </w:r>
    </w:p>
    <w:p>
      <w:pPr>
        <w:pStyle w:val="Normal"/>
        <w:rPr>
          <w:sz w:val="24"/>
          <w:szCs w:val="24"/>
        </w:rPr>
      </w:pPr>
      <w:r>
        <w:rPr>
          <w:sz w:val="24"/>
          <w:szCs w:val="24"/>
        </w:rPr>
        <w:t>La richiesta viene ora effettuata indicando ogni singolo ec integrato con la piattaforma PiemontePay per il quale è richiesta l’acquisizione dei FdR.</w:t>
      </w:r>
    </w:p>
    <w:p>
      <w:pPr>
        <w:pStyle w:val="Normal"/>
        <w:rPr>
          <w:sz w:val="24"/>
          <w:szCs w:val="24"/>
        </w:rPr>
      </w:pPr>
      <w:r>
        <w:rPr>
          <w:sz w:val="24"/>
          <w:szCs w:val="24"/>
        </w:rPr>
        <w:t xml:space="preserve">, ma vanno mantenuti i  meccanismi di </w:t>
      </w:r>
      <w:r>
        <w:rPr>
          <w:b/>
          <w:bCs/>
          <w:sz w:val="24"/>
          <w:szCs w:val="24"/>
        </w:rPr>
        <w:t>inclusione/esclusione</w:t>
      </w:r>
      <w:r>
        <w:rPr>
          <w:sz w:val="24"/>
          <w:szCs w:val="24"/>
        </w:rPr>
        <w:t xml:space="preserve"> dei flussi e eventualmente adattandoli tramite il riutilizzo o la creazione di parametri adatti allo scopo.(ad esempio la password associata all’applicationId non è più  richiesta in quanto i flussi non sono più erogati in base alla stazione quindi, probabilmente la validità della password non potrà più essere utilizzata come discriminante)</w:t>
      </w:r>
    </w:p>
    <w:p>
      <w:pPr>
        <w:pStyle w:val="Normal"/>
        <w:rPr>
          <w:sz w:val="24"/>
          <w:szCs w:val="24"/>
        </w:rPr>
      </w:pPr>
      <w:r>
        <w:rPr>
          <w:sz w:val="24"/>
          <w:szCs w:val="24"/>
        </w:rPr>
      </w:r>
    </w:p>
    <w:p>
      <w:pPr>
        <w:pStyle w:val="Normal"/>
        <w:widowControl/>
        <w:suppressAutoHyphens w:val="false"/>
        <w:spacing w:lineRule="auto" w:line="278" w:before="0" w:after="160"/>
        <w:rPr>
          <w:sz w:val="24"/>
          <w:szCs w:val="24"/>
        </w:rPr>
      </w:pPr>
      <w:r>
        <w:rPr>
          <w:sz w:val="24"/>
          <w:szCs w:val="24"/>
        </w:rPr>
        <w:t xml:space="preserve">La ricezione dei flussi avviene in modalità </w:t>
      </w:r>
      <w:r>
        <w:rPr>
          <w:b/>
          <w:bCs/>
          <w:sz w:val="24"/>
          <w:szCs w:val="24"/>
        </w:rPr>
        <w:t>paginata</w:t>
      </w:r>
      <w:r>
        <w:rPr>
          <w:sz w:val="24"/>
          <w:szCs w:val="24"/>
        </w:rPr>
        <w:t xml:space="preserve">. La ricezione dei dati può avvenire tramite paginazione. Il parametro pageSize indica il numero di flussi per ogni pagina, occorre quindi predisporre un meccanismo che richieda più volta i flussi fino al raggiungimento del totale. </w:t>
      </w:r>
    </w:p>
    <w:p>
      <w:pPr>
        <w:pStyle w:val="NormalWeb"/>
        <w:spacing w:before="100" w:after="100"/>
        <w:rPr/>
      </w:pPr>
      <w:r>
        <w:rPr/>
        <w:t>È inoltre necessario prevedere la gestione delle richieste dei flussi che precedentemente non sono stati acquisiti correttamente a causa di errori. Tale gestione dovrà essere di tipo parametrico, i nuovi parametri, che permetteranno di effettuare chiamate puntuali, dovranno essere inseriti in una tabella dedicata</w:t>
      </w:r>
    </w:p>
    <w:p>
      <w:pPr>
        <w:pStyle w:val="NormalWeb"/>
        <w:spacing w:before="100" w:after="100"/>
        <w:rPr/>
      </w:pPr>
      <w:r>
        <w:rPr/>
        <w:t xml:space="preserve">Le nuove primitive sono tre comprendono: </w:t>
      </w:r>
    </w:p>
    <w:p>
      <w:pPr>
        <w:pStyle w:val="ListParagraph"/>
        <w:numPr>
          <w:ilvl w:val="0"/>
          <w:numId w:val="13"/>
        </w:numPr>
        <w:rPr>
          <w:sz w:val="24"/>
          <w:szCs w:val="24"/>
        </w:rPr>
      </w:pPr>
      <w:r>
        <w:rPr>
          <w:sz w:val="24"/>
          <w:szCs w:val="24"/>
        </w:rPr>
        <w:t xml:space="preserve">La chiamata </w:t>
      </w:r>
      <w:r>
        <w:rPr>
          <w:b/>
          <w:bCs/>
          <w:sz w:val="24"/>
          <w:szCs w:val="24"/>
        </w:rPr>
        <w:t>REST</w:t>
      </w:r>
      <w:r>
        <w:rPr>
          <w:sz w:val="24"/>
          <w:szCs w:val="24"/>
        </w:rPr>
        <w:t xml:space="preserve"> a </w:t>
      </w:r>
      <w:r>
        <w:rPr>
          <w:b/>
          <w:bCs/>
          <w:sz w:val="24"/>
          <w:szCs w:val="24"/>
        </w:rPr>
        <w:t>Get all fdr published</w:t>
      </w:r>
      <w:r>
        <w:rPr>
          <w:sz w:val="24"/>
          <w:szCs w:val="24"/>
        </w:rPr>
        <w:t xml:space="preserve">  per scaricare l’elenco dei flussi </w:t>
      </w:r>
    </w:p>
    <w:p>
      <w:pPr>
        <w:pStyle w:val="ListParagraph"/>
        <w:numPr>
          <w:ilvl w:val="0"/>
          <w:numId w:val="13"/>
        </w:numPr>
        <w:rPr>
          <w:sz w:val="24"/>
          <w:szCs w:val="24"/>
        </w:rPr>
      </w:pPr>
      <w:r>
        <w:rPr>
          <w:sz w:val="24"/>
          <w:szCs w:val="24"/>
        </w:rPr>
        <w:t xml:space="preserve">La chiamata </w:t>
      </w:r>
      <w:r>
        <w:rPr>
          <w:b/>
          <w:bCs/>
          <w:sz w:val="24"/>
          <w:szCs w:val="24"/>
        </w:rPr>
        <w:t xml:space="preserve">REST </w:t>
      </w:r>
      <w:r>
        <w:rPr>
          <w:sz w:val="24"/>
          <w:szCs w:val="24"/>
        </w:rPr>
        <w:t>a</w:t>
      </w:r>
      <w:r>
        <w:rPr>
          <w:b/>
          <w:bCs/>
          <w:sz w:val="24"/>
          <w:szCs w:val="24"/>
        </w:rPr>
        <w:t xml:space="preserve"> Get fdr per </w:t>
      </w:r>
      <w:r>
        <w:rPr>
          <w:sz w:val="24"/>
          <w:szCs w:val="24"/>
        </w:rPr>
        <w:t>ogni flusso scaricare le informazioni relative al dettaglio</w:t>
      </w:r>
    </w:p>
    <w:p>
      <w:pPr>
        <w:pStyle w:val="ListParagraph"/>
        <w:numPr>
          <w:ilvl w:val="0"/>
          <w:numId w:val="13"/>
        </w:numPr>
        <w:rPr>
          <w:sz w:val="24"/>
          <w:szCs w:val="24"/>
        </w:rPr>
      </w:pPr>
      <w:r>
        <w:rPr>
          <w:sz w:val="24"/>
          <w:szCs w:val="24"/>
        </w:rPr>
        <w:t xml:space="preserve">La chiamata </w:t>
      </w:r>
      <w:r>
        <w:rPr>
          <w:b/>
          <w:bCs/>
          <w:sz w:val="24"/>
          <w:szCs w:val="24"/>
        </w:rPr>
        <w:t xml:space="preserve">REST </w:t>
      </w:r>
      <w:r>
        <w:rPr>
          <w:sz w:val="24"/>
          <w:szCs w:val="24"/>
        </w:rPr>
        <w:t xml:space="preserve">a </w:t>
      </w:r>
      <w:r>
        <w:rPr>
          <w:b/>
          <w:bCs/>
          <w:sz w:val="24"/>
          <w:szCs w:val="24"/>
        </w:rPr>
        <w:t xml:space="preserve">Get payments of fdr per </w:t>
      </w:r>
      <w:r>
        <w:rPr>
          <w:sz w:val="24"/>
          <w:szCs w:val="24"/>
        </w:rPr>
        <w:t>ogni flusso scaricare le informazioni relative ai pagamenti paginati</w:t>
      </w:r>
    </w:p>
    <w:p>
      <w:pPr>
        <w:pStyle w:val="NormalWeb"/>
        <w:spacing w:before="100" w:after="100"/>
        <w:rPr/>
      </w:pPr>
      <w:r>
        <w:rPr/>
        <w:t xml:space="preserve">Le primitive che permettono di scaricare il flusso possono anche essere utilizzate per la richiesta di flusso puntuale indicando parametri ad hoc specifici, oltre all’elaborazione periodica dello scarico dell’elenco flussi. </w:t>
      </w:r>
    </w:p>
    <w:p>
      <w:pPr>
        <w:pStyle w:val="NormalWeb"/>
        <w:spacing w:before="100" w:after="100"/>
        <w:rPr/>
      </w:pPr>
      <w:r>
        <w:rPr/>
        <w:t>Precedentemente le informazioni relative al dettaglio del  flusso venivano fornite da una primitiva, mentre con la nuova gestione, queste informazioni sono suddivise in due primitive diverse da richiamare separatamente.</w:t>
      </w:r>
    </w:p>
    <w:p>
      <w:pPr>
        <w:pStyle w:val="Normal"/>
        <w:rPr>
          <w:sz w:val="24"/>
          <w:szCs w:val="24"/>
        </w:rPr>
      </w:pPr>
      <w:r>
        <w:rPr>
          <w:sz w:val="24"/>
          <w:szCs w:val="24"/>
        </w:rPr>
      </w:r>
    </w:p>
    <w:p>
      <w:pPr>
        <w:pStyle w:val="Normal"/>
        <w:rPr>
          <w:sz w:val="24"/>
          <w:szCs w:val="24"/>
        </w:rPr>
      </w:pPr>
      <w:r>
        <w:rPr>
          <w:sz w:val="24"/>
          <w:szCs w:val="24"/>
        </w:rPr>
        <w:t>Di seguito l’immagine illustra il funzionamento del ciclo:</w:t>
      </w:r>
    </w:p>
    <w:p>
      <w:pPr>
        <w:pStyle w:val="NormalWeb"/>
        <w:spacing w:before="100" w:after="100"/>
        <w:rPr/>
      </w:pPr>
      <w:r>
        <w:rPr/>
        <w:drawing>
          <wp:inline distT="0" distB="0" distL="0" distR="0">
            <wp:extent cx="5731510" cy="2545080"/>
            <wp:effectExtent l="0" t="0" r="0" b="0"/>
            <wp:docPr id="3" name="Immagine4"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4" descr="Immagine che contiene testo, schermata, Carattere, linea&#10;&#10;Il contenuto generato dall'IA potrebbe non essere corretto."/>
                    <pic:cNvPicPr>
                      <a:picLocks noChangeAspect="1" noChangeArrowheads="1"/>
                    </pic:cNvPicPr>
                  </pic:nvPicPr>
                  <pic:blipFill>
                    <a:blip r:embed="rId21"/>
                    <a:stretch>
                      <a:fillRect/>
                    </a:stretch>
                  </pic:blipFill>
                  <pic:spPr bwMode="auto">
                    <a:xfrm>
                      <a:off x="0" y="0"/>
                      <a:ext cx="5731510" cy="2545080"/>
                    </a:xfrm>
                    <a:prstGeom prst="rect">
                      <a:avLst/>
                    </a:prstGeom>
                    <a:noFill/>
                  </pic:spPr>
                </pic:pic>
              </a:graphicData>
            </a:graphic>
          </wp:inline>
        </w:drawing>
      </w:r>
    </w:p>
    <w:p>
      <w:pPr>
        <w:pStyle w:val="Normal"/>
        <w:rPr>
          <w:sz w:val="24"/>
          <w:szCs w:val="24"/>
        </w:rPr>
      </w:pPr>
      <w:bookmarkStart w:id="30" w:name="_Hlk212216000"/>
      <w:bookmarkEnd w:id="30"/>
      <w:r>
        <w:rPr>
          <w:sz w:val="24"/>
          <w:szCs w:val="24"/>
        </w:rPr>
        <w:t>Per maggiori informazioni e per controllare eventuali modifiche consultare le nuove primitive alla pagina seguente:</w:t>
      </w:r>
    </w:p>
    <w:p>
      <w:pPr>
        <w:pStyle w:val="Normal"/>
        <w:rPr>
          <w:sz w:val="24"/>
          <w:szCs w:val="24"/>
        </w:rPr>
      </w:pPr>
      <w:hyperlink r:id="rId22">
        <w:r>
          <w:rPr>
            <w:rStyle w:val="Hyperlink"/>
            <w:sz w:val="24"/>
            <w:szCs w:val="24"/>
          </w:rPr>
          <w:t>https://developer.pagopa.it/pago-pa/guides/sanp/appendici/primitive</w:t>
        </w:r>
      </w:hyperlink>
    </w:p>
    <w:p>
      <w:pPr>
        <w:pStyle w:val="Normal"/>
        <w:rPr>
          <w:sz w:val="24"/>
          <w:szCs w:val="24"/>
        </w:rPr>
      </w:pPr>
      <w:r>
        <w:rPr>
          <w:sz w:val="24"/>
          <w:szCs w:val="24"/>
        </w:rPr>
      </w:r>
    </w:p>
    <w:p>
      <w:pPr>
        <w:pStyle w:val="NormalWeb"/>
        <w:spacing w:before="100" w:after="100"/>
        <w:rPr/>
      </w:pPr>
      <w:r>
        <w:rPr/>
      </w:r>
    </w:p>
    <w:p>
      <w:pPr>
        <w:pStyle w:val="Normal"/>
        <w:rPr>
          <w:sz w:val="24"/>
          <w:szCs w:val="24"/>
          <w:lang w:eastAsia="it-IT"/>
        </w:rPr>
      </w:pPr>
      <w:r>
        <w:rPr>
          <w:sz w:val="24"/>
          <w:szCs w:val="24"/>
          <w:lang w:eastAsia="it-IT"/>
        </w:rPr>
        <w:t>I dati ricevuti tramite le nuove primitive devono essere  :</w:t>
      </w:r>
    </w:p>
    <w:p>
      <w:pPr>
        <w:pStyle w:val="Normal"/>
        <w:rPr>
          <w:sz w:val="24"/>
          <w:szCs w:val="24"/>
          <w:lang w:eastAsia="it-IT"/>
        </w:rPr>
      </w:pPr>
      <w:r>
        <w:rPr>
          <w:sz w:val="24"/>
          <w:szCs w:val="24"/>
          <w:lang w:eastAsia="it-IT"/>
        </w:rPr>
      </w:r>
    </w:p>
    <w:p>
      <w:pPr>
        <w:pStyle w:val="ListParagraph"/>
        <w:numPr>
          <w:ilvl w:val="0"/>
          <w:numId w:val="11"/>
        </w:numPr>
        <w:tabs>
          <w:tab w:val="clear" w:pos="284"/>
          <w:tab w:val="left" w:pos="644" w:leader="none"/>
        </w:tabs>
        <w:ind w:hanging="360" w:start="644"/>
        <w:rPr>
          <w:sz w:val="24"/>
          <w:szCs w:val="24"/>
          <w:lang w:eastAsia="it-IT"/>
        </w:rPr>
      </w:pPr>
      <w:r>
        <w:rPr>
          <w:sz w:val="24"/>
          <w:szCs w:val="24"/>
          <w:lang w:eastAsia="it-IT"/>
        </w:rPr>
        <w:t>Inseriti nei nostri archivi, in modo da mantenere la struttura con cui sono stati ricevuti da pagoPa e l’informazione riguardante il formato del file acquisito</w:t>
      </w:r>
    </w:p>
    <w:p>
      <w:pPr>
        <w:pStyle w:val="Normal"/>
        <w:rPr>
          <w:sz w:val="24"/>
          <w:szCs w:val="24"/>
          <w:lang w:eastAsia="it-IT"/>
        </w:rPr>
      </w:pPr>
      <w:r>
        <w:rPr>
          <w:sz w:val="24"/>
          <w:szCs w:val="24"/>
          <w:lang w:eastAsia="it-IT"/>
        </w:rPr>
      </w:r>
    </w:p>
    <w:p>
      <w:pPr>
        <w:pStyle w:val="ListParagraph"/>
        <w:numPr>
          <w:ilvl w:val="0"/>
          <w:numId w:val="10"/>
        </w:numPr>
        <w:tabs>
          <w:tab w:val="clear" w:pos="284"/>
          <w:tab w:val="left" w:pos="644" w:leader="none"/>
        </w:tabs>
        <w:ind w:hanging="360" w:start="644"/>
        <w:rPr>
          <w:sz w:val="24"/>
          <w:szCs w:val="24"/>
        </w:rPr>
      </w:pPr>
      <w:r>
        <w:rPr>
          <w:sz w:val="24"/>
          <w:szCs w:val="24"/>
        </w:rPr>
        <w:t>Inviati, tramite una logica separata da quella attuale, agli EC che hanno fatto richiesta di ricevere i flussi base, mantenendo il formato con cui ci sono state inviate da pagoPa (json) e tramite la stessa modalità di invocazione precedente, per ridurre l’impatto sugli enti riceventi. Per fornire agli EC il tempo di uniformarsi  alle nuove modalità di gestione, occorre prevedere anche il mantenimento delle precedenti procedure di ricezione e invio.</w:t>
      </w:r>
    </w:p>
    <w:p>
      <w:pPr>
        <w:pStyle w:val="Normal"/>
        <w:rPr>
          <w:sz w:val="24"/>
          <w:szCs w:val="24"/>
        </w:rPr>
      </w:pPr>
      <w:r>
        <w:rPr>
          <w:sz w:val="24"/>
          <w:szCs w:val="24"/>
        </w:rPr>
      </w:r>
    </w:p>
    <w:p>
      <w:pPr>
        <w:pStyle w:val="ListParagraph"/>
        <w:numPr>
          <w:ilvl w:val="0"/>
          <w:numId w:val="10"/>
        </w:numPr>
        <w:tabs>
          <w:tab w:val="clear" w:pos="284"/>
          <w:tab w:val="left" w:pos="644" w:leader="none"/>
        </w:tabs>
        <w:ind w:hanging="360" w:start="644"/>
        <w:rPr>
          <w:sz w:val="24"/>
          <w:szCs w:val="24"/>
        </w:rPr>
      </w:pPr>
      <w:r>
        <w:rPr>
          <w:sz w:val="24"/>
          <w:szCs w:val="24"/>
        </w:rPr>
        <w:t xml:space="preserve">Integrati con altre informazioni e inviati nel formato completo e riconciliato agli enti che ne fanno richiesta( come avviene già ora). </w:t>
      </w:r>
    </w:p>
    <w:p>
      <w:pPr>
        <w:pStyle w:val="NormalWeb"/>
        <w:spacing w:before="100" w:after="100"/>
        <w:rPr/>
      </w:pPr>
      <w:r>
        <w:rPr/>
      </w:r>
    </w:p>
    <w:p>
      <w:pPr>
        <w:pStyle w:val="Normal"/>
        <w:rPr>
          <w:sz w:val="24"/>
          <w:szCs w:val="24"/>
        </w:rPr>
      </w:pPr>
      <w:r>
        <w:rPr>
          <w:b/>
          <w:bCs/>
          <w:sz w:val="24"/>
          <w:szCs w:val="24"/>
        </w:rPr>
        <w:t>Punto di attenzione</w:t>
      </w:r>
      <w:r>
        <w:rPr>
          <w:sz w:val="24"/>
          <w:szCs w:val="24"/>
        </w:rPr>
        <w:t>:</w:t>
      </w:r>
    </w:p>
    <w:p>
      <w:pPr>
        <w:pStyle w:val="NormalWeb"/>
        <w:spacing w:before="100" w:after="100"/>
        <w:rPr>
          <w:lang w:eastAsia="ar-SA"/>
        </w:rPr>
      </w:pPr>
      <w:r>
        <w:rPr>
          <w:lang w:eastAsia="ar-SA"/>
        </w:rPr>
        <w:t xml:space="preserve">Poiché PagoPA talvolta apporta modifiche ai file YAML senza preavviso e senza aggiornamento delle relative specifiche, (per esempio sullo YAML delle nuove primitive è presente il campo flowDate assente nella documentazione) potrebbero emergere in futuro </w:t>
      </w:r>
      <w:r>
        <w:rPr>
          <w:b/>
          <w:bCs/>
          <w:lang w:eastAsia="ar-SA"/>
        </w:rPr>
        <w:t xml:space="preserve">discrepanze </w:t>
      </w:r>
      <w:r>
        <w:rPr>
          <w:lang w:eastAsia="ar-SA"/>
        </w:rPr>
        <w:t xml:space="preserve">tra le istruzioni riportate nell’analisi e quanto effettivamente pubblicato sul sito ufficiale. si rende perciò necessario effettuare controlli periodici sulla documentazione pagoPa, per rilevare tempestivamente eventuali variazioni. </w:t>
      </w:r>
    </w:p>
    <w:p>
      <w:pPr>
        <w:pStyle w:val="NormalWeb"/>
        <w:spacing w:before="100" w:after="100"/>
        <w:rPr/>
      </w:pPr>
      <w:r>
        <w:rPr/>
      </w:r>
    </w:p>
    <w:p>
      <w:pPr>
        <w:pStyle w:val="NormalWeb"/>
        <w:spacing w:before="100" w:after="100"/>
        <w:rPr/>
      </w:pPr>
      <w:r>
        <w:rPr/>
        <w:t xml:space="preserve">Da un confronto interno con i Solution Design CSI è emersa la proposta sviluppare una </w:t>
      </w:r>
      <w:r>
        <w:rPr>
          <w:b/>
          <w:bCs/>
        </w:rPr>
        <w:t>componente software dedicata</w:t>
      </w:r>
      <w:r>
        <w:rPr/>
        <w:t xml:space="preserve">, composta da nuove classi specificamente progettate per la ricezione e la conservazione dei flussi provenienti dalle nuove primitive, per separare completamente la nuova logica da quella precedente. Analogamente la si potrebbero definire e creare </w:t>
      </w:r>
      <w:r>
        <w:rPr>
          <w:b/>
          <w:bCs/>
        </w:rPr>
        <w:t>nuove tabelle</w:t>
      </w:r>
      <w:r>
        <w:rPr/>
        <w:t xml:space="preserve"> nel database, pensate per gestire in modo strutturato e coerente i dati associati alla nuova logica di funzionamento</w:t>
      </w:r>
      <w:r>
        <w:rPr>
          <w:b/>
          <w:bCs/>
        </w:rPr>
        <w:t xml:space="preserve">. </w:t>
      </w:r>
      <w:r>
        <w:rPr/>
        <w:t>Tuttavia, prima di apportare queste modifiche, è necessario effettuare una valutazione di impatto per valutarne la fattibilità. Qualora emergano criticità, è opportuno individuare soluzioni alternative, tenendo conto anche dell’eventuale dismissione di batch non più necessari</w:t>
      </w:r>
    </w:p>
    <w:p>
      <w:pPr>
        <w:pStyle w:val="NormalWeb"/>
        <w:spacing w:before="100" w:after="100"/>
        <w:rPr/>
      </w:pPr>
      <w:r>
        <w:rPr/>
      </w:r>
      <w:bookmarkStart w:id="31" w:name="_Hlk212216000"/>
      <w:bookmarkStart w:id="32" w:name="_Hlk212216000"/>
      <w:bookmarkEnd w:id="32"/>
    </w:p>
    <w:p>
      <w:pPr>
        <w:pStyle w:val="Normal"/>
        <w:widowControl/>
        <w:suppressAutoHyphens w:val="false"/>
        <w:spacing w:lineRule="auto" w:line="240"/>
        <w:rPr>
          <w:sz w:val="24"/>
          <w:szCs w:val="24"/>
        </w:rPr>
      </w:pPr>
      <w:r>
        <w:rPr>
          <w:sz w:val="24"/>
          <w:szCs w:val="24"/>
        </w:rPr>
      </w:r>
    </w:p>
    <w:p>
      <w:pPr>
        <w:pStyle w:val="Heading1"/>
        <w:rPr/>
      </w:pPr>
      <w:bookmarkStart w:id="33" w:name="_Toc218761254"/>
      <w:bookmarkStart w:id="34" w:name="_Toc212738168"/>
      <w:r>
        <w:rPr/>
        <w:t>Requisiti</w:t>
      </w:r>
      <w:bookmarkEnd w:id="33"/>
      <w:bookmarkEnd w:id="34"/>
    </w:p>
    <w:p>
      <w:pPr>
        <w:pStyle w:val="Normal"/>
        <w:rPr>
          <w:sz w:val="24"/>
          <w:szCs w:val="24"/>
          <w:lang w:eastAsia="it-IT"/>
        </w:rPr>
      </w:pPr>
      <w:r>
        <w:rPr>
          <w:sz w:val="24"/>
          <w:szCs w:val="24"/>
          <w:lang w:eastAsia="it-IT"/>
        </w:rPr>
        <w:t>Di seguito si riporta in forma tabellare l’elenco dei requisiti ripartiti per tipologia:</w:t>
      </w:r>
    </w:p>
    <w:p>
      <w:pPr>
        <w:pStyle w:val="Normal"/>
        <w:widowControl/>
        <w:suppressAutoHyphens w:val="false"/>
        <w:spacing w:lineRule="auto" w:line="240"/>
        <w:rPr/>
      </w:pPr>
      <w:r>
        <w:rPr/>
      </w:r>
    </w:p>
    <w:p>
      <w:pPr>
        <w:pStyle w:val="Normal"/>
        <w:rPr/>
      </w:pPr>
      <w:r>
        <w:rPr/>
      </w:r>
    </w:p>
    <w:tbl>
      <w:tblPr>
        <w:tblStyle w:val="Grigliatabella"/>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698"/>
        <w:gridCol w:w="1391"/>
        <w:gridCol w:w="6927"/>
      </w:tblGrid>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ID</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TIPOLOGIA</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REQUISITO</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Trasversale</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Le soluzioni rilasciate non devono generare regressioni sul sistema.</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2</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Trasversale</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Le soluzioni rilasciate non devono generare rallentamenti nelle operazioni del sistema.</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3</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 xml:space="preserve">Il sistema deve essere in grado di richiamare le nuove API REST messe a disposizione da PagoPA. </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4</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L’autorizzazione richiesta per le nuove primitive  è Authorizations: Ocp-Apim-Subscription-Keystring. Le regole della  gestione della conservazione della Subscription-Key devono essere conformi a quelle in uso attualmente per gli altri servizi</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5</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Il sistema deve adeguarsi alla nuova modalità richiesta adattando i processi di controllo e selezione esistenti</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6</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Il sistema deve essere predisposto per gestire richieste paginabili e scorrere tutte le pagine fino al recupero completo</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7</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 xml:space="preserve">La modalità di ricezione precedente deve essere mantenuta e gestita parametricamente </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8</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 xml:space="preserve">Implementare la gestione delle richieste per flussi non acquisiti correttamente, tramite gestione parametrica </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9</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Inserimento di log degli errori in una tabella apposita</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10</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0"/>
                <w:szCs w:val="20"/>
                <w:lang w:val="it-IT" w:bidi="ar-SA"/>
              </w:rPr>
              <w:t>Implementazione di una modalità di interrogazione dei flussi PagoPA consenta  la richiesta dei flussi a partire da una determinata data calcolata tramite un apposito parametro</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11</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Solo i flussi base sono impattati dalla modifica e devono essere inviati nello stesso formato ricevuto da PagoPA.</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12</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Mantenere la modalità di trasmissione attuale per ridurre l’impatto sugli EC, modificare la tipologia del file criptato inviato.</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13</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La tipologia di formato del file da inviare deve essere gestita parametricamente e l’informazione va inserita nel tracciato flusso.</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14</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Nei sistemi possono coesistere più versioni non elaborate dello stesso flusso, durante l’elaborazione, deve essere selezionata e inviata solo la versione più recente</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15</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Consentire agli EC di continuare a ricevere i flussi tramite la vecchia modalità fino alla dismissione da parte di PagoPA.</w:t>
            </w:r>
          </w:p>
        </w:tc>
      </w:tr>
      <w:tr>
        <w:trPr/>
        <w:tc>
          <w:tcPr>
            <w:tcW w:w="698" w:type="dxa"/>
            <w:tcBorders/>
          </w:tcPr>
          <w:p>
            <w:pPr>
              <w:pStyle w:val="Normal"/>
              <w:spacing w:before="0" w:after="0"/>
              <w:jc w:val="start"/>
              <w:rPr>
                <w:sz w:val="22"/>
                <w:szCs w:val="22"/>
              </w:rPr>
            </w:pPr>
            <w:r>
              <w:rPr>
                <w:rFonts w:eastAsia="Times New Roman" w:cs="Times New Roman"/>
                <w:kern w:val="0"/>
                <w:sz w:val="22"/>
                <w:szCs w:val="22"/>
                <w:lang w:val="it-IT" w:bidi="ar-SA"/>
              </w:rPr>
              <w:t>16</w:t>
            </w:r>
          </w:p>
        </w:tc>
        <w:tc>
          <w:tcPr>
            <w:tcW w:w="1391" w:type="dxa"/>
            <w:tcBorders/>
          </w:tcPr>
          <w:p>
            <w:pPr>
              <w:pStyle w:val="Normal"/>
              <w:spacing w:before="0" w:after="0"/>
              <w:jc w:val="start"/>
              <w:rPr>
                <w:sz w:val="22"/>
                <w:szCs w:val="22"/>
              </w:rPr>
            </w:pPr>
            <w:r>
              <w:rPr>
                <w:rFonts w:eastAsia="Times New Roman" w:cs="Times New Roman"/>
                <w:kern w:val="0"/>
                <w:sz w:val="22"/>
                <w:szCs w:val="22"/>
                <w:lang w:val="it-IT" w:bidi="ar-SA"/>
              </w:rPr>
              <w:t>Diretto</w:t>
            </w:r>
          </w:p>
        </w:tc>
        <w:tc>
          <w:tcPr>
            <w:tcW w:w="6927" w:type="dxa"/>
            <w:tcBorders/>
          </w:tcPr>
          <w:p>
            <w:pPr>
              <w:pStyle w:val="Normal"/>
              <w:spacing w:before="0" w:after="0"/>
              <w:jc w:val="start"/>
              <w:rPr>
                <w:sz w:val="22"/>
                <w:szCs w:val="22"/>
              </w:rPr>
            </w:pPr>
            <w:r>
              <w:rPr>
                <w:rFonts w:eastAsia="Times New Roman" w:cs="Times New Roman"/>
                <w:kern w:val="0"/>
                <w:sz w:val="22"/>
                <w:szCs w:val="22"/>
                <w:lang w:val="it-IT" w:bidi="ar-SA"/>
              </w:rPr>
              <w:t>I parametri richiesti devono essere salvati sul db e facilmente modificabili, senza necessità di riavvii del sistema o interventi sistemistici e non è necessario lo sviluppo di un FE apposito per la loro gestione</w:t>
            </w:r>
          </w:p>
        </w:tc>
      </w:tr>
    </w:tbl>
    <w:p>
      <w:pPr>
        <w:pStyle w:val="Normal"/>
        <w:rPr/>
      </w:pPr>
      <w:r>
        <w:rPr/>
      </w:r>
    </w:p>
    <w:p>
      <w:pPr>
        <w:pStyle w:val="Heading1"/>
        <w:rPr/>
      </w:pPr>
      <w:bookmarkStart w:id="35" w:name="_Toc218761255"/>
      <w:r>
        <w:rPr/>
        <w:t>Tabella degli impatti</w:t>
      </w:r>
      <w:bookmarkEnd w:id="35"/>
    </w:p>
    <w:p>
      <w:pPr>
        <w:pStyle w:val="Normal"/>
        <w:jc w:val="both"/>
        <w:rPr>
          <w:sz w:val="24"/>
          <w:szCs w:val="24"/>
        </w:rPr>
      </w:pPr>
      <w:r>
        <w:rPr>
          <w:sz w:val="24"/>
          <w:szCs w:val="24"/>
        </w:rPr>
        <w:t>Lo scopo della tabella è fornire una panoramica delle parti coinvolte nella richiesta di intervento.</w:t>
      </w:r>
    </w:p>
    <w:p>
      <w:pPr>
        <w:pStyle w:val="ListParagraph"/>
        <w:rPr/>
      </w:pPr>
      <w:r>
        <w:rPr/>
      </w:r>
    </w:p>
    <w:tbl>
      <w:tblPr>
        <w:tblStyle w:val="Tabellasemplice-1"/>
        <w:tblW w:w="920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262"/>
        <w:gridCol w:w="3687"/>
        <w:gridCol w:w="3260"/>
      </w:tblGrid>
      <w:tr>
        <w:trPr>
          <w:trHeight w:val="6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tcBorders/>
          </w:tcPr>
          <w:p>
            <w:pPr>
              <w:pStyle w:val="Normal"/>
              <w:widowControl/>
              <w:suppressAutoHyphens w:val="false"/>
              <w:spacing w:lineRule="auto" w:line="240" w:before="0" w:after="0"/>
              <w:jc w:val="center"/>
              <w:rPr>
                <w:rFonts w:ascii="Calibri" w:hAnsi="Calibri" w:cs="Calibri"/>
                <w:lang w:eastAsia="it-IT"/>
              </w:rPr>
            </w:pPr>
            <w:r>
              <w:rPr>
                <w:rFonts w:eastAsia="Times New Roman" w:cs="Calibri" w:ascii="Calibri" w:hAnsi="Calibri"/>
                <w:b/>
                <w:bCs/>
                <w:kern w:val="0"/>
                <w:sz w:val="20"/>
                <w:szCs w:val="20"/>
                <w:lang w:val="it-IT" w:eastAsia="it-IT" w:bidi="ar-SA"/>
              </w:rPr>
              <w:t>Tipologia</w:t>
            </w:r>
          </w:p>
        </w:tc>
        <w:tc>
          <w:tcPr>
            <w:tcW w:w="3687" w:type="dxa"/>
            <w:tcBorders/>
          </w:tcPr>
          <w:p>
            <w:pPr>
              <w:pStyle w:val="Normal"/>
              <w:widowControl/>
              <w:suppressAutoHyphens w:val="fals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eastAsia="it-IT"/>
              </w:rPr>
            </w:pPr>
            <w:r>
              <w:rPr>
                <w:rFonts w:eastAsia="Times New Roman" w:cs="Calibri" w:ascii="Calibri" w:hAnsi="Calibri"/>
                <w:b/>
                <w:bCs/>
                <w:kern w:val="0"/>
                <w:sz w:val="20"/>
                <w:szCs w:val="20"/>
                <w:lang w:val="it-IT" w:eastAsia="it-IT" w:bidi="ar-SA"/>
              </w:rPr>
              <w:t>Descrizione</w:t>
            </w:r>
          </w:p>
        </w:tc>
        <w:tc>
          <w:tcPr>
            <w:tcW w:w="3260" w:type="dxa"/>
            <w:tcBorders/>
          </w:tcPr>
          <w:p>
            <w:pPr>
              <w:pStyle w:val="Normal"/>
              <w:widowControl/>
              <w:suppressAutoHyphens w:val="false"/>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eastAsia="it-IT"/>
              </w:rPr>
            </w:pPr>
            <w:r>
              <w:rPr>
                <w:rFonts w:eastAsia="Times New Roman" w:cs="Calibri" w:ascii="Calibri" w:hAnsi="Calibri"/>
                <w:b/>
                <w:bCs/>
                <w:kern w:val="0"/>
                <w:sz w:val="20"/>
                <w:szCs w:val="20"/>
                <w:lang w:val="it-IT" w:eastAsia="it-IT" w:bidi="ar-SA"/>
              </w:rPr>
              <w:t>Impatto</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tcBorders/>
            <w:shd w:color="auto" w:fill="A6A6A6" w:themeFill="background1" w:themeFillShade="a6" w:val="clear"/>
          </w:tcPr>
          <w:p>
            <w:pPr>
              <w:pStyle w:val="Normal"/>
              <w:widowControl/>
              <w:suppressAutoHyphens w:val="false"/>
              <w:spacing w:lineRule="auto" w:line="240" w:before="0" w:after="0"/>
              <w:jc w:val="start"/>
              <w:rPr>
                <w:rFonts w:ascii="Calibri" w:hAnsi="Calibri" w:cs="Calibri"/>
                <w:lang w:eastAsia="it-IT"/>
              </w:rPr>
            </w:pPr>
            <w:r>
              <w:rPr>
                <w:rFonts w:eastAsia="Times New Roman" w:cs="Calibri" w:ascii="Calibri" w:hAnsi="Calibri"/>
                <w:b/>
                <w:bCs/>
                <w:kern w:val="0"/>
                <w:sz w:val="20"/>
                <w:szCs w:val="20"/>
                <w:lang w:val="it-IT" w:eastAsia="it-IT" w:bidi="ar-SA"/>
              </w:rPr>
              <w:t>Portale Ente Creditore</w:t>
            </w:r>
          </w:p>
        </w:tc>
        <w:tc>
          <w:tcPr>
            <w:tcW w:w="3687"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Funzionalità a video</w:t>
            </w:r>
          </w:p>
        </w:tc>
        <w:tc>
          <w:tcPr>
            <w:tcW w:w="3260"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no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262" w:type="dxa"/>
            <w:vMerge w:val="restart"/>
            <w:tcBorders/>
            <w:shd w:color="auto" w:fill="A6A6A6" w:themeFill="background1" w:themeFillShade="a6" w:val="clear"/>
          </w:tcPr>
          <w:p>
            <w:pPr>
              <w:pStyle w:val="Normal"/>
              <w:widowControl/>
              <w:suppressAutoHyphens w:val="false"/>
              <w:spacing w:lineRule="auto" w:line="240" w:before="0" w:after="0"/>
              <w:jc w:val="start"/>
              <w:rPr>
                <w:rFonts w:ascii="Calibri" w:hAnsi="Calibri" w:cs="Calibri"/>
                <w:lang w:eastAsia="it-IT"/>
              </w:rPr>
            </w:pPr>
            <w:r>
              <w:rPr>
                <w:rFonts w:eastAsia="Times New Roman" w:cs="Calibri" w:ascii="Calibri" w:hAnsi="Calibri"/>
                <w:b/>
                <w:bCs/>
                <w:kern w:val="0"/>
                <w:sz w:val="20"/>
                <w:szCs w:val="20"/>
                <w:lang w:val="it-IT" w:eastAsia="it-IT" w:bidi="ar-SA"/>
              </w:rPr>
              <w:t>Sportello del Cittadino</w:t>
            </w:r>
          </w:p>
        </w:tc>
        <w:tc>
          <w:tcPr>
            <w:tcW w:w="3687" w:type="dxa"/>
            <w:tcBorders/>
          </w:tcPr>
          <w:p>
            <w:pPr>
              <w:pStyle w:val="Normal"/>
              <w:widowControl/>
              <w:suppressAutoHyphens w:val="fals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Accesso NON autenticato</w:t>
            </w:r>
          </w:p>
        </w:tc>
        <w:tc>
          <w:tcPr>
            <w:tcW w:w="3260" w:type="dxa"/>
            <w:tcBorders/>
          </w:tcPr>
          <w:p>
            <w:pPr>
              <w:pStyle w:val="Normal"/>
              <w:widowControl/>
              <w:suppressAutoHyphens w:val="fals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no</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vMerge w:val="continue"/>
            <w:tcBorders/>
            <w:shd w:color="auto" w:fill="A6A6A6" w:themeFill="background1" w:themeFillShade="a6" w:val="clear"/>
          </w:tcPr>
          <w:p>
            <w:pPr>
              <w:pStyle w:val="Normal"/>
              <w:widowControl/>
              <w:suppressAutoHyphens w:val="false"/>
              <w:spacing w:lineRule="auto" w:line="240" w:before="0" w:after="0"/>
              <w:jc w:val="start"/>
              <w:rPr>
                <w:rFonts w:ascii="Calibri" w:hAnsi="Calibri" w:cs="Calibri"/>
                <w:lang w:eastAsia="it-IT"/>
              </w:rPr>
            </w:pPr>
            <w:r>
              <w:rPr>
                <w:rFonts w:eastAsia="Times New Roman" w:cs="Calibri" w:ascii="Calibri" w:hAnsi="Calibri"/>
                <w:b/>
                <w:bCs/>
                <w:kern w:val="0"/>
                <w:sz w:val="20"/>
                <w:szCs w:val="20"/>
                <w:lang w:val="it-IT" w:eastAsia="it-IT" w:bidi="ar-SA"/>
              </w:rPr>
            </w:r>
          </w:p>
        </w:tc>
        <w:tc>
          <w:tcPr>
            <w:tcW w:w="3687"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Accesso autenticato</w:t>
            </w:r>
          </w:p>
        </w:tc>
        <w:tc>
          <w:tcPr>
            <w:tcW w:w="3260"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no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262" w:type="dxa"/>
            <w:vMerge w:val="restart"/>
            <w:tcBorders/>
            <w:shd w:color="auto" w:fill="A6A6A6" w:themeFill="background1" w:themeFillShade="a6" w:val="clear"/>
          </w:tcPr>
          <w:p>
            <w:pPr>
              <w:pStyle w:val="Normal"/>
              <w:widowControl/>
              <w:suppressAutoHyphens w:val="false"/>
              <w:spacing w:lineRule="auto" w:line="240" w:before="0" w:after="0"/>
              <w:jc w:val="start"/>
              <w:rPr>
                <w:rFonts w:ascii="Calibri" w:hAnsi="Calibri" w:cs="Calibri"/>
                <w:lang w:eastAsia="it-IT"/>
              </w:rPr>
            </w:pPr>
            <w:r>
              <w:rPr>
                <w:rFonts w:eastAsia="Times New Roman" w:cs="Calibri" w:ascii="Calibri" w:hAnsi="Calibri"/>
                <w:b/>
                <w:bCs/>
                <w:kern w:val="0"/>
                <w:sz w:val="20"/>
                <w:szCs w:val="20"/>
                <w:lang w:val="it-IT" w:eastAsia="it-IT" w:bidi="ar-SA"/>
              </w:rPr>
              <w:t xml:space="preserve">Servizi </w:t>
            </w:r>
          </w:p>
        </w:tc>
        <w:tc>
          <w:tcPr>
            <w:tcW w:w="3687" w:type="dxa"/>
            <w:tcBorders/>
          </w:tcPr>
          <w:p>
            <w:pPr>
              <w:pStyle w:val="Normal"/>
              <w:widowControl/>
              <w:suppressAutoHyphens w:val="fals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Verso i fruitori CSI</w:t>
            </w:r>
          </w:p>
        </w:tc>
        <w:tc>
          <w:tcPr>
            <w:tcW w:w="3260" w:type="dxa"/>
            <w:tcBorders/>
          </w:tcPr>
          <w:p>
            <w:pPr>
              <w:pStyle w:val="Normal"/>
              <w:widowControl/>
              <w:suppressAutoHyphens w:val="fals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sì</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2" w:type="dxa"/>
            <w:vMerge w:val="continue"/>
            <w:tcBorders/>
            <w:shd w:color="auto" w:fill="A6A6A6" w:themeFill="background1" w:themeFillShade="a6" w:val="clear"/>
          </w:tcPr>
          <w:p>
            <w:pPr>
              <w:pStyle w:val="Normal"/>
              <w:widowControl/>
              <w:suppressAutoHyphens w:val="false"/>
              <w:spacing w:lineRule="auto" w:line="240" w:before="0" w:after="0"/>
              <w:jc w:val="start"/>
              <w:rPr>
                <w:rFonts w:ascii="Calibri" w:hAnsi="Calibri" w:cs="Calibri"/>
                <w:lang w:eastAsia="it-IT"/>
              </w:rPr>
            </w:pPr>
            <w:r>
              <w:rPr>
                <w:rFonts w:eastAsia="Times New Roman" w:cs="Calibri" w:ascii="Calibri" w:hAnsi="Calibri"/>
                <w:b/>
                <w:bCs/>
                <w:kern w:val="0"/>
                <w:sz w:val="20"/>
                <w:szCs w:val="20"/>
                <w:lang w:val="it-IT" w:eastAsia="it-IT" w:bidi="ar-SA"/>
              </w:rPr>
            </w:r>
          </w:p>
        </w:tc>
        <w:tc>
          <w:tcPr>
            <w:tcW w:w="3687"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Verso i fruitori NON CSI</w:t>
            </w:r>
          </w:p>
        </w:tc>
        <w:tc>
          <w:tcPr>
            <w:tcW w:w="3260" w:type="dxa"/>
            <w:tcBorders/>
            <w:shd w:color="auto" w:fill="F2F2F2" w:themeFill="background1" w:themeFillShade="f2" w:val="clear"/>
          </w:tcPr>
          <w:p>
            <w:pPr>
              <w:pStyle w:val="Normal"/>
              <w:widowControl/>
              <w:suppressAutoHyphens w:val="fals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Calibri" w:hAnsi="Calibri" w:cs="Calibri"/>
                <w:b/>
                <w:bCs/>
                <w:lang w:eastAsia="it-IT"/>
              </w:rPr>
            </w:pPr>
            <w:r>
              <w:rPr>
                <w:rFonts w:eastAsia="Times New Roman" w:cs="Calibri" w:ascii="Calibri" w:hAnsi="Calibri"/>
                <w:b/>
                <w:bCs/>
                <w:kern w:val="0"/>
                <w:sz w:val="20"/>
                <w:szCs w:val="20"/>
                <w:lang w:val="it-IT" w:eastAsia="it-IT" w:bidi="ar-SA"/>
              </w:rPr>
              <w:t>sì</w:t>
            </w:r>
          </w:p>
        </w:tc>
      </w:tr>
    </w:tbl>
    <w:p>
      <w:pPr>
        <w:pStyle w:val="Normal"/>
        <w:ind w:end="183"/>
        <w:jc w:val="both"/>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roman"/>
    <w:pitch w:val="variable"/>
  </w:font>
  <w:font w:name="Courier New">
    <w:charset w:val="00" w:characterSet="windows-1252"/>
    <w:family w:val="roman"/>
    <w:pitch w:val="variable"/>
  </w:font>
  <w:font w:name="Wingdings">
    <w:charset w:val="00" w:characterSet="windows-1252"/>
    <w:family w:val="roman"/>
    <w:pitch w:val="variable"/>
  </w:font>
  <w:font w:name="Tahoma">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 w:name="Book Antiqua">
    <w:charset w:val="00" w:characterSet="windows-1252"/>
    <w:family w:val="roman"/>
    <w:pitch w:val="variable"/>
  </w:font>
  <w:font w:name="Calibri Light">
    <w:charset w:val="00" w:characterSet="windows-1252"/>
    <w:family w:val="swiss"/>
    <w:pitch w:val="variable"/>
  </w:font>
  <w:font w:name="Garamond">
    <w:charset w:val="00" w:characterSet="windows-1252"/>
    <w:family w:val="roman"/>
    <w:pitch w:val="variable"/>
  </w:font>
  <w:font w:name="Calibri">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b/>
      </w:rPr>
    </w:pPr>
    <w:r>
      <w:rPr>
        <w:sz w:val="18"/>
      </w:rPr>
      <w:tab/>
      <w:tab/>
    </w:r>
    <w:r>
      <w:rPr/>
      <w:t>uso:</w:t>
    </w:r>
    <w:r>
      <w:rPr>
        <w:b/>
      </w:rPr>
      <w:t xml:space="preserve"> ESTERNO CSI-Piemonte</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b/>
      </w:rPr>
    </w:pPr>
    <w:r>
      <w:rPr>
        <w:sz w:val="18"/>
      </w:rPr>
      <w:tab/>
      <w:tab/>
    </w:r>
    <w:r>
      <w:rPr/>
      <w:t>uso:</w:t>
    </w:r>
    <w:r>
      <w:rPr>
        <w:b/>
      </w:rPr>
      <w:t xml:space="preserve"> ESTERNO CSI-Piemonte</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6" w:type="dxa"/>
      <w:jc w:val="start"/>
      <w:tblInd w:w="-439" w:type="dxa"/>
      <w:tblLayout w:type="fixed"/>
      <w:tblCellMar>
        <w:top w:w="0" w:type="dxa"/>
        <w:start w:w="70" w:type="dxa"/>
        <w:bottom w:w="0" w:type="dxa"/>
        <w:end w:w="70" w:type="dxa"/>
      </w:tblCellMar>
      <w:tblLook w:firstRow="0" w:noVBand="0" w:lastRow="0" w:firstColumn="0" w:lastColumn="0" w:noHBand="0" w:val="0000"/>
    </w:tblPr>
    <w:tblGrid>
      <w:gridCol w:w="2125"/>
      <w:gridCol w:w="5532"/>
      <w:gridCol w:w="2269"/>
    </w:tblGrid>
    <w:tr>
      <w:trPr>
        <w:trHeight w:val="1730" w:hRule="atLeast"/>
      </w:trPr>
      <w:tc>
        <w:tcPr>
          <w:tcW w:w="2125" w:type="dxa"/>
          <w:tcBorders>
            <w:top w:val="single" w:sz="8" w:space="0" w:color="000000"/>
            <w:start w:val="single" w:sz="8" w:space="0" w:color="000000"/>
            <w:bottom w:val="single" w:sz="8" w:space="0" w:color="000000"/>
          </w:tcBorders>
        </w:tcPr>
        <w:p>
          <w:pPr>
            <w:pStyle w:val="Normal"/>
            <w:tabs>
              <w:tab w:val="clear" w:pos="284"/>
              <w:tab w:val="left" w:pos="1134" w:leader="none"/>
            </w:tabs>
            <w:snapToGrid w:val="false"/>
            <w:jc w:val="center"/>
            <w:rPr/>
          </w:pPr>
          <w:r>
            <w:rPr/>
            <w:drawing>
              <wp:inline distT="0" distB="0" distL="0" distR="0">
                <wp:extent cx="1242060" cy="391160"/>
                <wp:effectExtent l="0" t="0" r="0" b="0"/>
                <wp:docPr id="4" name="Immagine 62862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628622108"/>
                        <pic:cNvPicPr>
                          <a:picLocks noChangeAspect="1" noChangeArrowheads="1"/>
                        </pic:cNvPicPr>
                      </pic:nvPicPr>
                      <pic:blipFill>
                        <a:blip r:embed="rId1"/>
                        <a:stretch>
                          <a:fillRect/>
                        </a:stretch>
                      </pic:blipFill>
                      <pic:spPr bwMode="auto">
                        <a:xfrm>
                          <a:off x="0" y="0"/>
                          <a:ext cx="1242060" cy="391160"/>
                        </a:xfrm>
                        <a:prstGeom prst="rect">
                          <a:avLst/>
                        </a:prstGeom>
                        <a:noFill/>
                      </pic:spPr>
                    </pic:pic>
                  </a:graphicData>
                </a:graphic>
              </wp:inline>
            </w:drawing>
          </w:r>
        </w:p>
      </w:tc>
      <w:tc>
        <w:tcPr>
          <w:tcW w:w="5532" w:type="dxa"/>
          <w:tcBorders>
            <w:top w:val="single" w:sz="8" w:space="0" w:color="000000"/>
            <w:start w:val="single" w:sz="4" w:space="0" w:color="000000"/>
            <w:bottom w:val="single" w:sz="8" w:space="0" w:color="000000"/>
          </w:tcBorders>
        </w:tcPr>
        <w:p>
          <w:pPr>
            <w:pStyle w:val="Title"/>
            <w:snapToGrid w:val="false"/>
            <w:rPr>
              <w:caps/>
              <w:sz w:val="28"/>
            </w:rPr>
          </w:pPr>
          <w:r>
            <w:rPr>
              <w:caps/>
              <w:sz w:val="28"/>
            </w:rPr>
            <w:t xml:space="preserve">PROGETTO PIEMONTEPAY </w:t>
          </w:r>
        </w:p>
        <w:p>
          <w:pPr>
            <w:pStyle w:val="Normal"/>
            <w:jc w:val="center"/>
            <w:rPr>
              <w:i/>
              <w:sz w:val="24"/>
              <w:szCs w:val="24"/>
            </w:rPr>
          </w:pPr>
          <w:r>
            <w:rPr>
              <w:i/>
              <w:sz w:val="24"/>
              <w:szCs w:val="24"/>
            </w:rPr>
            <w:t xml:space="preserve">Vista d’Insieme </w:t>
          </w:r>
        </w:p>
        <w:p>
          <w:pPr>
            <w:pStyle w:val="Normal"/>
            <w:tabs>
              <w:tab w:val="clear" w:pos="284"/>
              <w:tab w:val="left" w:pos="602" w:leader="none"/>
            </w:tabs>
            <w:snapToGrid w:val="false"/>
            <w:ind w:start="432"/>
            <w:rPr>
              <w:i/>
              <w:sz w:val="32"/>
              <w:szCs w:val="18"/>
              <w:u w:val="single"/>
            </w:rPr>
          </w:pPr>
          <w:r>
            <w:rPr>
              <w:rFonts w:cs="Arial" w:ascii="Arial" w:hAnsi="Arial"/>
              <w:i/>
              <w:sz w:val="40"/>
              <w:szCs w:val="40"/>
            </w:rPr>
            <w:t xml:space="preserve">Richiesta Flussi Rendicontazione Pagopa </w:t>
          </w:r>
        </w:p>
        <w:p>
          <w:pPr>
            <w:pStyle w:val="Normal"/>
            <w:tabs>
              <w:tab w:val="clear" w:pos="284"/>
              <w:tab w:val="left" w:pos="602" w:leader="none"/>
            </w:tabs>
            <w:snapToGrid w:val="false"/>
            <w:jc w:val="center"/>
            <w:rPr>
              <w:bCs/>
              <w:i/>
              <w:caps/>
              <w:sz w:val="24"/>
              <w:lang w:val="fr-FR"/>
            </w:rPr>
          </w:pPr>
          <w:r>
            <w:rPr>
              <w:bCs/>
              <w:i/>
              <w:caps/>
              <w:sz w:val="24"/>
              <w:lang w:val="fr-FR"/>
            </w:rPr>
          </w:r>
        </w:p>
      </w:tc>
      <w:tc>
        <w:tcPr>
          <w:tcW w:w="2269" w:type="dxa"/>
          <w:tcBorders>
            <w:top w:val="single" w:sz="8" w:space="0" w:color="000000"/>
            <w:start w:val="single" w:sz="4" w:space="0" w:color="000000"/>
            <w:bottom w:val="single" w:sz="8" w:space="0" w:color="000000"/>
            <w:end w:val="single" w:sz="8" w:space="0" w:color="000000"/>
          </w:tcBorders>
        </w:tcPr>
        <w:p>
          <w:pPr>
            <w:pStyle w:val="Normal"/>
            <w:tabs>
              <w:tab w:val="clear" w:pos="284"/>
              <w:tab w:val="left" w:pos="1134" w:leader="none"/>
            </w:tabs>
            <w:jc w:val="center"/>
            <w:rPr>
              <w:caps/>
              <w:sz w:val="22"/>
              <w:szCs w:val="22"/>
              <w:lang w:val="fr-FR"/>
            </w:rPr>
          </w:pPr>
          <w:r>
            <w:rPr>
              <w:caps/>
              <w:sz w:val="22"/>
              <w:szCs w:val="22"/>
              <w:lang w:val="fr-FR"/>
            </w:rPr>
            <w:fldChar w:fldCharType="begin"/>
          </w:r>
          <w:r>
            <w:rPr>
              <w:caps/>
              <w:sz w:val="22"/>
              <w:szCs w:val="22"/>
              <w:lang w:val="fr-FR"/>
            </w:rPr>
            <w:instrText xml:space="preserve"> FILENAME </w:instrText>
          </w:r>
          <w:r>
            <w:rPr>
              <w:caps/>
              <w:sz w:val="22"/>
              <w:szCs w:val="22"/>
              <w:lang w:val="fr-FR"/>
            </w:rPr>
            <w:fldChar w:fldCharType="separate"/>
          </w:r>
          <w:r>
            <w:rPr>
              <w:caps/>
              <w:sz w:val="22"/>
              <w:szCs w:val="22"/>
              <w:lang w:val="fr-FR"/>
            </w:rPr>
            <w:t>GA23-011-L1 -MDPNEW-31_V2 - RichiestaFlussiRendicontazionePagopa</w:t>
          </w:r>
          <w:r>
            <w:rPr>
              <w:caps/>
              <w:sz w:val="22"/>
              <w:szCs w:val="22"/>
              <w:lang w:val="fr-FR"/>
            </w:rPr>
            <w:fldChar w:fldCharType="end"/>
          </w:r>
        </w:p>
        <w:p>
          <w:pPr>
            <w:pStyle w:val="Normal"/>
            <w:tabs>
              <w:tab w:val="clear" w:pos="284"/>
              <w:tab w:val="left" w:pos="1134" w:leader="none"/>
            </w:tabs>
            <w:jc w:val="center"/>
            <w:rPr>
              <w:caps/>
              <w:sz w:val="22"/>
              <w:szCs w:val="22"/>
              <w:lang w:val="fr-FR"/>
            </w:rPr>
          </w:pPr>
          <w:r>
            <w:rPr>
              <w:caps/>
              <w:sz w:val="22"/>
              <w:szCs w:val="22"/>
              <w:lang w:val="fr-FR"/>
            </w:rPr>
          </w:r>
        </w:p>
        <w:p>
          <w:pPr>
            <w:pStyle w:val="Normal"/>
            <w:tabs>
              <w:tab w:val="clear" w:pos="284"/>
              <w:tab w:val="left" w:pos="1134" w:leader="none"/>
            </w:tabs>
            <w:jc w:val="center"/>
            <w:rPr/>
          </w:pPr>
          <w:r>
            <w:rPr/>
            <w:t xml:space="preserve">Pag. </w:t>
          </w:r>
          <w:r>
            <w:rPr/>
            <w:fldChar w:fldCharType="begin"/>
          </w:r>
          <w:r>
            <w:rPr/>
            <w:instrText xml:space="preserve"> PAGE </w:instrText>
          </w:r>
          <w:r>
            <w:rPr/>
            <w:fldChar w:fldCharType="separate"/>
          </w:r>
          <w:r>
            <w:rPr/>
            <w:t>14</w:t>
          </w:r>
          <w:r>
            <w:rPr/>
            <w:fldChar w:fldCharType="end"/>
          </w:r>
          <w:r>
            <w:rPr/>
            <w:t xml:space="preserve"> di </w:t>
          </w:r>
          <w:r>
            <w:rPr/>
            <w:fldChar w:fldCharType="begin"/>
          </w:r>
          <w:r>
            <w:rPr/>
            <w:instrText xml:space="preserve"> NUMPAGES </w:instrText>
          </w:r>
          <w:r>
            <w:rPr/>
            <w:fldChar w:fldCharType="separate"/>
          </w:r>
          <w:r>
            <w:rPr/>
            <w:t>15</w:t>
          </w:r>
          <w:r>
            <w:rPr/>
            <w:fldChar w:fldCharType="end"/>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6" w:type="dxa"/>
      <w:jc w:val="start"/>
      <w:tblInd w:w="-439" w:type="dxa"/>
      <w:tblLayout w:type="fixed"/>
      <w:tblCellMar>
        <w:top w:w="0" w:type="dxa"/>
        <w:start w:w="70" w:type="dxa"/>
        <w:bottom w:w="0" w:type="dxa"/>
        <w:end w:w="70" w:type="dxa"/>
      </w:tblCellMar>
      <w:tblLook w:firstRow="0" w:noVBand="0" w:lastRow="0" w:firstColumn="0" w:lastColumn="0" w:noHBand="0" w:val="0000"/>
    </w:tblPr>
    <w:tblGrid>
      <w:gridCol w:w="2125"/>
      <w:gridCol w:w="5532"/>
      <w:gridCol w:w="2269"/>
    </w:tblGrid>
    <w:tr>
      <w:trPr>
        <w:trHeight w:val="1730" w:hRule="atLeast"/>
      </w:trPr>
      <w:tc>
        <w:tcPr>
          <w:tcW w:w="2125" w:type="dxa"/>
          <w:tcBorders>
            <w:top w:val="single" w:sz="8" w:space="0" w:color="000000"/>
            <w:start w:val="single" w:sz="8" w:space="0" w:color="000000"/>
            <w:bottom w:val="single" w:sz="8" w:space="0" w:color="000000"/>
          </w:tcBorders>
        </w:tcPr>
        <w:p>
          <w:pPr>
            <w:pStyle w:val="Normal"/>
            <w:tabs>
              <w:tab w:val="clear" w:pos="284"/>
              <w:tab w:val="left" w:pos="1134" w:leader="none"/>
            </w:tabs>
            <w:snapToGrid w:val="false"/>
            <w:jc w:val="center"/>
            <w:rPr/>
          </w:pPr>
          <w:r>
            <w:rPr/>
            <w:drawing>
              <wp:inline distT="0" distB="0" distL="0" distR="0">
                <wp:extent cx="1242060" cy="391160"/>
                <wp:effectExtent l="0" t="0" r="0" b="0"/>
                <wp:docPr id="5" name="Immagine 62862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628622108"/>
                        <pic:cNvPicPr>
                          <a:picLocks noChangeAspect="1" noChangeArrowheads="1"/>
                        </pic:cNvPicPr>
                      </pic:nvPicPr>
                      <pic:blipFill>
                        <a:blip r:embed="rId1"/>
                        <a:stretch>
                          <a:fillRect/>
                        </a:stretch>
                      </pic:blipFill>
                      <pic:spPr bwMode="auto">
                        <a:xfrm>
                          <a:off x="0" y="0"/>
                          <a:ext cx="1242060" cy="391160"/>
                        </a:xfrm>
                        <a:prstGeom prst="rect">
                          <a:avLst/>
                        </a:prstGeom>
                        <a:noFill/>
                      </pic:spPr>
                    </pic:pic>
                  </a:graphicData>
                </a:graphic>
              </wp:inline>
            </w:drawing>
          </w:r>
        </w:p>
      </w:tc>
      <w:tc>
        <w:tcPr>
          <w:tcW w:w="5532" w:type="dxa"/>
          <w:tcBorders>
            <w:top w:val="single" w:sz="8" w:space="0" w:color="000000"/>
            <w:start w:val="single" w:sz="4" w:space="0" w:color="000000"/>
            <w:bottom w:val="single" w:sz="8" w:space="0" w:color="000000"/>
          </w:tcBorders>
        </w:tcPr>
        <w:p>
          <w:pPr>
            <w:pStyle w:val="Title"/>
            <w:snapToGrid w:val="false"/>
            <w:rPr>
              <w:caps/>
              <w:sz w:val="28"/>
            </w:rPr>
          </w:pPr>
          <w:r>
            <w:rPr>
              <w:caps/>
              <w:sz w:val="28"/>
            </w:rPr>
            <w:t xml:space="preserve">PROGETTO PIEMONTEPAY </w:t>
          </w:r>
        </w:p>
        <w:p>
          <w:pPr>
            <w:pStyle w:val="Normal"/>
            <w:jc w:val="center"/>
            <w:rPr>
              <w:i/>
              <w:sz w:val="24"/>
              <w:szCs w:val="24"/>
            </w:rPr>
          </w:pPr>
          <w:r>
            <w:rPr>
              <w:i/>
              <w:sz w:val="24"/>
              <w:szCs w:val="24"/>
            </w:rPr>
            <w:t xml:space="preserve">Vista d’Insieme </w:t>
          </w:r>
        </w:p>
        <w:p>
          <w:pPr>
            <w:pStyle w:val="Normal"/>
            <w:tabs>
              <w:tab w:val="clear" w:pos="284"/>
              <w:tab w:val="left" w:pos="602" w:leader="none"/>
            </w:tabs>
            <w:snapToGrid w:val="false"/>
            <w:ind w:start="432"/>
            <w:rPr>
              <w:i/>
              <w:sz w:val="32"/>
              <w:szCs w:val="18"/>
              <w:u w:val="single"/>
            </w:rPr>
          </w:pPr>
          <w:r>
            <w:rPr>
              <w:rFonts w:cs="Arial" w:ascii="Arial" w:hAnsi="Arial"/>
              <w:i/>
              <w:sz w:val="40"/>
              <w:szCs w:val="40"/>
            </w:rPr>
            <w:t xml:space="preserve">Richiesta Flussi Rendicontazione Pagopa </w:t>
          </w:r>
        </w:p>
        <w:p>
          <w:pPr>
            <w:pStyle w:val="Normal"/>
            <w:tabs>
              <w:tab w:val="clear" w:pos="284"/>
              <w:tab w:val="left" w:pos="602" w:leader="none"/>
            </w:tabs>
            <w:snapToGrid w:val="false"/>
            <w:jc w:val="center"/>
            <w:rPr>
              <w:bCs/>
              <w:i/>
              <w:caps/>
              <w:sz w:val="24"/>
              <w:lang w:val="fr-FR"/>
            </w:rPr>
          </w:pPr>
          <w:r>
            <w:rPr>
              <w:bCs/>
              <w:i/>
              <w:caps/>
              <w:sz w:val="24"/>
              <w:lang w:val="fr-FR"/>
            </w:rPr>
          </w:r>
        </w:p>
      </w:tc>
      <w:tc>
        <w:tcPr>
          <w:tcW w:w="2269" w:type="dxa"/>
          <w:tcBorders>
            <w:top w:val="single" w:sz="8" w:space="0" w:color="000000"/>
            <w:start w:val="single" w:sz="4" w:space="0" w:color="000000"/>
            <w:bottom w:val="single" w:sz="8" w:space="0" w:color="000000"/>
            <w:end w:val="single" w:sz="8" w:space="0" w:color="000000"/>
          </w:tcBorders>
        </w:tcPr>
        <w:p>
          <w:pPr>
            <w:pStyle w:val="Normal"/>
            <w:tabs>
              <w:tab w:val="clear" w:pos="284"/>
              <w:tab w:val="left" w:pos="1134" w:leader="none"/>
            </w:tabs>
            <w:jc w:val="center"/>
            <w:rPr>
              <w:caps/>
              <w:sz w:val="22"/>
              <w:szCs w:val="22"/>
              <w:lang w:val="fr-FR"/>
            </w:rPr>
          </w:pPr>
          <w:r>
            <w:rPr>
              <w:caps/>
              <w:sz w:val="22"/>
              <w:szCs w:val="22"/>
              <w:lang w:val="fr-FR"/>
            </w:rPr>
            <w:fldChar w:fldCharType="begin"/>
          </w:r>
          <w:r>
            <w:rPr>
              <w:caps/>
              <w:sz w:val="22"/>
              <w:szCs w:val="22"/>
              <w:lang w:val="fr-FR"/>
            </w:rPr>
            <w:instrText xml:space="preserve"> FILENAME </w:instrText>
          </w:r>
          <w:r>
            <w:rPr>
              <w:caps/>
              <w:sz w:val="22"/>
              <w:szCs w:val="22"/>
              <w:lang w:val="fr-FR"/>
            </w:rPr>
            <w:fldChar w:fldCharType="separate"/>
          </w:r>
          <w:r>
            <w:rPr>
              <w:caps/>
              <w:sz w:val="22"/>
              <w:szCs w:val="22"/>
              <w:lang w:val="fr-FR"/>
            </w:rPr>
            <w:t>GA23-011-L1 -MDPNEW-31_V2 - RichiestaFlussiRendicontazionePagopa</w:t>
          </w:r>
          <w:r>
            <w:rPr>
              <w:caps/>
              <w:sz w:val="22"/>
              <w:szCs w:val="22"/>
              <w:lang w:val="fr-FR"/>
            </w:rPr>
            <w:fldChar w:fldCharType="end"/>
          </w:r>
        </w:p>
        <w:p>
          <w:pPr>
            <w:pStyle w:val="Normal"/>
            <w:tabs>
              <w:tab w:val="clear" w:pos="284"/>
              <w:tab w:val="left" w:pos="1134" w:leader="none"/>
            </w:tabs>
            <w:jc w:val="center"/>
            <w:rPr>
              <w:caps/>
              <w:sz w:val="22"/>
              <w:szCs w:val="22"/>
              <w:lang w:val="fr-FR"/>
            </w:rPr>
          </w:pPr>
          <w:r>
            <w:rPr>
              <w:caps/>
              <w:sz w:val="22"/>
              <w:szCs w:val="22"/>
              <w:lang w:val="fr-FR"/>
            </w:rPr>
          </w:r>
        </w:p>
        <w:p>
          <w:pPr>
            <w:pStyle w:val="Normal"/>
            <w:tabs>
              <w:tab w:val="clear" w:pos="284"/>
              <w:tab w:val="left" w:pos="1134" w:leader="none"/>
            </w:tabs>
            <w:jc w:val="center"/>
            <w:rPr/>
          </w:pPr>
          <w:r>
            <w:rPr/>
            <w:t xml:space="preserve">Pag. </w:t>
          </w:r>
          <w:r>
            <w:rPr/>
            <w:fldChar w:fldCharType="begin"/>
          </w:r>
          <w:r>
            <w:rPr/>
            <w:instrText xml:space="preserve"> PAGE </w:instrText>
          </w:r>
          <w:r>
            <w:rPr/>
            <w:fldChar w:fldCharType="separate"/>
          </w:r>
          <w:r>
            <w:rPr/>
            <w:t>14</w:t>
          </w:r>
          <w:r>
            <w:rPr/>
            <w:fldChar w:fldCharType="end"/>
          </w:r>
          <w:r>
            <w:rPr/>
            <w:t xml:space="preserve"> di </w:t>
          </w:r>
          <w:r>
            <w:rPr/>
            <w:fldChar w:fldCharType="begin"/>
          </w:r>
          <w:r>
            <w:rPr/>
            <w:instrText xml:space="preserve"> NUMPAGES </w:instrText>
          </w:r>
          <w:r>
            <w:rPr/>
            <w:fldChar w:fldCharType="separate"/>
          </w:r>
          <w:r>
            <w:rPr/>
            <w:t>15</w:t>
          </w:r>
          <w:r>
            <w:rPr/>
            <w:fldChar w:fldCharType="end"/>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360" w:hanging="360"/>
      </w:pPr>
      <w:rPr/>
    </w:lvl>
    <w:lvl w:ilvl="1">
      <w:start w:val="1"/>
      <w:numFmt w:val="decimal"/>
      <w:lvlText w:val="%1.%2."/>
      <w:lvlJc w:val="start"/>
      <w:pPr>
        <w:tabs>
          <w:tab w:val="num" w:pos="1440"/>
        </w:tabs>
        <w:ind w:start="792" w:hanging="432"/>
      </w:pPr>
      <w:rPr/>
    </w:lvl>
    <w:lvl w:ilvl="2">
      <w:start w:val="1"/>
      <w:numFmt w:val="decimal"/>
      <w:lvlText w:val="%1.%2.%3."/>
      <w:lvlJc w:val="start"/>
      <w:pPr>
        <w:tabs>
          <w:tab w:val="num" w:pos="2520"/>
        </w:tabs>
        <w:ind w:start="1224" w:hanging="504"/>
      </w:pPr>
      <w:rPr/>
    </w:lvl>
    <w:lvl w:ilvl="3">
      <w:start w:val="1"/>
      <w:numFmt w:val="decimal"/>
      <w:lvlText w:val="%1.%2.%3.%4."/>
      <w:lvlJc w:val="start"/>
      <w:pPr>
        <w:tabs>
          <w:tab w:val="num" w:pos="3240"/>
        </w:tabs>
        <w:ind w:start="1728" w:hanging="648"/>
      </w:pPr>
      <w:rPr/>
    </w:lvl>
    <w:lvl w:ilvl="4">
      <w:start w:val="1"/>
      <w:numFmt w:val="decimal"/>
      <w:lvlText w:val="%1.%2.%3.%4.%5."/>
      <w:lvlJc w:val="start"/>
      <w:pPr>
        <w:tabs>
          <w:tab w:val="num" w:pos="4320"/>
        </w:tabs>
        <w:ind w:start="2232" w:hanging="792"/>
      </w:pPr>
      <w:rPr/>
    </w:lvl>
    <w:lvl w:ilvl="5">
      <w:start w:val="1"/>
      <w:numFmt w:val="decimal"/>
      <w:lvlText w:val="%1.%2.%3.%4.%5.%6."/>
      <w:lvlJc w:val="start"/>
      <w:pPr>
        <w:tabs>
          <w:tab w:val="num" w:pos="5040"/>
        </w:tabs>
        <w:ind w:start="2736" w:hanging="936"/>
      </w:pPr>
      <w:rPr/>
    </w:lvl>
    <w:lvl w:ilvl="6">
      <w:start w:val="1"/>
      <w:numFmt w:val="decimal"/>
      <w:lvlText w:val="%1.%2.%3.%4.%5.%6.%7."/>
      <w:lvlJc w:val="start"/>
      <w:pPr>
        <w:tabs>
          <w:tab w:val="num" w:pos="6120"/>
        </w:tabs>
        <w:ind w:start="3240" w:hanging="1080"/>
      </w:pPr>
      <w:rPr/>
    </w:lvl>
    <w:lvl w:ilvl="7">
      <w:start w:val="1"/>
      <w:numFmt w:val="decimal"/>
      <w:lvlText w:val="%1.%2.%3.%4.%5.%6.%7.%8."/>
      <w:lvlJc w:val="start"/>
      <w:pPr>
        <w:tabs>
          <w:tab w:val="num" w:pos="6840"/>
        </w:tabs>
        <w:ind w:start="3744" w:hanging="1224"/>
      </w:pPr>
      <w:rPr/>
    </w:lvl>
    <w:lvl w:ilvl="8">
      <w:start w:val="1"/>
      <w:numFmt w:val="decimal"/>
      <w:lvlText w:val="%1.%2.%3.%4.%5.%6.%7.%8.%9."/>
      <w:lvlJc w:val="start"/>
      <w:pPr>
        <w:tabs>
          <w:tab w:val="num" w:pos="7920"/>
        </w:tabs>
        <w:ind w:start="4320" w:hanging="144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283" w:hanging="283"/>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644"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1068"/>
        </w:tabs>
        <w:ind w:start="1068" w:hanging="360"/>
      </w:pPr>
      <w:rPr>
        <w:rFonts w:ascii="Symbol" w:hAnsi="Symbol" w:cs="Symbol" w:hint="default"/>
        <w:sz w:val="20"/>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11">
    <w:lvl w:ilvl="0">
      <w:start w:val="1"/>
      <w:numFmt w:val="bullet"/>
      <w:lvlText w:val=""/>
      <w:lvlJc w:val="start"/>
      <w:pPr>
        <w:tabs>
          <w:tab w:val="num" w:pos="1068"/>
        </w:tabs>
        <w:ind w:start="1068" w:hanging="360"/>
      </w:pPr>
      <w:rPr>
        <w:rFonts w:ascii="Symbol" w:hAnsi="Symbol" w:cs="Symbol" w:hint="default"/>
        <w:sz w:val="20"/>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0"/>
  <w:embedSystemFonts/>
  <w:defaultTabStop w:val="284"/>
  <w:autoHyphenation w:val="true"/>
  <w:hyphenationZone w:val="0"/>
  <w:compat>
    <w:balanceSingleByteDoubleByteWidth/>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uiPriority="35"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eastAsia="ar-SA" w:val="it-IT"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rPr>
  </w:style>
  <w:style w:type="character" w:styleId="WW8Num4z0" w:customStyle="1">
    <w:name w:val="WW8Num4z0"/>
    <w:qFormat/>
    <w:rPr>
      <w:rFonts w:ascii="Symbol" w:hAnsi="Symbol"/>
    </w:rPr>
  </w:style>
  <w:style w:type="character" w:styleId="WW8Num5z0" w:customStyle="1">
    <w:name w:val="WW8Num5z0"/>
    <w:qFormat/>
    <w:rPr>
      <w:rFonts w:ascii="Symbol" w:hAnsi="Symbol"/>
    </w:rPr>
  </w:style>
  <w:style w:type="character" w:styleId="WW8Num7z0" w:customStyle="1">
    <w:name w:val="WW8Num7z0"/>
    <w:qFormat/>
    <w:rPr>
      <w:rFonts w:ascii="Symbol" w:hAnsi="Symbol"/>
    </w:rPr>
  </w:style>
  <w:style w:type="character" w:styleId="WW8Num8z0" w:customStyle="1">
    <w:name w:val="WW8Num8z0"/>
    <w:qFormat/>
    <w:rPr>
      <w:rFonts w:ascii="Symbol" w:hAnsi="Symbol"/>
    </w:rPr>
  </w:style>
  <w:style w:type="character" w:styleId="WW8Num9z0" w:customStyle="1">
    <w:name w:val="WW8Num9z0"/>
    <w:qFormat/>
    <w:rPr>
      <w:rFonts w:ascii="Symbol" w:hAnsi="Symbol"/>
    </w:rPr>
  </w:style>
  <w:style w:type="character" w:styleId="WW8Num10z0" w:customStyle="1">
    <w:name w:val="WW8Num10z0"/>
    <w:qFormat/>
    <w:rPr>
      <w:rFonts w:ascii="Symbol" w:hAnsi="Symbol"/>
    </w:rPr>
  </w:style>
  <w:style w:type="character" w:styleId="WW8Num10z1" w:customStyle="1">
    <w:name w:val="WW8Num10z1"/>
    <w:qFormat/>
    <w:rPr>
      <w:rFonts w:ascii="Courier New" w:hAnsi="Courier New"/>
    </w:rPr>
  </w:style>
  <w:style w:type="character" w:styleId="WW8Num10z2" w:customStyle="1">
    <w:name w:val="WW8Num10z2"/>
    <w:qFormat/>
    <w:rPr>
      <w:rFonts w:ascii="Wingdings" w:hAnsi="Wingdings"/>
    </w:rPr>
  </w:style>
  <w:style w:type="character" w:styleId="WW8Num11z0" w:customStyle="1">
    <w:name w:val="WW8Num11z0"/>
    <w:qFormat/>
    <w:rPr>
      <w:rFonts w:ascii="Symbol" w:hAnsi="Symbol"/>
    </w:rPr>
  </w:style>
  <w:style w:type="character" w:styleId="WW8Num12z0" w:customStyle="1">
    <w:name w:val="WW8Num12z0"/>
    <w:qFormat/>
    <w:rPr>
      <w:rFonts w:ascii="Symbol" w:hAnsi="Symbol"/>
    </w:rPr>
  </w:style>
  <w:style w:type="character" w:styleId="WW8Num13z0" w:customStyle="1">
    <w:name w:val="WW8Num13z0"/>
    <w:qFormat/>
    <w:rPr>
      <w:rFonts w:ascii="Symbol" w:hAnsi="Symbol"/>
    </w:rPr>
  </w:style>
  <w:style w:type="character" w:styleId="WW8Num14z0" w:customStyle="1">
    <w:name w:val="WW8Num14z0"/>
    <w:qFormat/>
    <w:rPr>
      <w:rFonts w:ascii="Symbol" w:hAnsi="Symbol"/>
    </w:rPr>
  </w:style>
  <w:style w:type="character" w:styleId="WW8Num15z0" w:customStyle="1">
    <w:name w:val="WW8Num15z0"/>
    <w:qFormat/>
    <w:rPr>
      <w:rFonts w:ascii="Symbol" w:hAnsi="Symbol"/>
    </w:rPr>
  </w:style>
  <w:style w:type="character" w:styleId="WW8Num15z1" w:customStyle="1">
    <w:name w:val="WW8Num15z1"/>
    <w:qFormat/>
    <w:rPr>
      <w:rFonts w:ascii="Courier New" w:hAnsi="Courier New"/>
    </w:rPr>
  </w:style>
  <w:style w:type="character" w:styleId="WW8Num15z2" w:customStyle="1">
    <w:name w:val="WW8Num15z2"/>
    <w:qFormat/>
    <w:rPr>
      <w:rFonts w:ascii="Wingdings" w:hAnsi="Wingdings"/>
    </w:rPr>
  </w:style>
  <w:style w:type="character" w:styleId="WW8Num16z0" w:customStyle="1">
    <w:name w:val="WW8Num16z0"/>
    <w:qFormat/>
    <w:rPr>
      <w:rFonts w:ascii="Symbol" w:hAnsi="Symbol"/>
    </w:rPr>
  </w:style>
  <w:style w:type="character" w:styleId="WW8Num17z0" w:customStyle="1">
    <w:name w:val="WW8Num17z0"/>
    <w:qFormat/>
    <w:rPr>
      <w:rFonts w:ascii="Symbol" w:hAnsi="Symbol"/>
    </w:rPr>
  </w:style>
  <w:style w:type="character" w:styleId="WW8Num18z0" w:customStyle="1">
    <w:name w:val="WW8Num18z0"/>
    <w:qFormat/>
    <w:rPr>
      <w:rFonts w:ascii="Symbol" w:hAnsi="Symbol"/>
    </w:rPr>
  </w:style>
  <w:style w:type="character" w:styleId="WW8Num18z1" w:customStyle="1">
    <w:name w:val="WW8Num18z1"/>
    <w:qFormat/>
    <w:rPr>
      <w:rFonts w:ascii="Courier New" w:hAnsi="Courier New"/>
    </w:rPr>
  </w:style>
  <w:style w:type="character" w:styleId="WW8Num18z2" w:customStyle="1">
    <w:name w:val="WW8Num18z2"/>
    <w:qFormat/>
    <w:rPr>
      <w:rFonts w:ascii="Wingdings" w:hAnsi="Wingdings"/>
    </w:rPr>
  </w:style>
  <w:style w:type="character" w:styleId="WW8Num19z0" w:customStyle="1">
    <w:name w:val="WW8Num19z0"/>
    <w:qFormat/>
    <w:rPr>
      <w:rFonts w:ascii="Symbol" w:hAnsi="Symbol"/>
    </w:rPr>
  </w:style>
  <w:style w:type="character" w:styleId="WW8Num20z0" w:customStyle="1">
    <w:name w:val="WW8Num20z0"/>
    <w:qFormat/>
    <w:rPr>
      <w:rFonts w:ascii="Symbol" w:hAnsi="Symbol"/>
    </w:rPr>
  </w:style>
  <w:style w:type="character" w:styleId="WW8Num21z0" w:customStyle="1">
    <w:name w:val="WW8Num21z0"/>
    <w:qFormat/>
    <w:rPr>
      <w:rFonts w:ascii="Symbol" w:hAnsi="Symbol"/>
    </w:rPr>
  </w:style>
  <w:style w:type="character" w:styleId="WW8Num22z0" w:customStyle="1">
    <w:name w:val="WW8Num22z0"/>
    <w:qFormat/>
    <w:rPr>
      <w:rFonts w:ascii="Symbol" w:hAnsi="Symbol"/>
    </w:rPr>
  </w:style>
  <w:style w:type="character" w:styleId="WW8Num23z0" w:customStyle="1">
    <w:name w:val="WW8Num23z0"/>
    <w:qFormat/>
    <w:rPr>
      <w:rFonts w:ascii="Symbol" w:hAnsi="Symbol"/>
    </w:rPr>
  </w:style>
  <w:style w:type="character" w:styleId="WW8Num24z0" w:customStyle="1">
    <w:name w:val="WW8Num24z0"/>
    <w:qFormat/>
    <w:rPr>
      <w:rFonts w:ascii="Symbol" w:hAnsi="Symbol"/>
    </w:rPr>
  </w:style>
  <w:style w:type="character" w:styleId="WW8Num25z0" w:customStyle="1">
    <w:name w:val="WW8Num25z0"/>
    <w:qFormat/>
    <w:rPr>
      <w:rFonts w:ascii="Symbol" w:hAnsi="Symbol"/>
    </w:rPr>
  </w:style>
  <w:style w:type="character" w:styleId="WW8Num26z0" w:customStyle="1">
    <w:name w:val="WW8Num26z0"/>
    <w:qFormat/>
    <w:rPr>
      <w:rFonts w:ascii="Symbol" w:hAnsi="Symbol"/>
    </w:rPr>
  </w:style>
  <w:style w:type="character" w:styleId="WW8Num27z0" w:customStyle="1">
    <w:name w:val="WW8Num27z0"/>
    <w:qFormat/>
    <w:rPr>
      <w:rFonts w:ascii="Symbol" w:hAnsi="Symbol"/>
    </w:rPr>
  </w:style>
  <w:style w:type="character" w:styleId="WW8Num28z0" w:customStyle="1">
    <w:name w:val="WW8Num28z0"/>
    <w:qFormat/>
    <w:rPr>
      <w:rFonts w:ascii="Symbol" w:hAnsi="Symbol"/>
    </w:rPr>
  </w:style>
  <w:style w:type="character" w:styleId="WW8Num30z0" w:customStyle="1">
    <w:name w:val="WW8Num30z0"/>
    <w:qFormat/>
    <w:rPr>
      <w:rFonts w:ascii="Symbol" w:hAnsi="Symbol"/>
    </w:rPr>
  </w:style>
  <w:style w:type="character" w:styleId="WW8Num31z0" w:customStyle="1">
    <w:name w:val="WW8Num31z0"/>
    <w:qFormat/>
    <w:rPr>
      <w:rFonts w:ascii="Symbol" w:hAnsi="Symbol"/>
    </w:rPr>
  </w:style>
  <w:style w:type="character" w:styleId="WW8Num32z0" w:customStyle="1">
    <w:name w:val="WW8Num32z0"/>
    <w:qFormat/>
    <w:rPr>
      <w:rFonts w:ascii="Symbol" w:hAnsi="Symbol"/>
    </w:rPr>
  </w:style>
  <w:style w:type="character" w:styleId="WW8Num32z1" w:customStyle="1">
    <w:name w:val="WW8Num32z1"/>
    <w:qFormat/>
    <w:rPr>
      <w:rFonts w:ascii="Courier New" w:hAnsi="Courier New"/>
    </w:rPr>
  </w:style>
  <w:style w:type="character" w:styleId="WW8Num32z2" w:customStyle="1">
    <w:name w:val="WW8Num32z2"/>
    <w:qFormat/>
    <w:rPr>
      <w:rFonts w:ascii="Wingdings" w:hAnsi="Wingdings"/>
    </w:rPr>
  </w:style>
  <w:style w:type="character" w:styleId="WW8Num33z0" w:customStyle="1">
    <w:name w:val="WW8Num33z0"/>
    <w:qFormat/>
    <w:rPr>
      <w:rFonts w:ascii="Symbol" w:hAnsi="Symbol"/>
    </w:rPr>
  </w:style>
  <w:style w:type="character" w:styleId="WW8Num33z1" w:customStyle="1">
    <w:name w:val="WW8Num33z1"/>
    <w:qFormat/>
    <w:rPr>
      <w:rFonts w:ascii="Courier New" w:hAnsi="Courier New"/>
    </w:rPr>
  </w:style>
  <w:style w:type="character" w:styleId="WW8Num33z2" w:customStyle="1">
    <w:name w:val="WW8Num33z2"/>
    <w:qFormat/>
    <w:rPr>
      <w:rFonts w:ascii="Wingdings" w:hAnsi="Wingdings"/>
    </w:rPr>
  </w:style>
  <w:style w:type="character" w:styleId="WW8Num34z0" w:customStyle="1">
    <w:name w:val="WW8Num34z0"/>
    <w:qFormat/>
    <w:rPr>
      <w:rFonts w:ascii="Symbol" w:hAnsi="Symbol"/>
    </w:rPr>
  </w:style>
  <w:style w:type="character" w:styleId="WW8Num35z0" w:customStyle="1">
    <w:name w:val="WW8Num35z0"/>
    <w:qFormat/>
    <w:rPr>
      <w:rFonts w:ascii="Symbol" w:hAnsi="Symbol"/>
    </w:rPr>
  </w:style>
  <w:style w:type="character" w:styleId="WW8Num36z0" w:customStyle="1">
    <w:name w:val="WW8Num36z0"/>
    <w:qFormat/>
    <w:rPr>
      <w:rFonts w:ascii="Symbol" w:hAnsi="Symbol"/>
    </w:rPr>
  </w:style>
  <w:style w:type="character" w:styleId="WW8Num37z0" w:customStyle="1">
    <w:name w:val="WW8Num37z0"/>
    <w:qFormat/>
    <w:rPr>
      <w:rFonts w:ascii="Symbol" w:hAnsi="Symbol"/>
    </w:rPr>
  </w:style>
  <w:style w:type="character" w:styleId="WW8Num39z0" w:customStyle="1">
    <w:name w:val="WW8Num39z0"/>
    <w:qFormat/>
    <w:rPr>
      <w:rFonts w:ascii="Symbol" w:hAnsi="Symbol"/>
    </w:rPr>
  </w:style>
  <w:style w:type="character" w:styleId="WW8Num41z0" w:customStyle="1">
    <w:name w:val="WW8Num41z0"/>
    <w:qFormat/>
    <w:rPr>
      <w:rFonts w:ascii="Symbol" w:hAnsi="Symbol"/>
    </w:rPr>
  </w:style>
  <w:style w:type="character" w:styleId="WW8Num42z0" w:customStyle="1">
    <w:name w:val="WW8Num42z0"/>
    <w:qFormat/>
    <w:rPr>
      <w:rFonts w:ascii="Symbol" w:hAnsi="Symbol"/>
    </w:rPr>
  </w:style>
  <w:style w:type="character" w:styleId="WW8Num43z0" w:customStyle="1">
    <w:name w:val="WW8Num43z0"/>
    <w:qFormat/>
    <w:rPr>
      <w:rFonts w:ascii="Symbol" w:hAnsi="Symbol"/>
    </w:rPr>
  </w:style>
  <w:style w:type="character" w:styleId="WW8Num44z0" w:customStyle="1">
    <w:name w:val="WW8Num44z0"/>
    <w:qFormat/>
    <w:rPr>
      <w:rFonts w:ascii="Symbol" w:hAnsi="Symbol"/>
    </w:rPr>
  </w:style>
  <w:style w:type="character" w:styleId="WW8Num45z0" w:customStyle="1">
    <w:name w:val="WW8Num45z0"/>
    <w:qFormat/>
    <w:rPr>
      <w:rFonts w:ascii="Symbol" w:hAnsi="Symbol"/>
    </w:rPr>
  </w:style>
  <w:style w:type="character" w:styleId="WW8Num46z0" w:customStyle="1">
    <w:name w:val="WW8Num46z0"/>
    <w:qFormat/>
    <w:rPr>
      <w:rFonts w:ascii="Symbol" w:hAnsi="Symbol"/>
    </w:rPr>
  </w:style>
  <w:style w:type="character" w:styleId="WW8Num47z0" w:customStyle="1">
    <w:name w:val="WW8Num47z0"/>
    <w:qFormat/>
    <w:rPr>
      <w:rFonts w:ascii="Symbol" w:hAnsi="Symbol"/>
    </w:rPr>
  </w:style>
  <w:style w:type="character" w:styleId="WW8NumSt2z0" w:customStyle="1">
    <w:name w:val="WW8NumSt2z0"/>
    <w:qFormat/>
    <w:rPr>
      <w:rFonts w:ascii="Symbol" w:hAnsi="Symbol"/>
    </w:rPr>
  </w:style>
  <w:style w:type="character" w:styleId="WW8NumSt8z0" w:customStyle="1">
    <w:name w:val="WW8NumSt8z0"/>
    <w:qFormat/>
    <w:rPr>
      <w:rFonts w:ascii="Symbol" w:hAnsi="Symbol"/>
    </w:rPr>
  </w:style>
  <w:style w:type="character" w:styleId="WW8NumSt29z0" w:customStyle="1">
    <w:name w:val="WW8NumSt29z0"/>
    <w:qFormat/>
    <w:rPr>
      <w:rFonts w:ascii="Symbol" w:hAnsi="Symbol"/>
    </w:rPr>
  </w:style>
  <w:style w:type="character" w:styleId="Caratterepredefinitoparagrafo" w:customStyle="1">
    <w:name w:val="Carattere predefinito paragrafo"/>
    <w:qFormat/>
    <w:rPr/>
  </w:style>
  <w:style w:type="character" w:styleId="PageNumber">
    <w:name w:val="page number"/>
    <w:basedOn w:val="Caratterepredefinitoparagrafo"/>
    <w:rPr/>
  </w:style>
  <w:style w:type="character" w:styleId="Caratteredellanota" w:customStyle="1">
    <w:name w:val="Carattere della nota"/>
    <w:qFormat/>
    <w:rPr>
      <w:sz w:val="20"/>
      <w:vertAlign w:val="superscript"/>
    </w:rPr>
  </w:style>
  <w:style w:type="character" w:styleId="Hyperlink">
    <w:name w:val="Hyperlink"/>
    <w:uiPriority w:val="99"/>
    <w:rPr>
      <w:color w:val="0000FF"/>
      <w:u w:val="single"/>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Caratterenotadichiusura" w:customStyle="1">
    <w:name w:val="Carattere nota di chiusura"/>
    <w:qFormat/>
    <w:rPr/>
  </w:style>
  <w:style w:type="character" w:styleId="TestofumettoCarattere" w:customStyle="1">
    <w:name w:val="Testo fumetto Carattere"/>
    <w:link w:val="BalloonText"/>
    <w:qFormat/>
    <w:rsid w:val="00d0680f"/>
    <w:rPr>
      <w:rFonts w:ascii="Tahoma" w:hAnsi="Tahoma" w:cs="Tahoma"/>
      <w:sz w:val="16"/>
      <w:szCs w:val="16"/>
      <w:lang w:eastAsia="ar-SA"/>
    </w:rPr>
  </w:style>
  <w:style w:type="character" w:styleId="FollowedHyperlink">
    <w:name w:val="FollowedHyperlink"/>
    <w:rsid w:val="000b7015"/>
    <w:rPr>
      <w:color w:val="954F72"/>
      <w:u w:val="single"/>
    </w:rPr>
  </w:style>
  <w:style w:type="character" w:styleId="CorpotestoCarattere" w:customStyle="1">
    <w:name w:val="Corpo testo Carattere"/>
    <w:qFormat/>
    <w:locked/>
    <w:rsid w:val="002c76bd"/>
    <w:rPr>
      <w:lang w:eastAsia="ar-SA"/>
    </w:rPr>
  </w:style>
  <w:style w:type="character" w:styleId="CommentReference">
    <w:name w:val="annotation reference"/>
    <w:qFormat/>
    <w:rsid w:val="00947b33"/>
    <w:rPr>
      <w:sz w:val="16"/>
      <w:szCs w:val="16"/>
    </w:rPr>
  </w:style>
  <w:style w:type="character" w:styleId="TestocommentoCarattere" w:customStyle="1">
    <w:name w:val="Testo commento Carattere"/>
    <w:qFormat/>
    <w:rsid w:val="00947b33"/>
    <w:rPr>
      <w:lang w:eastAsia="ar-SA"/>
    </w:rPr>
  </w:style>
  <w:style w:type="character" w:styleId="SoggettocommentoCarattere" w:customStyle="1">
    <w:name w:val="Soggetto commento Carattere"/>
    <w:link w:val="annotationsubject"/>
    <w:qFormat/>
    <w:rsid w:val="00947b33"/>
    <w:rPr>
      <w:b/>
      <w:bCs/>
      <w:lang w:eastAsia="ar-SA"/>
    </w:rPr>
  </w:style>
  <w:style w:type="character" w:styleId="Menzionenonrisolta1" w:customStyle="1">
    <w:name w:val="Menzione non risolta1"/>
    <w:basedOn w:val="DefaultParagraphFont"/>
    <w:uiPriority w:val="99"/>
    <w:semiHidden/>
    <w:unhideWhenUsed/>
    <w:qFormat/>
    <w:rsid w:val="00520c70"/>
    <w:rPr>
      <w:color w:val="605E5C"/>
      <w:shd w:fill="E1DFDD" w:val="clear"/>
    </w:rPr>
  </w:style>
  <w:style w:type="character" w:styleId="Strong">
    <w:name w:val="Strong"/>
    <w:basedOn w:val="DefaultParagraphFont"/>
    <w:uiPriority w:val="22"/>
    <w:qFormat/>
    <w:rsid w:val="00142483"/>
    <w:rPr>
      <w:b/>
      <w:bCs/>
    </w:rPr>
  </w:style>
  <w:style w:type="character" w:styleId="normaltextrun" w:customStyle="1">
    <w:name w:val="normaltextrun"/>
    <w:basedOn w:val="DefaultParagraphFont"/>
    <w:qFormat/>
    <w:rsid w:val="00d36c04"/>
    <w:rPr/>
  </w:style>
  <w:style w:type="character" w:styleId="eop" w:customStyle="1">
    <w:name w:val="eop"/>
    <w:basedOn w:val="DefaultParagraphFont"/>
    <w:qFormat/>
    <w:rsid w:val="00d36c04"/>
    <w:rPr/>
  </w:style>
  <w:style w:type="character" w:styleId="font61" w:customStyle="1">
    <w:name w:val="font61"/>
    <w:basedOn w:val="DefaultParagraphFont"/>
    <w:qFormat/>
    <w:rsid w:val="00df1488"/>
    <w:rPr>
      <w:rFonts w:ascii="Calibri" w:hAnsi="Calibri" w:cs="Calibri"/>
      <w:b/>
      <w:bCs/>
      <w:i w:val="false"/>
      <w:iCs w:val="false"/>
      <w:strike w:val="false"/>
      <w:dstrike w:val="false"/>
      <w:color w:val="000000"/>
      <w:sz w:val="22"/>
      <w:szCs w:val="22"/>
      <w:u w:val="none"/>
      <w:effect w:val="none"/>
    </w:rPr>
  </w:style>
  <w:style w:type="character" w:styleId="font01" w:customStyle="1">
    <w:name w:val="font01"/>
    <w:basedOn w:val="DefaultParagraphFont"/>
    <w:qFormat/>
    <w:rsid w:val="00df1488"/>
    <w:rPr>
      <w:rFonts w:ascii="Calibri" w:hAnsi="Calibri" w:cs="Calibri"/>
      <w:b w:val="false"/>
      <w:bCs w:val="false"/>
      <w:i w:val="false"/>
      <w:iCs w:val="false"/>
      <w:strike w:val="false"/>
      <w:dstrike w:val="false"/>
      <w:color w:val="000000"/>
      <w:sz w:val="22"/>
      <w:szCs w:val="22"/>
      <w:u w:val="none"/>
      <w:effect w:val="none"/>
    </w:rPr>
  </w:style>
  <w:style w:type="character" w:styleId="font131" w:customStyle="1">
    <w:name w:val="font131"/>
    <w:basedOn w:val="DefaultParagraphFont"/>
    <w:qFormat/>
    <w:rsid w:val="00df1488"/>
    <w:rPr>
      <w:rFonts w:ascii="Calibri" w:hAnsi="Calibri" w:cs="Calibri"/>
      <w:b/>
      <w:bCs/>
      <w:i w:val="false"/>
      <w:iCs w:val="false"/>
      <w:strike w:val="false"/>
      <w:dstrike w:val="false"/>
      <w:color w:val="auto"/>
      <w:sz w:val="22"/>
      <w:szCs w:val="22"/>
      <w:u w:val="none"/>
      <w:effect w:val="none"/>
    </w:rPr>
  </w:style>
  <w:style w:type="character" w:styleId="font121" w:customStyle="1">
    <w:name w:val="font121"/>
    <w:basedOn w:val="DefaultParagraphFont"/>
    <w:qFormat/>
    <w:rsid w:val="00df1488"/>
    <w:rPr>
      <w:rFonts w:ascii="Calibri" w:hAnsi="Calibri" w:cs="Calibri"/>
      <w:b w:val="false"/>
      <w:bCs w:val="false"/>
      <w:i w:val="false"/>
      <w:iCs w:val="false"/>
      <w:strike w:val="false"/>
      <w:dstrike w:val="false"/>
      <w:color w:val="auto"/>
      <w:sz w:val="22"/>
      <w:szCs w:val="22"/>
      <w:u w:val="none"/>
      <w:effect w:val="none"/>
    </w:rPr>
  </w:style>
  <w:style w:type="character" w:styleId="font151" w:customStyle="1">
    <w:name w:val="font151"/>
    <w:basedOn w:val="DefaultParagraphFont"/>
    <w:qFormat/>
    <w:rsid w:val="00df1488"/>
    <w:rPr>
      <w:rFonts w:ascii="Calibri" w:hAnsi="Calibri" w:cs="Calibri"/>
      <w:b/>
      <w:bCs/>
      <w:i w:val="false"/>
      <w:iCs w:val="false"/>
      <w:strike w:val="false"/>
      <w:dstrike w:val="false"/>
      <w:color w:val="auto"/>
      <w:sz w:val="22"/>
      <w:szCs w:val="22"/>
      <w:u w:val="none"/>
      <w:effect w:val="none"/>
    </w:rPr>
  </w:style>
  <w:style w:type="character" w:styleId="font141" w:customStyle="1">
    <w:name w:val="font141"/>
    <w:basedOn w:val="DefaultParagraphFont"/>
    <w:qFormat/>
    <w:rsid w:val="00df1488"/>
    <w:rPr>
      <w:rFonts w:ascii="Calibri" w:hAnsi="Calibri" w:cs="Calibri"/>
      <w:b w:val="false"/>
      <w:bCs w:val="false"/>
      <w:i w:val="false"/>
      <w:iCs w:val="false"/>
      <w:strike w:val="false"/>
      <w:dstrike w:val="false"/>
      <w:color w:val="auto"/>
      <w:sz w:val="22"/>
      <w:szCs w:val="22"/>
      <w:u w:val="none"/>
      <w:effect w:val="none"/>
    </w:rPr>
  </w:style>
  <w:style w:type="character" w:styleId="PlaceholderText">
    <w:name w:val="Placeholder Text"/>
    <w:basedOn w:val="DefaultParagraphFont"/>
    <w:uiPriority w:val="99"/>
    <w:semiHidden/>
    <w:qFormat/>
    <w:rsid w:val="00f72ebd"/>
    <w:rPr>
      <w:color w:val="666666"/>
    </w:rPr>
  </w:style>
  <w:style w:type="character" w:styleId="UnresolvedMention">
    <w:name w:val="Unresolved Mention"/>
    <w:basedOn w:val="DefaultParagraphFont"/>
    <w:uiPriority w:val="99"/>
    <w:semiHidden/>
    <w:unhideWhenUsed/>
    <w:qFormat/>
    <w:rsid w:val="002c4025"/>
    <w:rPr>
      <w:color w:val="605E5C"/>
      <w:shd w:fill="E1DFDD" w:val="clear"/>
    </w:rPr>
  </w:style>
  <w:style w:type="character" w:styleId="text-red-500" w:customStyle="1">
    <w:name w:val="text-red-500"/>
    <w:basedOn w:val="DefaultParagraphFont"/>
    <w:qFormat/>
    <w:rsid w:val="00db7b2d"/>
    <w:rPr/>
  </w:style>
  <w:style w:type="character" w:styleId="Collegamentoindice">
    <w:name w:val="Collegamento indice"/>
    <w:qFormat/>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testoCarattere"/>
    <w:pPr>
      <w:keepLines/>
      <w:spacing w:before="0" w:after="120"/>
      <w:ind w:start="720"/>
    </w:pPr>
    <w:rPr/>
  </w:style>
  <w:style w:type="paragraph" w:styleId="List">
    <w:name w:val="List"/>
    <w:basedOn w:val="BodyText"/>
    <w:pPr/>
    <w:rPr>
      <w:rFonts w:cs="Tahoma"/>
    </w:rPr>
  </w:style>
  <w:style w:type="paragraph" w:styleId="Caption">
    <w:name w:val="caption"/>
    <w:basedOn w:val="Normal"/>
    <w:next w:val="Normal"/>
    <w:uiPriority w:val="35"/>
    <w:unhideWhenUsed/>
    <w:qFormat/>
    <w:rsid w:val="00b163b5"/>
    <w:pPr/>
    <w:rPr>
      <w:b/>
      <w:bCs/>
    </w:rPr>
  </w:style>
  <w:style w:type="paragraph" w:styleId="Indice">
    <w:name w:val="Indice"/>
    <w:basedOn w:val="Normal"/>
    <w:qFormat/>
    <w:pPr>
      <w:suppressLineNumbers/>
    </w:pPr>
    <w:rPr>
      <w:rFonts w:cs="Lucida Sans"/>
    </w:rPr>
  </w:style>
  <w:style w:type="paragraph" w:styleId="Intestazione1" w:customStyle="1">
    <w:name w:val="Intestazione1"/>
    <w:basedOn w:val="Normal"/>
    <w:next w:val="BodyText"/>
    <w:qFormat/>
    <w:pPr>
      <w:keepNext w:val="true"/>
      <w:spacing w:before="240" w:after="120"/>
    </w:pPr>
    <w:rPr>
      <w:rFonts w:ascii="Arial" w:hAnsi="Arial" w:eastAsia="SimSun" w:cs="Tahoma"/>
      <w:sz w:val="28"/>
      <w:szCs w:val="28"/>
    </w:rPr>
  </w:style>
  <w:style w:type="paragraph" w:styleId="Didascalia1" w:customStyle="1">
    <w:name w:val="Didascalia1"/>
    <w:basedOn w:val="Normal"/>
    <w:qFormat/>
    <w:pPr>
      <w:suppressLineNumbers/>
      <w:spacing w:before="120" w:after="120"/>
    </w:pPr>
    <w:rPr>
      <w:rFonts w:cs="Tahoma"/>
      <w:i/>
      <w:iCs/>
      <w:sz w:val="24"/>
      <w:szCs w:val="24"/>
    </w:rPr>
  </w:style>
  <w:style w:type="paragraph" w:styleId="Indiceuser" w:customStyle="1">
    <w:name w:val="Indice (user)"/>
    <w:basedOn w:val="Normal"/>
    <w:qFormat/>
    <w:pPr>
      <w:suppressLineNumbers/>
    </w:pPr>
    <w:rPr>
      <w:rFonts w:cs="Tahoma"/>
    </w:rPr>
  </w:style>
  <w:style w:type="paragraph" w:styleId="Paragraph2" w:customStyle="1">
    <w:name w:val="Paragraph2"/>
    <w:basedOn w:val="Normal"/>
    <w:qFormat/>
    <w:pPr>
      <w:spacing w:before="80" w:after="0"/>
      <w:ind w:start="720"/>
      <w:jc w:val="both"/>
    </w:pPr>
    <w:rPr>
      <w:color w:val="000000"/>
      <w:lang w:val="en-AU"/>
    </w:rPr>
  </w:style>
  <w:style w:type="paragraph" w:styleId="Title">
    <w:name w:val="Title"/>
    <w:basedOn w:val="Normal"/>
    <w:next w:val="Normal"/>
    <w:qFormat/>
    <w:pPr>
      <w:spacing w:lineRule="atLeast" w:line="100"/>
      <w:jc w:val="center"/>
    </w:pPr>
    <w:rPr>
      <w:rFonts w:ascii="Arial" w:hAnsi="Arial"/>
      <w:b/>
      <w:sz w:val="36"/>
    </w:rPr>
  </w:style>
  <w:style w:type="paragraph" w:styleId="Subtitle">
    <w:name w:val="Subtitle"/>
    <w:basedOn w:val="Normal"/>
    <w:next w:val="BodyText"/>
    <w:qFormat/>
    <w:pPr>
      <w:spacing w:before="0" w:after="60"/>
      <w:jc w:val="center"/>
    </w:pPr>
    <w:rPr>
      <w:rFonts w:ascii="Arial" w:hAnsi="Arial"/>
      <w:i/>
      <w:sz w:val="36"/>
      <w:lang w:val="en-AU"/>
    </w:rPr>
  </w:style>
  <w:style w:type="paragraph" w:styleId="Rientronormale1" w:customStyle="1">
    <w:name w:val="Rientro normale1"/>
    <w:basedOn w:val="Normal"/>
    <w:qFormat/>
    <w:pPr>
      <w:ind w:hanging="900" w:start="900"/>
    </w:pPr>
    <w:rPr/>
  </w:style>
  <w:style w:type="paragraph" w:styleId="TOC1">
    <w:name w:val="toc 1"/>
    <w:basedOn w:val="Normal"/>
    <w:next w:val="Normal"/>
    <w:uiPriority w:val="39"/>
    <w:pPr>
      <w:tabs>
        <w:tab w:val="clear" w:pos="284"/>
        <w:tab w:val="right" w:pos="9360" w:leader="none"/>
      </w:tabs>
      <w:spacing w:before="240" w:after="60"/>
      <w:ind w:end="720"/>
    </w:pPr>
    <w:rPr/>
  </w:style>
  <w:style w:type="paragraph" w:styleId="TOC2">
    <w:name w:val="toc 2"/>
    <w:basedOn w:val="Normal"/>
    <w:next w:val="Normal"/>
    <w:uiPriority w:val="39"/>
    <w:pPr>
      <w:tabs>
        <w:tab w:val="clear" w:pos="284"/>
        <w:tab w:val="right" w:pos="9360" w:leader="none"/>
      </w:tabs>
      <w:ind w:start="432" w:end="720"/>
    </w:pPr>
    <w:rPr/>
  </w:style>
  <w:style w:type="paragraph" w:styleId="TOC3">
    <w:name w:val="toc 3"/>
    <w:basedOn w:val="Normal"/>
    <w:next w:val="Normal"/>
    <w:uiPriority w:val="39"/>
    <w:pPr>
      <w:tabs>
        <w:tab w:val="clear" w:pos="284"/>
        <w:tab w:val="left" w:pos="1440" w:leader="none"/>
        <w:tab w:val="right" w:pos="9360" w:leader="none"/>
      </w:tabs>
      <w:ind w:start="864"/>
    </w:pPr>
    <w:rPr/>
  </w:style>
  <w:style w:type="paragraph" w:styleId="Intestazioneepidipagina">
    <w:name w:val="Intestazione e piè di pagina"/>
    <w:basedOn w:val="Normal"/>
    <w:qFormat/>
    <w:pPr/>
    <w:rPr/>
  </w:style>
  <w:style w:type="paragraph" w:styleId="Header">
    <w:name w:val="header"/>
    <w:basedOn w:val="Normal"/>
    <w:pPr>
      <w:tabs>
        <w:tab w:val="clear" w:pos="284"/>
        <w:tab w:val="center" w:pos="4320" w:leader="none"/>
        <w:tab w:val="right" w:pos="8640" w:leader="none"/>
      </w:tabs>
    </w:pPr>
    <w:rPr/>
  </w:style>
  <w:style w:type="paragraph" w:styleId="Footer">
    <w:name w:val="footer"/>
    <w:basedOn w:val="Normal"/>
    <w:pPr>
      <w:tabs>
        <w:tab w:val="clear" w:pos="284"/>
        <w:tab w:val="center" w:pos="4320" w:leader="none"/>
        <w:tab w:val="right" w:pos="8640" w:leader="none"/>
      </w:tabs>
    </w:pPr>
    <w:rPr/>
  </w:style>
  <w:style w:type="paragraph" w:styleId="Bullet2" w:customStyle="1">
    <w:name w:val="Bullet2"/>
    <w:basedOn w:val="Normal"/>
    <w:qFormat/>
    <w:pPr>
      <w:numPr>
        <w:ilvl w:val="0"/>
        <w:numId w:val="3"/>
      </w:numPr>
      <w:ind w:start="1440"/>
    </w:pPr>
    <w:rPr>
      <w:color w:val="000080"/>
    </w:rPr>
  </w:style>
  <w:style w:type="paragraph" w:styleId="Paragraph1" w:customStyle="1">
    <w:name w:val="Paragraph1"/>
    <w:basedOn w:val="Normal"/>
    <w:qFormat/>
    <w:pPr>
      <w:spacing w:lineRule="atLeast" w:line="100" w:before="80" w:after="0"/>
      <w:jc w:val="both"/>
    </w:pPr>
    <w:rPr/>
  </w:style>
  <w:style w:type="paragraph" w:styleId="Tabletext" w:customStyle="1">
    <w:name w:val="Tabletext"/>
    <w:basedOn w:val="Normal"/>
    <w:qFormat/>
    <w:pPr>
      <w:keepLines/>
      <w:spacing w:before="0" w:after="120"/>
    </w:pPr>
    <w:rPr/>
  </w:style>
  <w:style w:type="paragraph" w:styleId="Paragraph3" w:customStyle="1">
    <w:name w:val="Paragraph3"/>
    <w:basedOn w:val="Normal"/>
    <w:qFormat/>
    <w:pPr>
      <w:spacing w:lineRule="atLeast" w:line="100" w:before="80" w:after="0"/>
      <w:ind w:start="1530"/>
      <w:jc w:val="both"/>
    </w:pPr>
    <w:rPr/>
  </w:style>
  <w:style w:type="paragraph" w:styleId="Bullet1" w:customStyle="1">
    <w:name w:val="Bullet1"/>
    <w:basedOn w:val="Normal"/>
    <w:qFormat/>
    <w:pPr>
      <w:numPr>
        <w:ilvl w:val="0"/>
        <w:numId w:val="4"/>
      </w:numPr>
      <w:ind w:start="720"/>
    </w:pPr>
    <w:rPr/>
  </w:style>
  <w:style w:type="paragraph" w:styleId="FootnoteText">
    <w:name w:val="footnote text"/>
    <w:basedOn w:val="Normal"/>
    <w:pPr>
      <w:keepNext w:val="true"/>
      <w:keepLines/>
      <w:pBdr>
        <w:bottom w:val="single" w:sz="4" w:space="0" w:color="000000"/>
      </w:pBdr>
      <w:spacing w:before="40" w:after="40"/>
      <w:ind w:hanging="360" w:start="360"/>
    </w:pPr>
    <w:rPr>
      <w:rFonts w:ascii="Helvetica" w:hAnsi="Helvetica"/>
      <w:sz w:val="16"/>
    </w:rPr>
  </w:style>
  <w:style w:type="paragraph" w:styleId="Mappadocumento1" w:customStyle="1">
    <w:name w:val="Mappa documento1"/>
    <w:basedOn w:val="Normal"/>
    <w:qFormat/>
    <w:pPr>
      <w:shd w:val="clear" w:color="auto" w:fill="000080"/>
    </w:pPr>
    <w:rPr>
      <w:rFonts w:ascii="Tahoma" w:hAnsi="Tahoma"/>
    </w:rPr>
  </w:style>
  <w:style w:type="paragraph" w:styleId="Paragraph4" w:customStyle="1">
    <w:name w:val="Paragraph4"/>
    <w:basedOn w:val="Normal"/>
    <w:qFormat/>
    <w:pPr>
      <w:spacing w:lineRule="atLeast" w:line="100" w:before="80" w:after="0"/>
      <w:ind w:start="2250"/>
      <w:jc w:val="both"/>
    </w:pPr>
    <w:rPr/>
  </w:style>
  <w:style w:type="paragraph" w:styleId="TOC4">
    <w:name w:val="toc 4"/>
    <w:basedOn w:val="Normal"/>
    <w:next w:val="Normal"/>
    <w:pPr>
      <w:ind w:start="600"/>
    </w:pPr>
    <w:rPr/>
  </w:style>
  <w:style w:type="paragraph" w:styleId="TOC5">
    <w:name w:val="toc 5"/>
    <w:basedOn w:val="Normal"/>
    <w:next w:val="Normal"/>
    <w:pPr>
      <w:ind w:start="800"/>
    </w:pPr>
    <w:rPr/>
  </w:style>
  <w:style w:type="paragraph" w:styleId="TOC6">
    <w:name w:val="toc 6"/>
    <w:basedOn w:val="Normal"/>
    <w:next w:val="Normal"/>
    <w:pPr>
      <w:ind w:start="1000"/>
    </w:pPr>
    <w:rPr/>
  </w:style>
  <w:style w:type="paragraph" w:styleId="TOC7">
    <w:name w:val="toc 7"/>
    <w:basedOn w:val="Normal"/>
    <w:next w:val="Normal"/>
    <w:pPr>
      <w:ind w:start="1200"/>
    </w:pPr>
    <w:rPr/>
  </w:style>
  <w:style w:type="paragraph" w:styleId="TOC8">
    <w:name w:val="toc 8"/>
    <w:basedOn w:val="Normal"/>
    <w:next w:val="Normal"/>
    <w:pPr>
      <w:ind w:start="1400"/>
    </w:pPr>
    <w:rPr/>
  </w:style>
  <w:style w:type="paragraph" w:styleId="TOC9">
    <w:name w:val="toc 9"/>
    <w:basedOn w:val="Normal"/>
    <w:next w:val="Normal"/>
    <w:pPr>
      <w:ind w:start="1600"/>
    </w:pPr>
    <w:rPr/>
  </w:style>
  <w:style w:type="paragraph" w:styleId="MainTitle" w:customStyle="1">
    <w:name w:val="Main Title"/>
    <w:basedOn w:val="Normal"/>
    <w:qFormat/>
    <w:pPr>
      <w:spacing w:lineRule="atLeast" w:line="100" w:before="480" w:after="60"/>
      <w:jc w:val="center"/>
    </w:pPr>
    <w:rPr>
      <w:rFonts w:ascii="Arial" w:hAnsi="Arial"/>
      <w:b/>
      <w:kern w:val="2"/>
      <w:sz w:val="32"/>
    </w:rPr>
  </w:style>
  <w:style w:type="paragraph" w:styleId="Corpodeltesto21" w:customStyle="1">
    <w:name w:val="Corpo del testo 21"/>
    <w:basedOn w:val="Normal"/>
    <w:qFormat/>
    <w:pPr/>
    <w:rPr>
      <w:i/>
      <w:color w:val="0000FF"/>
    </w:rPr>
  </w:style>
  <w:style w:type="paragraph" w:styleId="BodyTextIndent">
    <w:name w:val="Body Text Indent"/>
    <w:basedOn w:val="Normal"/>
    <w:pPr>
      <w:ind w:start="720"/>
    </w:pPr>
    <w:rPr>
      <w:i/>
      <w:color w:val="0000FF"/>
      <w:u w:val="single"/>
    </w:rPr>
  </w:style>
  <w:style w:type="paragraph" w:styleId="Body" w:customStyle="1">
    <w:name w:val="Body"/>
    <w:basedOn w:val="Normal"/>
    <w:qFormat/>
    <w:pPr>
      <w:widowControl/>
      <w:spacing w:lineRule="atLeast" w:line="100" w:before="120" w:after="0"/>
      <w:jc w:val="both"/>
    </w:pPr>
    <w:rPr>
      <w:rFonts w:ascii="Book Antiqua" w:hAnsi="Book Antiqua"/>
    </w:rPr>
  </w:style>
  <w:style w:type="paragraph" w:styleId="Bullet" w:customStyle="1">
    <w:name w:val="Bullet"/>
    <w:basedOn w:val="Normal"/>
    <w:qFormat/>
    <w:pPr>
      <w:widowControl/>
      <w:tabs>
        <w:tab w:val="clear" w:pos="284"/>
        <w:tab w:val="left" w:pos="720" w:leader="none"/>
      </w:tabs>
      <w:spacing w:lineRule="atLeast" w:line="100" w:before="120" w:after="0"/>
      <w:ind w:start="720" w:end="360"/>
      <w:jc w:val="both"/>
    </w:pPr>
    <w:rPr>
      <w:rFonts w:ascii="Book Antiqua" w:hAnsi="Book Antiqua"/>
    </w:rPr>
  </w:style>
  <w:style w:type="paragraph" w:styleId="InfoBlue" w:customStyle="1">
    <w:name w:val="InfoBlue"/>
    <w:basedOn w:val="Normal"/>
    <w:next w:val="Normal"/>
    <w:qFormat/>
    <w:pPr>
      <w:spacing w:before="0" w:after="120"/>
      <w:ind w:start="153"/>
    </w:pPr>
    <w:rPr>
      <w:i/>
      <w:color w:val="0000FF"/>
    </w:rPr>
  </w:style>
  <w:style w:type="paragraph" w:styleId="Puntoelenco1" w:customStyle="1">
    <w:name w:val="Punto elenco1"/>
    <w:next w:val="Normal"/>
    <w:qFormat/>
    <w:pPr>
      <w:keepLines/>
      <w:widowControl/>
      <w:numPr>
        <w:ilvl w:val="0"/>
        <w:numId w:val="5"/>
      </w:numPr>
      <w:suppressAutoHyphens w:val="true"/>
      <w:bidi w:val="0"/>
      <w:spacing w:before="0" w:after="0"/>
      <w:ind w:hanging="284" w:start="568"/>
      <w:jc w:val="both"/>
    </w:pPr>
    <w:rPr>
      <w:rFonts w:eastAsia="Arial" w:ascii="Times New Roman" w:hAnsi="Times New Roman" w:cs="Times New Roman"/>
      <w:color w:val="auto"/>
      <w:kern w:val="0"/>
      <w:sz w:val="24"/>
      <w:szCs w:val="20"/>
      <w:lang w:eastAsia="ar-SA" w:val="it-IT" w:bidi="ar-SA"/>
    </w:rPr>
  </w:style>
  <w:style w:type="paragraph" w:styleId="indent2" w:customStyle="1">
    <w:name w:val="indent2"/>
    <w:basedOn w:val="Normal"/>
    <w:qFormat/>
    <w:pPr>
      <w:widowControl/>
      <w:spacing w:lineRule="atLeast" w:line="100"/>
      <w:ind w:start="567"/>
      <w:jc w:val="both"/>
    </w:pPr>
    <w:rPr/>
  </w:style>
  <w:style w:type="paragraph" w:styleId="Contenutotabellauser" w:customStyle="1">
    <w:name w:val="Contenuto tabella (user)"/>
    <w:basedOn w:val="Normal"/>
    <w:qFormat/>
    <w:pPr>
      <w:suppressLineNumbers/>
    </w:pPr>
    <w:rPr/>
  </w:style>
  <w:style w:type="paragraph" w:styleId="Intestazionetabella" w:customStyle="1">
    <w:name w:val="Intestazione tabella"/>
    <w:basedOn w:val="Contenutotabellauser"/>
    <w:qFormat/>
    <w:pPr>
      <w:jc w:val="center"/>
    </w:pPr>
    <w:rPr>
      <w:b/>
      <w:bCs/>
    </w:rPr>
  </w:style>
  <w:style w:type="paragraph" w:styleId="Index1">
    <w:name w:val="index 1"/>
    <w:basedOn w:val="Normal"/>
    <w:next w:val="Normal"/>
    <w:autoRedefine/>
    <w:unhideWhenUsed/>
    <w:rsid w:val="00be0d77"/>
    <w:pPr>
      <w:widowControl/>
      <w:spacing w:lineRule="auto" w:line="240"/>
    </w:pPr>
    <w:rPr>
      <w:sz w:val="22"/>
    </w:rPr>
  </w:style>
  <w:style w:type="paragraph" w:styleId="IndexHeading">
    <w:name w:val="index heading"/>
    <w:basedOn w:val="Titolo"/>
    <w:pPr/>
    <w:rPr/>
  </w:style>
  <w:style w:type="paragraph" w:styleId="TOCHeading">
    <w:name w:val="TOC Heading"/>
    <w:basedOn w:val="Heading1"/>
    <w:next w:val="Normal"/>
    <w:uiPriority w:val="39"/>
    <w:unhideWhenUsed/>
    <w:qFormat/>
    <w:rsid w:val="002063e7"/>
    <w:pPr>
      <w:keepLines/>
      <w:widowControl/>
      <w:numPr>
        <w:ilvl w:val="0"/>
        <w:numId w:val="0"/>
      </w:numPr>
      <w:suppressAutoHyphens w:val="false"/>
      <w:spacing w:lineRule="auto" w:line="259" w:before="240" w:after="0"/>
      <w:outlineLvl w:val="9"/>
    </w:pPr>
    <w:rPr>
      <w:rFonts w:ascii="Calibri Light" w:hAnsi="Calibri Light"/>
      <w:b w:val="false"/>
      <w:color w:val="2E74B5"/>
      <w:sz w:val="32"/>
      <w:szCs w:val="32"/>
      <w:lang w:eastAsia="it-IT"/>
    </w:rPr>
  </w:style>
  <w:style w:type="paragraph" w:styleId="BalloonText">
    <w:name w:val="Balloon Text"/>
    <w:basedOn w:val="Normal"/>
    <w:link w:val="TestofumettoCarattere"/>
    <w:qFormat/>
    <w:rsid w:val="00d0680f"/>
    <w:pPr>
      <w:spacing w:lineRule="auto" w:line="240"/>
    </w:pPr>
    <w:rPr>
      <w:rFonts w:ascii="Tahoma" w:hAnsi="Tahoma" w:cs="Tahoma"/>
      <w:sz w:val="16"/>
      <w:szCs w:val="16"/>
    </w:rPr>
  </w:style>
  <w:style w:type="paragraph" w:styleId="CommentText">
    <w:name w:val="annotation text"/>
    <w:basedOn w:val="Normal"/>
    <w:link w:val="TestocommentoCarattere"/>
    <w:rsid w:val="00947b33"/>
    <w:pPr/>
    <w:rPr/>
  </w:style>
  <w:style w:type="paragraph" w:styleId="annotationsubject">
    <w:name w:val="annotation subject"/>
    <w:basedOn w:val="CommentText"/>
    <w:next w:val="CommentText"/>
    <w:link w:val="SoggettocommentoCarattere"/>
    <w:qFormat/>
    <w:rsid w:val="00947b33"/>
    <w:pPr/>
    <w:rPr>
      <w:b/>
      <w:bCs/>
    </w:rPr>
  </w:style>
  <w:style w:type="paragraph" w:styleId="Revision">
    <w:name w:val="Revision"/>
    <w:uiPriority w:val="99"/>
    <w:semiHidden/>
    <w:qFormat/>
    <w:rsid w:val="00947b33"/>
    <w:pPr>
      <w:widowControl/>
      <w:bidi w:val="0"/>
      <w:spacing w:before="0" w:after="0"/>
      <w:jc w:val="start"/>
    </w:pPr>
    <w:rPr>
      <w:rFonts w:ascii="Times New Roman" w:hAnsi="Times New Roman" w:eastAsia="Times New Roman" w:cs="Times New Roman"/>
      <w:color w:val="auto"/>
      <w:kern w:val="0"/>
      <w:sz w:val="20"/>
      <w:szCs w:val="20"/>
      <w:lang w:eastAsia="ar-SA" w:val="it-IT" w:bidi="ar-SA"/>
    </w:rPr>
  </w:style>
  <w:style w:type="paragraph" w:styleId="NormalWeb">
    <w:name w:val="Normal (Web)"/>
    <w:basedOn w:val="Normal"/>
    <w:uiPriority w:val="99"/>
    <w:unhideWhenUsed/>
    <w:qFormat/>
    <w:rsid w:val="00b6419c"/>
    <w:pPr>
      <w:widowControl/>
      <w:suppressAutoHyphens w:val="false"/>
      <w:spacing w:lineRule="auto" w:line="240" w:beforeAutospacing="1" w:afterAutospacing="1"/>
    </w:pPr>
    <w:rPr>
      <w:sz w:val="24"/>
      <w:szCs w:val="24"/>
      <w:lang w:eastAsia="it-IT"/>
    </w:rPr>
  </w:style>
  <w:style w:type="paragraph" w:styleId="NoSpacing">
    <w:name w:val="No Spacing"/>
    <w:uiPriority w:val="1"/>
    <w:qFormat/>
    <w:rsid w:val="007633a9"/>
    <w:pPr>
      <w:widowControl w:val="false"/>
      <w:suppressAutoHyphens w:val="true"/>
      <w:bidi w:val="0"/>
      <w:spacing w:before="0" w:after="0"/>
      <w:jc w:val="start"/>
    </w:pPr>
    <w:rPr>
      <w:rFonts w:ascii="Times New Roman" w:hAnsi="Times New Roman" w:eastAsia="Times New Roman" w:cs="Times New Roman"/>
      <w:color w:val="auto"/>
      <w:kern w:val="0"/>
      <w:sz w:val="20"/>
      <w:szCs w:val="20"/>
      <w:lang w:eastAsia="ar-SA" w:val="it-IT" w:bidi="ar-SA"/>
    </w:rPr>
  </w:style>
  <w:style w:type="paragraph" w:styleId="ListParagraph">
    <w:name w:val="List Paragraph"/>
    <w:basedOn w:val="Normal"/>
    <w:uiPriority w:val="34"/>
    <w:qFormat/>
    <w:rsid w:val="003631b8"/>
    <w:pPr>
      <w:spacing w:before="0" w:after="0"/>
      <w:ind w:start="720"/>
      <w:contextualSpacing/>
    </w:pPr>
    <w:rPr/>
  </w:style>
  <w:style w:type="paragraph" w:styleId="Default" w:customStyle="1">
    <w:name w:val="Default"/>
    <w:qFormat/>
    <w:rsid w:val="00fc2d4e"/>
    <w:pPr>
      <w:widowControl/>
      <w:bidi w:val="0"/>
      <w:spacing w:before="0" w:after="0"/>
      <w:jc w:val="start"/>
    </w:pPr>
    <w:rPr>
      <w:rFonts w:ascii="Garamond" w:hAnsi="Garamond" w:eastAsia="Calibri" w:cs="Garamond" w:eastAsiaTheme="minorHAnsi"/>
      <w:color w:val="000000"/>
      <w:kern w:val="0"/>
      <w:sz w:val="24"/>
      <w:szCs w:val="24"/>
      <w:lang w:eastAsia="en-US" w:val="it-IT" w:bidi="ar-SA"/>
    </w:rPr>
  </w:style>
  <w:style w:type="paragraph" w:styleId="paragraph" w:customStyle="1">
    <w:name w:val="paragraph"/>
    <w:basedOn w:val="Normal"/>
    <w:qFormat/>
    <w:rsid w:val="00c94262"/>
    <w:pPr>
      <w:widowControl/>
      <w:suppressAutoHyphens w:val="false"/>
      <w:spacing w:lineRule="auto" w:line="240" w:beforeAutospacing="1" w:afterAutospacing="1"/>
    </w:pPr>
    <w:rPr>
      <w:sz w:val="24"/>
      <w:szCs w:val="24"/>
      <w:lang w:eastAsia="it-IT"/>
    </w:rPr>
  </w:style>
  <w:style w:type="paragraph" w:styleId="ox-ed26c7b591-ox-d87843cb38-xox-992ccb35ba-xox-4b26b89db0-ox-e87317913f-msonormal" w:customStyle="1">
    <w:name w:val="ox-ed26c7b591-ox-d87843cb38-xox-992ccb35ba-xox-4b26b89db0-ox-e87317913f-msonormal"/>
    <w:basedOn w:val="Normal"/>
    <w:qFormat/>
    <w:rsid w:val="00d47de1"/>
    <w:pPr>
      <w:widowControl/>
      <w:suppressAutoHyphens w:val="false"/>
      <w:spacing w:lineRule="auto" w:line="240" w:beforeAutospacing="1" w:afterAutospacing="1"/>
    </w:pPr>
    <w:rPr>
      <w:sz w:val="24"/>
      <w:szCs w:val="24"/>
      <w:lang w:eastAsia="it-IT"/>
    </w:rPr>
  </w:style>
  <w:style w:type="paragraph" w:styleId="mx-auto" w:customStyle="1">
    <w:name w:val="mx-auto"/>
    <w:basedOn w:val="Normal"/>
    <w:qFormat/>
    <w:rsid w:val="00db7b2d"/>
    <w:pPr>
      <w:widowControl/>
      <w:suppressAutoHyphens w:val="false"/>
      <w:spacing w:lineRule="auto" w:line="240" w:beforeAutospacing="1" w:afterAutospacing="1"/>
    </w:pPr>
    <w:rPr>
      <w:sz w:val="24"/>
      <w:szCs w:val="24"/>
      <w:lang w:eastAsia="it-IT"/>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59"/>
    <w:rsid w:val="002f71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fondomedio1">
    <w:name w:val="Medium Shading 1"/>
    <w:basedOn w:val="Tabellanormale"/>
    <w:uiPriority w:val="63"/>
    <w:rsid w:val="00a42d5e"/>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abellasemplice-1">
    <w:name w:val="Plain Table 1"/>
    <w:basedOn w:val="Tabellanormale"/>
    <w:uiPriority w:val="41"/>
    <w:rsid w:val="004b6c85"/>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gid.gov.it/it/agenzia/piano-triennale" TargetMode="External"/><Relationship Id="rId3" Type="http://schemas.openxmlformats.org/officeDocument/2006/relationships/hyperlink" Target="https://www.pagopa.gov.it/" TargetMode="External"/><Relationship Id="rId4" Type="http://schemas.openxmlformats.org/officeDocument/2006/relationships/hyperlink" Target="https://developer.pagopa.it/" TargetMode="External"/><Relationship Id="rId5" Type="http://schemas.openxmlformats.org/officeDocument/2006/relationships/hyperlink" Target="https://developer.pagopa.it/pago-pa/guides/sanp" TargetMode="External"/><Relationship Id="rId6" Type="http://schemas.openxmlformats.org/officeDocument/2006/relationships/hyperlink" Target="https://developer.pagopa.it/pago-pa/guides/saci" TargetMode="External"/><Relationship Id="rId7" Type="http://schemas.openxmlformats.org/officeDocument/2006/relationships/hyperlink" Target="https://developer.pagopa.it/pago-pa/tutorials/cosa-sono-i-flussi-di-rendicontazione-e-come-usarli-correttamente" TargetMode="External"/><Relationship Id="rId8" Type="http://schemas.openxmlformats.org/officeDocument/2006/relationships/hyperlink" Target="https://developer.pagopa.it/pago-pa/guides/sanp/3.9.1/specifiche-attuative-del-nodo-dei-pagamenti-spc/funzionamento-generale/rendicontazione-e-cashflow" TargetMode="External"/><Relationship Id="rId9" Type="http://schemas.openxmlformats.org/officeDocument/2006/relationships/hyperlink" Target="https://developer.pagopa.it/pago-pa/guides/sanp/3.9.1/appendici/primitive" TargetMode="External"/><Relationship Id="rId10" Type="http://schemas.openxmlformats.org/officeDocument/2006/relationships/hyperlink" Target="https://developer.pagopa.it/pago-pa/api" TargetMode="External"/><Relationship Id="rId11" Type="http://schemas.openxmlformats.org/officeDocument/2006/relationships/hyperlink" Target="https://github.com/pagopa/pagopa-api" TargetMode="External"/><Relationship Id="rId12" Type="http://schemas.openxmlformats.org/officeDocument/2006/relationships/hyperlink" Target="https://github.com/pagopa/pagopa-api/blob/master/openapi/fdr_organization.yaml" TargetMode="External"/><Relationship Id="rId13" Type="http://schemas.openxmlformats.org/officeDocument/2006/relationships/hyperlink" Target="https://www.agid.gov.it/it/piattaforme/pagopa" TargetMode="External"/><Relationship Id="rId14" Type="http://schemas.openxmlformats.org/officeDocument/2006/relationships/hyperlink" Target="https://pay.sistemapiemonte.it/epayweb/" TargetMode="External"/><Relationship Id="rId15" Type="http://schemas.openxmlformats.org/officeDocument/2006/relationships/hyperlink" Target="https://servizi.regione.piemonte.it/catalogo/portale-dei-pagamenti" TargetMode="External"/><Relationship Id="rId16" Type="http://schemas.openxmlformats.org/officeDocument/2006/relationships/hyperlink" Target="https://pay.sistemapiemonte.it/epaypaweb/" TargetMode="External"/><Relationship Id="rId17" Type="http://schemas.openxmlformats.org/officeDocument/2006/relationships/hyperlink" Target="https://servizi.regione.piemonte.it/catalogo/portale-dellente-creditore" TargetMode="External"/><Relationship Id="rId18" Type="http://schemas.openxmlformats.org/officeDocument/2006/relationships/hyperlink" Target="https://www.servizi.piemonte.it/srv/piemontepay/documentazione-fornitori.shtml"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developer.pagopa.it/pago-pa/guides/sanp/appendici/primitive"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Relationship Id="rId3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11865fac-1300-4df5-ab48-d537c67c9e0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2FB1D3E88A22F4A93BD6A84A4F8492E" ma:contentTypeVersion="5" ma:contentTypeDescription="Creare un nuovo documento." ma:contentTypeScope="" ma:versionID="110962bd8d89d31cac9b1723486ceecd">
  <xsd:schema xmlns:xsd="http://www.w3.org/2001/XMLSchema" xmlns:xs="http://www.w3.org/2001/XMLSchema" xmlns:p="http://schemas.microsoft.com/office/2006/metadata/properties" xmlns:ns2="11865fac-1300-4df5-ab48-d537c67c9e0b" targetNamespace="http://schemas.microsoft.com/office/2006/metadata/properties" ma:root="true" ma:fieldsID="87d329d11741b70579bb285abc8cf5e9" ns2:_="">
    <xsd:import namespace="11865fac-1300-4df5-ab48-d537c67c9e0b"/>
    <xsd:element name="properties">
      <xsd:complexType>
        <xsd:sequence>
          <xsd:element name="documentManagement">
            <xsd:complexType>
              <xsd:all>
                <xsd:element ref="ns2:MediaServiceMetadata" minOccurs="0"/>
                <xsd:element ref="ns2:MediaServiceFastMetadata" minOccurs="0"/>
                <xsd:element ref="ns2:_Flow_SignoffStatu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865fac-1300-4df5-ab48-d537c67c9e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tato consenso" ma:internalName="Stato_x0020_consenso">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78C4D7-81EC-4CD8-864E-E2DF2AB3DCF3}">
  <ds:schemaRefs>
    <ds:schemaRef ds:uri="http://schemas.microsoft.com/office/2006/metadata/properties"/>
    <ds:schemaRef ds:uri="http://schemas.microsoft.com/office/infopath/2007/PartnerControls"/>
    <ds:schemaRef ds:uri="11865fac-1300-4df5-ab48-d537c67c9e0b"/>
  </ds:schemaRefs>
</ds:datastoreItem>
</file>

<file path=customXml/itemProps2.xml><?xml version="1.0" encoding="utf-8"?>
<ds:datastoreItem xmlns:ds="http://schemas.openxmlformats.org/officeDocument/2006/customXml" ds:itemID="{166B56BD-1C89-4759-8B09-2A1F512C13C0}">
  <ds:schemaRefs>
    <ds:schemaRef ds:uri="http://schemas.openxmlformats.org/officeDocument/2006/bibliography"/>
  </ds:schemaRefs>
</ds:datastoreItem>
</file>

<file path=customXml/itemProps3.xml><?xml version="1.0" encoding="utf-8"?>
<ds:datastoreItem xmlns:ds="http://schemas.openxmlformats.org/officeDocument/2006/customXml" ds:itemID="{7D879B47-CE0B-4DC8-AD1E-4B7292B631DE}">
  <ds:schemaRefs>
    <ds:schemaRef ds:uri="http://schemas.microsoft.com/sharepoint/v3/contenttype/forms"/>
  </ds:schemaRefs>
</ds:datastoreItem>
</file>

<file path=customXml/itemProps4.xml><?xml version="1.0" encoding="utf-8"?>
<ds:datastoreItem xmlns:ds="http://schemas.openxmlformats.org/officeDocument/2006/customXml" ds:itemID="{DA3D46D0-A249-410E-A012-F53B23F20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865fac-1300-4df5-ab48-d537c67c9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Vistains.dot</Template>
  <TotalTime>3848</TotalTime>
  <Application>LibreOffice/26.2.0.3$Windows_X86_64 LibreOffice_project/620$Build-3</Application>
  <AppVersion>15.0000</AppVersion>
  <Pages>15</Pages>
  <Words>3558</Words>
  <Characters>22301</Characters>
  <CharactersWithSpaces>25561</CharactersWithSpaces>
  <Paragraphs>339</Paragraphs>
  <Company>CSI Piemonte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2025-01-14T08:48:00Z</dcterms:created>
  <dc:creator>TORTA Silvia</dc:creator>
  <dc:description/>
  <dc:language>it-IT</dc:language>
  <cp:lastModifiedBy>Manuela Ferrero</cp:lastModifiedBy>
  <cp:lastPrinted>1899-12-31T23:00:00Z</cp:lastPrinted>
  <dcterms:modified xsi:type="dcterms:W3CDTF">2026-01-08T09:40:00Z</dcterms:modified>
  <cp:revision>353</cp:revision>
  <dc:subject>SIAC - Sistema Informatico Amministrativo Contabile</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0x01010062FB1D3E88A22F4A93BD6A84A4F8492E</vt:lpwstr>
  </property>
  <property fmtid="{D5CDD505-2E9C-101B-9397-08002B2CF9AE}" pid="3" name="_DocHome">
    <vt:i4>-2102560556</vt:i4>
  </property>
</Properties>
</file>