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Stage-Law Model of the IBIS Predriver for Short and Stressed Pulses</w:t>
      </w:r>
    </w:p>
    <w:p>
      <w:pPr>
        <w:pStyle w:val="Date"/>
      </w:pPr>
      <w:r>
        <w:t xml:space="preserve">October 15, 2026</w:t>
      </w:r>
    </w:p>
    <w:p>
      <w:pPr>
        <w:pStyle w:val="Heading2"/>
      </w:pPr>
      <w:r>
        <w:t xml:space="preserve">Abstract</w:t>
      </w:r>
    </w:p>
    <w:p>
      <w:pPr>
        <w:pStyle w:val="FirstParagraph"/>
      </w:pPr>
      <w:r>
        <w:t xml:space="preserve">An IBIS model describes an output buffer by the I–V tables of its output devices and by the pad voltage of complete transitions, from which the conducting fractions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of the two devices are solved and replayed against time. When an input pulse is shorter than the buffer's own delay, the predriver interrupts the transition and the replay fails: on twelve test buffers HSPICE's native IBIS element misses the stressed pad peak by 20–100 % where it produces a waveform at all. This paper replaces the replay by a model of the predriver. Each predriver stage obeys a stage law derived from the α-power MOSFET model; </w:t>
      </w:r>
      <m:oMath>
        <m:r>
          <m:t xml:space="preserve">K</m:t>
        </m:r>
      </m:oMath>
      <w:r>
        <w:t xml:space="preserve"> identical stages drive the gate of the output device, and a static map turns the gate into </w:t>
      </w:r>
      <m:oMath>
        <m:sSub>
          <m:e>
            <m:r>
              <m:t xml:space="preserve">K</m:t>
            </m:r>
          </m:e>
          <m:sub>
            <m:r>
              <m:t xml:space="preserve">u</m:t>
            </m:r>
          </m:sub>
        </m:sSub>
      </m:oMath>
      <w:r>
        <w:t xml:space="preserve">. The stage rates are fitted to the </w:t>
      </w:r>
      <m:oMath>
        <m:sSub>
          <m:e>
            <m:r>
              <m:t xml:space="preserve">K</m:t>
            </m:r>
          </m:e>
          <m:sub>
            <m:r>
              <m:t xml:space="preserve">u</m:t>
            </m:r>
          </m:sub>
        </m:sSub>
        <m:r>
          <m:rPr>
            <m:sty m:val="p"/>
          </m:rPr>
          <m:t xml:space="preserve">(</m:t>
        </m:r>
        <m:r>
          <m:t xml:space="preserve">t</m:t>
        </m:r>
        <m:r>
          <m:rPr>
            <m:sty m:val="p"/>
          </m:rPr>
          <m:t xml:space="preserve">)</m:t>
        </m:r>
      </m:oMath>
      <w:r>
        <w:t xml:space="preserve"> that the IBIS file already contains. The file cannot determine the stage count, the map shape or the stage threshold, which act only under partial drive; one measured pad waveform for a short pulse calibrates the threshold on its peak and selects among nine candidates on its shape. Built from the file and that one measurement, the model reproduces the stressed pad peak within 10 % (mean 6.9 %) on the twelve buffers at five pulse widths. The method relies on four built-in constants chosen on the test buffers, and was tested on single pulses into one load; both limits are stated.</w:t>
      </w:r>
    </w:p>
    <w:p>
      <w:pPr>
        <w:pStyle w:val="Heading1"/>
      </w:pPr>
      <w:r>
        <w:t xml:space="preserve">I. Introduction</w:t>
      </w:r>
    </w:p>
    <w:p>
      <w:pPr>
        <w:pStyle w:val="FirstParagraph"/>
      </w:pPr>
      <w:r>
        <w:t xml:space="preserve">An IBIS model describes an output buffer from its pins: the I–V tables of the pull-up and the pull-down device, the pad voltage of one complete rising and one complete falling transition recorded into two fixtures, the die capacitance </w:t>
      </w:r>
      <m:oMath>
        <m:sSub>
          <m:e>
            <m:r>
              <m:t xml:space="preserve">C</m:t>
            </m:r>
          </m:e>
          <m:sub>
            <m:r>
              <m:t xml:space="preserve">c</m:t>
            </m:r>
            <m:r>
              <m:t xml:space="preserve">o</m:t>
            </m:r>
            <m:r>
              <m:t xml:space="preserve">m</m:t>
            </m:r>
            <m:r>
              <m:t xml:space="preserve">p</m:t>
            </m:r>
          </m:sub>
        </m:sSub>
      </m:oMath>
      <w:r>
        <w:t xml:space="preserve"> and the package. A simulator solves the two waveforms, instant by instant, for the conducting fractions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the multipliers on the two tables that reproduce the recorded pad voltage, and then replays them against time from the input edge. The IBIS-to-SPICE converter this work extends does this, and HSPICE's own IBIS element does the same; both are called the existing model below.</w:t>
      </w:r>
    </w:p>
    <w:p>
      <w:pPr>
        <w:pStyle w:val="BodyText"/>
      </w:pPr>
      <w:r>
        <w:t xml:space="preserve">The coefficients describe complete transitions, which is all the file records. When an input pulse is shorter than the buffer's own delay and edge, the transition is interrupted inside the predriver, the chain of inverters between the input pin and the output devices: the gate of the output device turns back before it reaches its rail, and a coefficient replayed against time has no representation of that. Fig. 1 shows the consequence on test buffer ex2. An 810 ps pulse drives the pad to 0.77 V of its 1.55 V swing, and the native IBIS element overshoots the peak by 71 %. Across the twelve test buffers of this work its worst stressed peak error is 20–100 % (Section V).</w:t>
      </w:r>
    </w:p>
    <w:p>
      <w:pPr>
        <w:pStyle w:val="CaptionedFigure"/>
        <w:jc w:val="center"/>
      </w:pPr>
      <w:r>
        <w:drawing>
          <wp:inline distT="0" distB="0" distL="0" distR="0">
            <wp:extent cx="5669280" cy="2625043"/>
            <wp:docPr id="101" name="Figure 1"/>
            <wp:cNvGraphicFramePr>
              <a:graphicFrameLocks noChangeAspect="1"/>
            </wp:cNvGraphicFramePr>
            <a:graphic>
              <a:graphicData uri="http://schemas.openxmlformats.org/drawingml/2006/picture">
                <pic:pic>
                  <pic:nvPicPr>
                    <pic:cNvPr id="101" name="fig1.png"/>
                    <pic:cNvPicPr/>
                  </pic:nvPicPr>
                  <pic:blipFill>
                    <a:blip r:embed="rIdFig1"/>
                    <a:stretch>
                      <a:fillRect/>
                    </a:stretch>
                  </pic:blipFill>
                  <pic:spPr>
                    <a:xfrm>
                      <a:off x="0" y="0"/>
                      <a:ext cx="5669280" cy="2625043"/>
                    </a:xfrm>
                    <a:prstGeom prst="rect">
                      <a:avLst/>
                    </a:prstGeom>
                  </pic:spPr>
                </pic:pic>
              </a:graphicData>
            </a:graphic>
          </wp:inline>
        </w:drawing>
      </w:r>
    </w:p>
    <w:p>
      <w:pPr>
        <w:pStyle w:val="ImageCaption"/>
      </w:pPr>
      <w:r>
        <w:t xml:space="preserve">Fig. 1. The problem, on test buffer ex2. (a) A complete transition into the test load, the situation an IBIS file records. (b) An 810 ps input pulse: the transistor-level pad voltage against HSPICE's native IBIS model of the same file.</w:t>
      </w:r>
    </w:p>
    <w:p>
      <w:pPr>
        <w:pStyle w:val="FirstParagraph"/>
      </w:pPr>
      <w:r>
        <w:t xml:space="preserve">This paper replaces the replay by a model of the predriver. Each inverter of the predriver is modeled by a stage law derived from the α-power MOSFET model [1]; </w:t>
      </w:r>
      <m:oMath>
        <m:r>
          <m:t xml:space="preserve">K</m:t>
        </m:r>
      </m:oMath>
      <w:r>
        <w:t xml:space="preserve"> identical stages drive the gate of the output device, and a static map turns the gate into </w:t>
      </w:r>
      <m:oMath>
        <m:sSub>
          <m:e>
            <m:r>
              <m:t xml:space="preserve">K</m:t>
            </m:r>
          </m:e>
          <m:sub>
            <m:r>
              <m:t xml:space="preserve">u</m:t>
            </m:r>
          </m:sub>
        </m:sSub>
      </m:oMath>
      <w:r>
        <w:t xml:space="preserve">. The fractions then follow the gate rather than the clock: for a short pulse the gate turns back partway, and the model's </w:t>
      </w:r>
      <m:oMath>
        <m:sSub>
          <m:e>
            <m:r>
              <m:t xml:space="preserve">K</m:t>
            </m:r>
          </m:e>
          <m:sub>
            <m:r>
              <m:t xml:space="preserve">u</m:t>
            </m:r>
          </m:sub>
        </m:sSub>
      </m:oMath>
      <w:r>
        <w:t xml:space="preserve"> does the same. The stage rates are fitted to the </w:t>
      </w:r>
      <m:oMath>
        <m:sSub>
          <m:e>
            <m:r>
              <m:t xml:space="preserve">K</m:t>
            </m:r>
          </m:e>
          <m:sub>
            <m:r>
              <m:t xml:space="preserve">u</m:t>
            </m:r>
          </m:sub>
        </m:sSub>
        <m:r>
          <m:rPr>
            <m:sty m:val="p"/>
          </m:rPr>
          <m:t xml:space="preserve">(</m:t>
        </m:r>
        <m:r>
          <m:t xml:space="preserve">t</m:t>
        </m:r>
        <m:r>
          <m:rPr>
            <m:sty m:val="p"/>
          </m:rPr>
          <m:t xml:space="preserve">)</m:t>
        </m:r>
      </m:oMath>
      <w:r>
        <w:t xml:space="preserve"> that the file already contains, so the model needs nothing the file does not have, with one exception. A complete transition fixes the rates but not the quantities that act only under partial drive: the stage count, the shape of the map and the stage threshold. One measured pad waveform for a short pulse settles them.</w:t>
      </w:r>
    </w:p>
    <w:p>
      <w:pPr>
        <w:pStyle w:val="BodyText"/>
      </w:pPr>
      <w:r>
        <w:t xml:space="preserve">The contributions are: (1) the stage law, a three-parameter normalized law of one predriver stage derived from [1], and the evidence that it extrapolates from a complete transition to truncated pulses; (2) an identification result, that the IBIS file determines the stage rates and leaves the stage count, the map shape and the threshold undetermined, shown in numbers; (3) a procedure that builds the model from the file and one stressed pad waveform, using the waveform's peak to calibrate the threshold and its shape to select among nine candidates; (4) verification at the pad on twelve test buffers, within 10 % of the transistor-level reference at five pulse widths, against 20–100 % for the native element.</w:t>
      </w:r>
    </w:p>
    <w:p>
      <w:pPr>
        <w:pStyle w:val="BodyText"/>
      </w:pPr>
      <w:r>
        <w:t xml:space="preserve">The test set is three buffers whose transistor netlists are available, ex2 (3.3 V, three predriver inverters), inv_chain (1.8 V, seven) and io_buf (3.3 V, separate pull-up and pull-down paths), and nine variants of the first two. Transistor-level HSPICE simulation is the reference, the model runs in ngspice, and the native IBIS element is the baseline. The method is not derived from the file alone: besides the one measurement it uses four built-in constants chosen on these buffers, which Section VI discusses.</w:t>
      </w:r>
    </w:p>
    <w:p>
      <w:pPr>
        <w:pStyle w:val="BodyText"/>
      </w:pPr>
      <w:r>
        <w:t xml:space="preserve">Section II derives the stage law. Section III builds the buffer model on it. Section IV gives the identification procedure step by step, with ex2 as the running example. Section V verifies the model at the gate and at the pad, and Section VI collects the approximations and limits. Table I lists the notation.</w:t>
      </w:r>
    </w:p>
    <w:p>
      <w:pPr>
        <w:pStyle w:val="TableCaption"/>
        <w:keepNext/>
      </w:pPr>
      <w:r>
        <w:t xml:space="preserve">Table I: Notation</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2200"/>
        <w:gridCol w:w="5900"/>
        <w:gridCol w:w="1500"/>
      </w:tblGrid>
      <w:tr>
        <w:trPr>
          <w:cantSplit/>
          <w:tblHeader/>
        </w:trPr>
        <w:tc>
          <w:tcPr>
            <w:tcW w:w="2200" w:type="dxa"/>
          </w:tcPr>
          <w:p>
            <w:pPr>
              <w:pStyle w:val="Compact"/>
              <w:keepNext/>
              <w:jc w:val="left"/>
            </w:pPr>
            <w:r>
              <w:rPr>
                <w:b/>
                <w:sz w:val="18"/>
              </w:rPr>
              <w:t xml:space="preserve">Symbol</w:t>
            </w:r>
          </w:p>
        </w:tc>
        <w:tc>
          <w:tcPr>
            <w:tcW w:w="5900" w:type="dxa"/>
          </w:tcPr>
          <w:p>
            <w:pPr>
              <w:pStyle w:val="Compact"/>
              <w:keepNext/>
              <w:jc w:val="left"/>
            </w:pPr>
            <w:r>
              <w:rPr>
                <w:b/>
                <w:sz w:val="18"/>
              </w:rPr>
              <w:t xml:space="preserve">Definition</w:t>
            </w:r>
          </w:p>
        </w:tc>
        <w:tc>
          <w:tcPr>
            <w:tcW w:w="1500" w:type="dxa"/>
          </w:tcPr>
          <w:p>
            <w:pPr>
              <w:pStyle w:val="Compact"/>
              <w:keepNext/>
              <w:jc w:val="left"/>
            </w:pPr>
            <w:r>
              <w:rPr>
                <w:b/>
                <w:sz w:val="18"/>
              </w:rPr>
              <w:t xml:space="preserve">Where</w:t>
            </w:r>
          </w:p>
        </w:tc>
      </w:tr>
      <w:tr>
        <w:trPr>
          <w:cantSplit/>
        </w:trPr>
        <w:tc>
          <w:tcPr>
            <w:tcW w:w="2200" w:type="dxa"/>
          </w:tcPr>
          <w:p>
            <w:pPr>
              <w:pStyle w:val="Compact"/>
              <w:jc w:val="left"/>
            </w:pPr>
            <m:oMath>
              <m:r>
                <m:t xml:space="preserve">u</m:t>
              </m:r>
            </m:oMath>
            <w:r>
              <w:rPr>
                <w:sz w:val="18"/>
              </w:rPr>
              <w:t xml:space="preserve">, </w:t>
            </w:r>
            <m:oMath>
              <m:r>
                <m:t xml:space="preserve">v</m:t>
              </m:r>
            </m:oMath>
            <w:r>
              <w:rPr>
                <w:sz w:val="18"/>
              </w:rPr>
              <w:t xml:space="preserve">​</w:t>
            </w:r>
          </w:p>
        </w:tc>
        <w:tc>
          <w:tcPr>
            <w:tcW w:w="5900" w:type="dxa"/>
          </w:tcPr>
          <w:p>
            <w:pPr>
              <w:pStyle w:val="Compact"/>
              <w:jc w:val="left"/>
            </w:pPr>
            <w:r>
              <w:rPr>
                <w:sz w:val="18"/>
              </w:rPr>
              <w:t xml:space="preserve">Normalized stage input and output, 0 → 1</w:t>
            </w:r>
          </w:p>
        </w:tc>
        <w:tc>
          <w:tcPr>
            <w:tcW w:w="1500" w:type="dxa"/>
          </w:tcPr>
          <w:p>
            <w:pPr>
              <w:pStyle w:val="Compact"/>
              <w:jc w:val="left"/>
            </w:pPr>
            <w:r>
              <w:rPr>
                <w:sz w:val="18"/>
              </w:rPr>
              <w:t xml:space="preserve">(8)</w:t>
            </w:r>
          </w:p>
        </w:tc>
      </w:tr>
      <w:tr>
        <w:trPr>
          <w:cantSplit/>
        </w:trPr>
        <w:tc>
          <w:tcPr>
            <w:tcW w:w="2200" w:type="dxa"/>
          </w:tcPr>
          <w:p>
            <w:pPr>
              <w:pStyle w:val="Compact"/>
              <w:jc w:val="left"/>
            </w:pPr>
            <m:oMath>
              <m:sSub>
                <m:e>
                  <m:r>
                    <m:t xml:space="preserve">v</m:t>
                  </m:r>
                </m:e>
                <m:sub>
                  <m:r>
                    <m:t xml:space="preserve">t</m:t>
                  </m:r>
                </m:sub>
              </m:sSub>
            </m:oMath>
            <w:r>
              <w:rPr>
                <w:sz w:val="18"/>
              </w:rPr>
              <w:t xml:space="preserve">​</w:t>
            </w:r>
          </w:p>
        </w:tc>
        <w:tc>
          <w:tcPr>
            <w:tcW w:w="5900" w:type="dxa"/>
          </w:tcPr>
          <w:p>
            <w:pPr>
              <w:pStyle w:val="Compact"/>
              <w:jc w:val="left"/>
            </w:pPr>
            <w:r>
              <w:rPr>
                <w:sz w:val="18"/>
              </w:rPr>
              <w:t xml:space="preserve">Stage threshold: </w:t>
            </w:r>
            <m:oMath>
              <m:sSub>
                <m:e>
                  <m:r>
                    <m:t xml:space="preserve">V</m:t>
                  </m:r>
                </m:e>
                <m:sub>
                  <m:r>
                    <m:t xml:space="preserve">T</m:t>
                  </m:r>
                  <m:r>
                    <m:t xml:space="preserve">H</m:t>
                  </m:r>
                </m:sub>
              </m:sSub>
              <m:r>
                <m:rPr>
                  <m:sty m:val="p"/>
                </m:rPr>
                <m:t xml:space="preserve">/</m:t>
              </m:r>
              <m:sSub>
                <m:e>
                  <m:r>
                    <m:t xml:space="preserve">V</m:t>
                  </m:r>
                </m:e>
                <m:sub>
                  <m:r>
                    <m:t xml:space="preserve">D</m:t>
                  </m:r>
                  <m:r>
                    <m:t xml:space="preserve">D</m:t>
                  </m:r>
                </m:sub>
              </m:sSub>
            </m:oMath>
            <w:r>
              <w:rPr>
                <w:sz w:val="18"/>
              </w:rPr>
              <w:t xml:space="preserve"> in the derivation, an effective fitted number in the model</w:t>
            </w:r>
          </w:p>
        </w:tc>
        <w:tc>
          <w:tcPr>
            <w:tcW w:w="1500" w:type="dxa"/>
          </w:tcPr>
          <w:p>
            <w:pPr>
              <w:pStyle w:val="Compact"/>
              <w:jc w:val="left"/>
            </w:pPr>
            <w:r>
              <w:rPr>
                <w:sz w:val="18"/>
              </w:rPr>
              <w:t xml:space="preserve">(9), (17)</w:t>
            </w:r>
          </w:p>
        </w:tc>
      </w:tr>
      <w:tr>
        <w:trPr>
          <w:cantSplit/>
        </w:trPr>
        <w:tc>
          <w:tcPr>
            <w:tcW w:w="2200" w:type="dxa"/>
          </w:tcPr>
          <w:p>
            <w:pPr>
              <w:pStyle w:val="Compact"/>
              <w:jc w:val="left"/>
            </w:pPr>
            <m:oMath>
              <m:sSub>
                <m:e>
                  <m:r>
                    <m:t xml:space="preserve">x</m:t>
                  </m:r>
                </m:e>
                <m:sub>
                  <m:r>
                    <m:rPr>
                      <m:sty m:val="p"/>
                    </m:rPr>
                    <m:t xml:space="preserve">0</m:t>
                  </m:r>
                </m:sub>
              </m:sSub>
            </m:oMath>
            <w:r>
              <w:rPr>
                <w:sz w:val="18"/>
              </w:rPr>
              <w:t xml:space="preserve">, </w:t>
            </w:r>
            <m:oMath>
              <m:sSub>
                <m:e>
                  <m:r>
                    <m:t xml:space="preserve">x</m:t>
                  </m:r>
                </m:e>
                <m:sub>
                  <m:r>
                    <m:t xml:space="preserve">l</m:t>
                  </m:r>
                  <m:r>
                    <m:t xml:space="preserve">i</m:t>
                  </m:r>
                  <m:r>
                    <m:t xml:space="preserve">n</m:t>
                  </m:r>
                </m:sub>
              </m:sSub>
            </m:oMath>
            <w:r>
              <w:rPr>
                <w:sz w:val="18"/>
              </w:rPr>
              <w:t xml:space="preserve">​</w:t>
            </w:r>
          </w:p>
        </w:tc>
        <w:tc>
          <w:tcPr>
            <w:tcW w:w="5900" w:type="dxa"/>
          </w:tcPr>
          <w:p>
            <w:pPr>
              <w:pStyle w:val="Compact"/>
              <w:jc w:val="left"/>
            </w:pPr>
            <w:r>
              <w:rPr>
                <w:sz w:val="18"/>
              </w:rPr>
              <w:t xml:space="preserve">Saturation boundary at full drive, </w:t>
            </w:r>
            <m:oMath>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8"/>
              </w:rPr>
              <w:t xml:space="preserve">; the effective constant that replaces it (0.45)</w:t>
            </w:r>
          </w:p>
        </w:tc>
        <w:tc>
          <w:tcPr>
            <w:tcW w:w="1500" w:type="dxa"/>
          </w:tcPr>
          <w:p>
            <w:pPr>
              <w:pStyle w:val="Compact"/>
              <w:jc w:val="left"/>
            </w:pPr>
            <w:r>
              <w:rPr>
                <w:sz w:val="18"/>
              </w:rPr>
              <w:t xml:space="preserve">(9), (18)</w:t>
            </w:r>
          </w:p>
        </w:tc>
      </w:tr>
      <w:tr>
        <w:trPr>
          <w:cantSplit/>
        </w:trPr>
        <w:tc>
          <w:tcPr>
            <w:tcW w:w="2200" w:type="dxa"/>
          </w:tcPr>
          <w:p>
            <w:pPr>
              <w:pStyle w:val="Compact"/>
              <w:jc w:val="left"/>
            </w:pPr>
            <m:oMath>
              <m:r>
                <m:t xml:space="preserve">h</m:t>
              </m:r>
            </m:oMath>
            <w:r>
              <w:rPr>
                <w:sz w:val="18"/>
              </w:rPr>
              <w:t xml:space="preserve">, </w:t>
            </w:r>
            <m:oMath>
              <m:r>
                <m:t xml:space="preserve">r</m:t>
              </m:r>
            </m:oMath>
            <w:r>
              <w:rPr>
                <w:sz w:val="18"/>
              </w:rPr>
              <w:t xml:space="preserve">​</w:t>
            </w:r>
          </w:p>
        </w:tc>
        <w:tc>
          <w:tcPr>
            <w:tcW w:w="5900" w:type="dxa"/>
          </w:tcPr>
          <w:p>
            <w:pPr>
              <w:pStyle w:val="Compact"/>
              <w:jc w:val="left"/>
            </w:pPr>
            <w:r>
              <w:rPr>
                <w:sz w:val="18"/>
              </w:rPr>
              <w:t xml:space="preserve">Gate factor and drain factor of the stage law</w:t>
            </w:r>
          </w:p>
        </w:tc>
        <w:tc>
          <w:tcPr>
            <w:tcW w:w="1500" w:type="dxa"/>
          </w:tcPr>
          <w:p>
            <w:pPr>
              <w:pStyle w:val="Compact"/>
              <w:jc w:val="left"/>
            </w:pPr>
            <w:r>
              <w:rPr>
                <w:sz w:val="18"/>
              </w:rPr>
              <w:t xml:space="preserve">(17), (18)</w:t>
            </w:r>
          </w:p>
        </w:tc>
      </w:tr>
      <w:tr>
        <w:trPr>
          <w:cantSplit/>
        </w:trPr>
        <w:tc>
          <w:tcPr>
            <w:tcW w:w="2200" w:type="dxa"/>
          </w:tcPr>
          <w:p>
            <w:pPr>
              <w:pStyle w:val="Compact"/>
              <w:jc w:val="left"/>
            </w:pPr>
            <m:oMath>
              <m:sSub>
                <m:e>
                  <m:r>
                    <m:t xml:space="preserve">s</m:t>
                  </m:r>
                </m:e>
                <m:sub>
                  <m:r>
                    <m:t xml:space="preserve">u</m:t>
                  </m:r>
                  <m:r>
                    <m:t xml:space="preserve">p</m:t>
                  </m:r>
                </m:sub>
              </m:sSub>
            </m:oMath>
            <w:r>
              <w:rPr>
                <w:sz w:val="18"/>
              </w:rPr>
              <w:t xml:space="preserve">, </w:t>
            </w:r>
            <m:oMath>
              <m:sSub>
                <m:e>
                  <m:r>
                    <m:t xml:space="preserve">s</m:t>
                  </m:r>
                </m:e>
                <m:sub>
                  <m:r>
                    <m:t xml:space="preserve">d</m:t>
                  </m:r>
                  <m:r>
                    <m:t xml:space="preserve">n</m:t>
                  </m:r>
                </m:sub>
              </m:sSub>
            </m:oMath>
            <w:r>
              <w:rPr>
                <w:sz w:val="18"/>
              </w:rPr>
              <w:t xml:space="preserve">​</w:t>
            </w:r>
          </w:p>
        </w:tc>
        <w:tc>
          <w:tcPr>
            <w:tcW w:w="5900" w:type="dxa"/>
          </w:tcPr>
          <w:p>
            <w:pPr>
              <w:pStyle w:val="Compact"/>
              <w:jc w:val="left"/>
            </w:pPr>
            <w:r>
              <w:rPr>
                <w:sz w:val="18"/>
              </w:rPr>
              <w:t xml:space="preserve">Charging and discharging rate of a stage, swings per ns</w:t>
            </w:r>
          </w:p>
        </w:tc>
        <w:tc>
          <w:tcPr>
            <w:tcW w:w="1500" w:type="dxa"/>
          </w:tcPr>
          <w:p>
            <w:pPr>
              <w:pStyle w:val="Compact"/>
              <w:jc w:val="left"/>
            </w:pPr>
            <w:r>
              <w:rPr>
                <w:sz w:val="18"/>
              </w:rPr>
              <w:t xml:space="preserve">(16)</w:t>
            </w:r>
          </w:p>
        </w:tc>
      </w:tr>
      <w:tr>
        <w:trPr>
          <w:cantSplit/>
        </w:trPr>
        <w:tc>
          <w:tcPr>
            <w:tcW w:w="2200" w:type="dxa"/>
          </w:tcPr>
          <w:p>
            <w:pPr>
              <w:pStyle w:val="Compact"/>
              <w:jc w:val="left"/>
            </w:pPr>
            <m:oMath>
              <m:r>
                <m:t xml:space="preserve">p</m:t>
              </m:r>
            </m:oMath>
            <w:r>
              <w:rPr>
                <w:sz w:val="18"/>
              </w:rPr>
              <w:t xml:space="preserve">, </w:t>
            </w:r>
            <m:oMath>
              <m:r>
                <m:t xml:space="preserve">α</m:t>
              </m:r>
            </m:oMath>
            <w:r>
              <w:rPr>
                <w:sz w:val="18"/>
              </w:rPr>
              <w:t xml:space="preserve">​</w:t>
            </w:r>
          </w:p>
        </w:tc>
        <w:tc>
          <w:tcPr>
            <w:tcW w:w="5900" w:type="dxa"/>
          </w:tcPr>
          <w:p>
            <w:pPr>
              <w:pStyle w:val="Compact"/>
              <w:jc w:val="left"/>
            </w:pPr>
            <w:r>
              <w:rPr>
                <w:sz w:val="18"/>
              </w:rPr>
              <w:t xml:space="preserve">Gate exponent of the stage law (fixed at 1); the device's velocity-saturation index</w:t>
            </w:r>
          </w:p>
        </w:tc>
        <w:tc>
          <w:tcPr>
            <w:tcW w:w="1500" w:type="dxa"/>
          </w:tcPr>
          <w:p>
            <w:pPr>
              <w:pStyle w:val="Compact"/>
              <w:jc w:val="left"/>
            </w:pPr>
            <w:r>
              <w:rPr>
                <w:sz w:val="18"/>
              </w:rPr>
              <w:t xml:space="preserve">(17), (2)</w:t>
            </w:r>
          </w:p>
        </w:tc>
      </w:tr>
      <w:tr>
        <w:trPr>
          <w:cantSplit/>
        </w:trPr>
        <w:tc>
          <w:tcPr>
            <w:tcW w:w="2200" w:type="dxa"/>
          </w:tcPr>
          <w:p>
            <w:pPr>
              <w:pStyle w:val="Compact"/>
              <w:jc w:val="left"/>
            </w:pPr>
            <m:oMath>
              <m:r>
                <m:t xml:space="preserve">K</m:t>
              </m:r>
            </m:oMath>
            <w:r>
              <w:rPr>
                <w:sz w:val="18"/>
              </w:rPr>
              <w:t xml:space="preserve">​</w:t>
            </w:r>
          </w:p>
        </w:tc>
        <w:tc>
          <w:tcPr>
            <w:tcW w:w="5900" w:type="dxa"/>
          </w:tcPr>
          <w:p>
            <w:pPr>
              <w:pStyle w:val="Compact"/>
              <w:jc w:val="left"/>
            </w:pPr>
            <w:r>
              <w:rPr>
                <w:sz w:val="18"/>
              </w:rPr>
              <w:t xml:space="preserve">Number of stages in the chain</w:t>
            </w:r>
          </w:p>
        </w:tc>
        <w:tc>
          <w:tcPr>
            <w:tcW w:w="1500" w:type="dxa"/>
          </w:tcPr>
          <w:p>
            <w:pPr>
              <w:pStyle w:val="Compact"/>
              <w:jc w:val="left"/>
            </w:pPr>
            <w:r>
              <w:rPr>
                <w:sz w:val="18"/>
              </w:rPr>
              <w:t xml:space="preserve">(20)</w:t>
            </w:r>
          </w:p>
        </w:tc>
      </w:tr>
      <w:tr>
        <w:trPr>
          <w:cantSplit/>
        </w:trPr>
        <w:tc>
          <w:tcPr>
            <w:tcW w:w="2200" w:type="dxa"/>
          </w:tcPr>
          <w:p>
            <w:pPr>
              <w:pStyle w:val="Compact"/>
              <w:jc w:val="left"/>
            </w:pPr>
            <m:oMath>
              <m:sSub>
                <m:e>
                  <m:r>
                    <m:t xml:space="preserve">G</m:t>
                  </m:r>
                </m:e>
                <m:sub>
                  <m:r>
                    <m:t xml:space="preserve">U</m:t>
                  </m:r>
                  <m:r>
                    <m:t xml:space="preserve">P</m:t>
                  </m:r>
                </m:sub>
              </m:sSub>
            </m:oMath>
            <w:r>
              <w:rPr>
                <w:sz w:val="18"/>
              </w:rPr>
              <w:t xml:space="preserve">, </w:t>
            </w:r>
            <m:oMath>
              <m:sSub>
                <m:e>
                  <m:r>
                    <m:t xml:space="preserve">G</m:t>
                  </m:r>
                </m:e>
                <m:sub>
                  <m:r>
                    <m:t xml:space="preserve">D</m:t>
                  </m:r>
                  <m:r>
                    <m:t xml:space="preserve">N</m:t>
                  </m:r>
                </m:sub>
              </m:sSub>
            </m:oMath>
            <w:r>
              <w:rPr>
                <w:sz w:val="18"/>
              </w:rPr>
              <w:t xml:space="preserve">​</w:t>
            </w:r>
          </w:p>
        </w:tc>
        <w:tc>
          <w:tcPr>
            <w:tcW w:w="5900" w:type="dxa"/>
          </w:tcPr>
          <w:p>
            <w:pPr>
              <w:pStyle w:val="Compact"/>
              <w:jc w:val="left"/>
            </w:pPr>
            <w:r>
              <w:rPr>
                <w:sz w:val="18"/>
              </w:rPr>
              <w:t xml:space="preserve">Gate of the output pull-up and pull-down device, 0 → 1</w:t>
            </w:r>
          </w:p>
        </w:tc>
        <w:tc>
          <w:tcPr>
            <w:tcW w:w="1500" w:type="dxa"/>
          </w:tcPr>
          <w:p>
            <w:pPr>
              <w:pStyle w:val="Compact"/>
              <w:jc w:val="left"/>
            </w:pPr>
            <w:r>
              <w:rPr>
                <w:sz w:val="18"/>
              </w:rPr>
              <w:t xml:space="preserve">(21)</w:t>
            </w:r>
          </w:p>
        </w:tc>
      </w:tr>
      <w:tr>
        <w:trPr>
          <w:cantSplit/>
        </w:trPr>
        <w:tc>
          <w:tcPr>
            <w:tcW w:w="2200" w:type="dxa"/>
          </w:tcPr>
          <w:p>
            <w:pPr>
              <w:pStyle w:val="Compact"/>
              <w:jc w:val="left"/>
            </w:pPr>
            <m:oMath>
              <m:r>
                <m:t xml:space="preserve">M</m:t>
              </m:r>
            </m:oMath>
            <w:r>
              <w:rPr>
                <w:sz w:val="18"/>
              </w:rPr>
              <w:t xml:space="preserv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r>
              <w:rPr>
                <w:sz w:val="18"/>
              </w:rPr>
              <w:t xml:space="preserve">​</w:t>
            </w:r>
          </w:p>
        </w:tc>
        <w:tc>
          <w:tcPr>
            <w:tcW w:w="5900" w:type="dxa"/>
          </w:tcPr>
          <w:p>
            <w:pPr>
              <w:pStyle w:val="Compact"/>
              <w:jc w:val="left"/>
            </w:pPr>
            <w:r>
              <w:rPr>
                <w:sz w:val="18"/>
              </w:rPr>
              <w:t xml:space="preserve">The map from the gate to the conducting fraction, and its shape</w:t>
            </w:r>
          </w:p>
        </w:tc>
        <w:tc>
          <w:tcPr>
            <w:tcW w:w="1500" w:type="dxa"/>
          </w:tcPr>
          <w:p>
            <w:pPr>
              <w:pStyle w:val="Compact"/>
              <w:jc w:val="left"/>
            </w:pPr>
            <w:r>
              <w:rPr>
                <w:sz w:val="18"/>
              </w:rPr>
              <w:t xml:space="preserve">(22)</w:t>
            </w:r>
          </w:p>
        </w:tc>
      </w:tr>
      <w:tr>
        <w:trPr>
          <w:cantSplit/>
        </w:trPr>
        <w:tc>
          <w:tcPr>
            <w:tcW w:w="2200" w:type="dxa"/>
          </w:tcPr>
          <w:p>
            <w:pPr>
              <w:pStyle w:val="Compact"/>
              <w:jc w:val="left"/>
            </w:pPr>
            <m:oMath>
              <m:sSub>
                <m:e>
                  <m:r>
                    <m:t xml:space="preserve">K</m:t>
                  </m:r>
                </m:e>
                <m:sub>
                  <m:r>
                    <m:t xml:space="preserve">u</m:t>
                  </m:r>
                </m:sub>
              </m:sSub>
            </m:oMath>
            <w:r>
              <w:rPr>
                <w:sz w:val="18"/>
              </w:rPr>
              <w:t xml:space="preserve">, </w:t>
            </w:r>
            <m:oMath>
              <m:sSub>
                <m:e>
                  <m:r>
                    <m:t xml:space="preserve">K</m:t>
                  </m:r>
                </m:e>
                <m:sub>
                  <m:r>
                    <m:t xml:space="preserve">d</m:t>
                  </m:r>
                </m:sub>
              </m:sSub>
            </m:oMath>
            <w:r>
              <w:rPr>
                <w:sz w:val="18"/>
              </w:rPr>
              <w:t xml:space="preserve">; </w:t>
            </w:r>
            <m:oMath>
              <m:sSub>
                <m:e>
                  <m:acc>
                    <m:accPr>
                      <m:chr m:val="̂"/>
                    </m:accPr>
                    <m:e>
                      <m:r>
                        <m:t xml:space="preserve">K</m:t>
                      </m:r>
                    </m:e>
                  </m:acc>
                </m:e>
                <m:sub>
                  <m:r>
                    <m:t xml:space="preserve">u</m:t>
                  </m:r>
                </m:sub>
              </m:sSub>
            </m:oMath>
            <w:r>
              <w:rPr>
                <w:sz w:val="18"/>
              </w:rPr>
              <w:t xml:space="preserve">​</w:t>
            </w:r>
          </w:p>
        </w:tc>
        <w:tc>
          <w:tcPr>
            <w:tcW w:w="5900" w:type="dxa"/>
          </w:tcPr>
          <w:p>
            <w:pPr>
              <w:pStyle w:val="Compact"/>
              <w:jc w:val="left"/>
            </w:pPr>
            <w:r>
              <w:rPr>
                <w:sz w:val="18"/>
              </w:rPr>
              <w:t xml:space="preserve">Conducting fractions of the output devices; </w:t>
            </w:r>
            <m:oMath>
              <m:sSub>
                <m:e>
                  <m:r>
                    <m:t xml:space="preserve">K</m:t>
                  </m:r>
                </m:e>
                <m:sub>
                  <m:r>
                    <m:t xml:space="preserve">u</m:t>
                  </m:r>
                </m:sub>
              </m:sSub>
            </m:oMath>
            <w:r>
              <w:rPr>
                <w:sz w:val="18"/>
              </w:rPr>
              <w:t xml:space="preserve"> normalized between its settled levels</w:t>
            </w:r>
          </w:p>
        </w:tc>
        <w:tc>
          <w:tcPr>
            <w:tcW w:w="1500" w:type="dxa"/>
          </w:tcPr>
          <w:p>
            <w:pPr>
              <w:pStyle w:val="Compact"/>
              <w:jc w:val="left"/>
            </w:pPr>
            <w:r>
              <w:rPr>
                <w:sz w:val="18"/>
              </w:rPr>
              <w:t xml:space="preserve">(22), (25)</w:t>
            </w:r>
          </w:p>
        </w:tc>
      </w:tr>
      <w:tr>
        <w:trPr>
          <w:cantSplit/>
        </w:trPr>
        <w:tc>
          <w:tcPr>
            <w:tcW w:w="2200" w:type="dxa"/>
          </w:tcPr>
          <w:p>
            <w:pPr>
              <w:pStyle w:val="Compact"/>
              <w:jc w:val="left"/>
            </w:pPr>
            <m:oMath>
              <m:r>
                <m:t xml:space="preserve">e</m:t>
              </m:r>
              <m:r>
                <m:rPr>
                  <m:sty m:val="p"/>
                </m:rPr>
                <m:t xml:space="preserve">(</m:t>
              </m:r>
              <m:sSub>
                <m:e>
                  <m:r>
                    <m:t xml:space="preserve">v</m:t>
                  </m:r>
                </m:e>
                <m:sub>
                  <m:r>
                    <m:t xml:space="preserve">t</m:t>
                  </m:r>
                </m:sub>
              </m:sSub>
              <m:r>
                <m:rPr>
                  <m:sty m:val="p"/>
                </m:rPr>
                <m:t xml:space="preserve">)</m:t>
              </m:r>
            </m:oMath>
            <w:r>
              <w:rPr>
                <w:sz w:val="18"/>
              </w:rPr>
              <w:t xml:space="preserve">​</w:t>
            </w:r>
          </w:p>
        </w:tc>
        <w:tc>
          <w:tcPr>
            <w:tcW w:w="5900" w:type="dxa"/>
          </w:tcPr>
          <w:p>
            <w:pPr>
              <w:pStyle w:val="Compact"/>
              <w:jc w:val="left"/>
            </w:pPr>
            <w:r>
              <w:rPr>
                <w:sz w:val="18"/>
              </w:rPr>
              <w:t xml:space="preserve">Relative error of the model's pad peak against the measured peak</w:t>
            </w:r>
          </w:p>
        </w:tc>
        <w:tc>
          <w:tcPr>
            <w:tcW w:w="1500" w:type="dxa"/>
          </w:tcPr>
          <w:p>
            <w:pPr>
              <w:pStyle w:val="Compact"/>
              <w:jc w:val="left"/>
            </w:pPr>
            <w:r>
              <w:rPr>
                <w:sz w:val="18"/>
              </w:rPr>
              <w:t xml:space="preserve">(28)</w:t>
            </w:r>
          </w:p>
        </w:tc>
      </w:tr>
    </w:tbl>
    <w:p>
      <w:pPr>
        <w:pStyle w:val="Compact"/>
      </w:pPr>
    </w:p>
    <w:p>
      <w:pPr>
        <w:pStyle w:val="Heading1"/>
      </w:pPr>
      <w:r>
        <w:t xml:space="preserve">II. The Stage Law</w:t>
      </w:r>
    </w:p>
    <w:p>
      <w:pPr>
        <w:pStyle w:val="FirstParagraph"/>
      </w:pPr>
      <w:r>
        <w:t xml:space="preserve">A predriver stage is a CMOS inverter driving the gate of the next. This section derives, from the α-power law MOSFET model [1], a normalized law for its output with three parameters per stage, (19). Equations are numbered consecutively. A reader willing to take (19) on trust may go to Section III.</w:t>
      </w:r>
    </w:p>
    <w:p>
      <w:pPr>
        <w:pStyle w:val="Heading2"/>
      </w:pPr>
      <w:r>
        <w:t xml:space="preserve">A. Node dynamics</w:t>
      </w:r>
    </w:p>
    <w:p>
      <w:pPr>
        <w:pStyle w:val="FirstParagraph"/>
      </w:pPr>
      <w:r>
        <w:t xml:space="preserve">A predriver stage is a CMOS inverter whose output node, at voltage</w:t>
      </w:r>
      <w:r>
        <w:t xml:space="preserve"> </w:t>
      </w:r>
      <m:oMath>
        <m:sSub>
          <m:e>
            <m:r>
              <m:t>V</m:t>
            </m:r>
          </m:e>
          <m:sub>
            <m:r>
              <m:t>o</m:t>
            </m:r>
          </m:sub>
        </m:sSub>
      </m:oMath>
      <w:r>
        <w:t xml:space="preserve">, drives a lumped capacitance</w:t>
      </w:r>
      <w:r>
        <w:t xml:space="preserve"> </w:t>
      </w:r>
      <m:oMath>
        <m:r>
          <m:t>C</m:t>
        </m:r>
      </m:oMath>
      <w:r>
        <w:t xml:space="preserve">. Kirchhoff’s current law at that node gives</w:t>
      </w:r>
    </w:p>
    <w:p>
      <w:pPr>
        <w:pStyle w:val="BodyText"/>
      </w:pPr>
      <m:oMathPara>
        <m:oMathParaPr>
          <m:jc m:val="center"/>
        </m:oMathParaPr>
        <m:oMath>
          <m:r>
            <m:t>C</m:t>
          </m:r>
          <m:r>
            <m:t> </m:t>
          </m:r>
          <m:f>
            <m:fPr>
              <m:type m:val="bar"/>
            </m:fPr>
            <m:num>
              <m:r>
                <m:t>d</m:t>
              </m:r>
              <m:sSub>
                <m:e>
                  <m:r>
                    <m:t>V</m:t>
                  </m:r>
                </m:e>
                <m:sub>
                  <m:r>
                    <m:t>o</m:t>
                  </m:r>
                </m:sub>
              </m:sSub>
            </m:num>
            <m:den>
              <m:r>
                <m:t>d</m:t>
              </m:r>
              <m:r>
                <m:t>t</m:t>
              </m:r>
            </m:den>
          </m:f>
          <m:r>
            <m:rPr>
              <m:sty m:val="p"/>
            </m:rPr>
            <m:t>=</m:t>
          </m:r>
          <m:sSub>
            <m:e>
              <m:r>
                <m:t>I</m:t>
              </m:r>
            </m:e>
            <m:sub>
              <m:r>
                <m:t>P</m:t>
              </m:r>
            </m:sub>
          </m:sSub>
          <m:r>
            <m:rPr>
              <m:sty m:val="p"/>
            </m:rPr>
            <m:t>−</m:t>
          </m:r>
          <m:sSub>
            <m:e>
              <m:r>
                <m:t>I</m:t>
              </m:r>
            </m:e>
            <m:sub>
              <m:r>
                <m:t>N</m:t>
              </m:r>
            </m:sub>
          </m:sSub>
          <m:r>
            <m:t>  </m:t>
          </m:r>
          <m:r>
            <m:t>  </m:t>
          </m:r>
          <m:d>
            <m:dPr>
              <m:begChr m:val="("/>
              <m:endChr m:val=")"/>
              <m:sepChr m:val=""/>
              <m:grow/>
            </m:dPr>
            <m:e>
              <m:r>
                <m:t>1</m:t>
              </m:r>
            </m:e>
          </m:d>
        </m:oMath>
      </m:oMathPara>
    </w:p>
    <w:p>
      <w:pPr>
        <w:pStyle w:val="FirstParagraph"/>
      </w:pPr>
      <w:r>
        <w:t xml:space="preserve">where</w:t>
      </w:r>
      <w:r>
        <w:t xml:space="preserve"> </w:t>
      </w:r>
      <m:oMath>
        <m:sSub>
          <m:e>
            <m:r>
              <m:t>I</m:t>
            </m:r>
          </m:e>
          <m:sub>
            <m:r>
              <m:t>P</m:t>
            </m:r>
          </m:sub>
        </m:sSub>
      </m:oMath>
      <w:r>
        <w:t xml:space="preserve"> </w:t>
      </w:r>
      <w:r>
        <w:t xml:space="preserve">is the pull-up (PMOS) current into the node and</w:t>
      </w:r>
      <w:r>
        <w:t xml:space="preserve"> </w:t>
      </w:r>
      <m:oMath>
        <m:sSub>
          <m:e>
            <m:r>
              <m:t>I</m:t>
            </m:r>
          </m:e>
          <m:sub>
            <m:r>
              <m:t>N</m:t>
            </m:r>
          </m:sub>
        </m:sSub>
      </m:oMath>
      <w:r>
        <w:t xml:space="preserve"> </w:t>
      </w:r>
      <w:r>
        <w:t xml:space="preserve">is the pull-down (NMOS) current out of it. Equation (1) is the only physical law used; all remaining steps model</w:t>
      </w:r>
      <w:r>
        <w:t xml:space="preserve"> </w:t>
      </w:r>
      <m:oMath>
        <m:sSub>
          <m:e>
            <m:r>
              <m:t>I</m:t>
            </m:r>
          </m:e>
          <m:sub>
            <m:r>
              <m:t>P</m:t>
            </m:r>
          </m:sub>
        </m:sSub>
      </m:oMath>
      <w:r>
        <w:t xml:space="preserve"> </w:t>
      </w:r>
      <w:r>
        <w:t xml:space="preserve">and</w:t>
      </w:r>
      <w:r>
        <w:t xml:space="preserve"> </w:t>
      </w:r>
      <m:oMath>
        <m:sSub>
          <m:e>
            <m:r>
              <m:t>I</m:t>
            </m:r>
          </m:e>
          <m:sub>
            <m:r>
              <m:t>N</m:t>
            </m:r>
          </m:sub>
        </m:sSub>
      </m:oMath>
      <w:r>
        <w:t xml:space="preserve"> </w:t>
      </w:r>
      <w:r>
        <w:t xml:space="preserve">and change variables.</w:t>
      </w:r>
    </w:p>
    <w:p>
      <w:pPr>
        <w:pStyle w:val="Heading2"/>
      </w:pPr>
      <w:r>
        <w:t xml:space="preserve">B. Device model</w:t>
      </w:r>
    </w:p>
    <w:p>
      <w:pPr>
        <w:pStyle w:val="FirstParagraph"/>
      </w:pPr>
      <w:r>
        <w:t xml:space="preserve">Each transistor is described by the α-power law [1]. For a device with gate–source voltage</w:t>
      </w:r>
      <w:r>
        <w:t xml:space="preserve"> </w:t>
      </w:r>
      <m:oMath>
        <m:sSub>
          <m:e>
            <m:r>
              <m:t>V</m:t>
            </m:r>
          </m:e>
          <m:sub>
            <m:r>
              <m:t>G</m:t>
            </m:r>
            <m:r>
              <m:t>S</m:t>
            </m:r>
          </m:sub>
        </m:sSub>
      </m:oMath>
      <w:r>
        <w:t xml:space="preserve"> </w:t>
      </w:r>
      <w:r>
        <w:t xml:space="preserve">and drain–source voltage</w:t>
      </w:r>
      <w:r>
        <w:t xml:space="preserve"> </w:t>
      </w:r>
      <m:oMath>
        <m:sSub>
          <m:e>
            <m:r>
              <m:t>V</m:t>
            </m:r>
          </m:e>
          <m:sub>
            <m:r>
              <m:t>D</m:t>
            </m:r>
            <m:r>
              <m:t>S</m:t>
            </m:r>
          </m:sub>
        </m:sSub>
      </m:oMath>
      <w:r>
        <w:t xml:space="preserve"> </w:t>
      </w:r>
      <w:r>
        <w:t xml:space="preserve">(magnitudes),</w:t>
      </w:r>
    </w:p>
    <w:p>
      <w:pPr>
        <w:pStyle w:val="BodyText"/>
      </w:pPr>
      <m:oMathPara>
        <m:oMathParaPr>
          <m:jc m:val="center"/>
        </m:oMathParaPr>
        <m:oMath>
          <m:sSub>
            <m:e>
              <m:r>
                <m:t>I</m:t>
              </m:r>
            </m:e>
            <m:sub>
              <m:r>
                <m:t>D</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D</m:t>
                    </m:r>
                    <m:r>
                      <m:rPr>
                        <m:sty m:val="p"/>
                      </m:rPr>
                      <m:t>=</m:t>
                    </m:r>
                    <m:r>
                      <m:t>0</m:t>
                    </m:r>
                    <m:r>
                      <m:t> </m:t>
                    </m:r>
                    <m:d>
                      <m:dPr>
                        <m:begChr m:val="("/>
                        <m:endChr m:val=")"/>
                        <m:sepChr m:val=""/>
                        <m:grow/>
                      </m:dPr>
                      <m:e>
                        <m:r>
                          <m:rPr>
                            <m:nor/>
                            <m:sty m:val="p"/>
                          </m:rPr>
                          <m:t>cutoff</m:t>
                        </m:r>
                      </m:e>
                    </m:d>
                  </m:e>
                </m:mr>
                <m:mr>
                  <m:e>
                    <m:f>
                      <m:fPr>
                        <m:type m:val="bar"/>
                      </m:fPr>
                      <m:num>
                        <m:r>
                          <m:t>I</m:t>
                        </m:r>
                        <m:sSub>
                          <m:e>
                            <m:r>
                              <m:rPr>
                                <m:sty m:val="p"/>
                              </m:rPr>
                              <m:t>′</m:t>
                            </m:r>
                          </m:e>
                          <m:sub>
                            <m:r>
                              <m:t>D</m:t>
                            </m:r>
                            <m:r>
                              <m:t>0</m:t>
                            </m:r>
                          </m:sub>
                        </m:sSub>
                      </m:num>
                      <m:den>
                        <m:r>
                          <m:t>V</m:t>
                        </m:r>
                        <m:sSub>
                          <m:e>
                            <m:r>
                              <m:rPr>
                                <m:sty m:val="p"/>
                              </m:rPr>
                              <m:t>′</m:t>
                            </m:r>
                          </m:e>
                          <m:sub>
                            <m:r>
                              <m:t>D</m:t>
                            </m:r>
                            <m:r>
                              <m:t>0</m:t>
                            </m:r>
                          </m:sub>
                        </m:sSub>
                      </m:den>
                    </m:f>
                    <m:r>
                      <m:t> </m:t>
                    </m:r>
                    <m:sSub>
                      <m:e>
                        <m:r>
                          <m:t>V</m:t>
                        </m:r>
                      </m:e>
                      <m:sub>
                        <m:r>
                          <m:t>D</m:t>
                        </m:r>
                        <m:r>
                          <m:t>S</m:t>
                        </m:r>
                      </m:sub>
                    </m:sSub>
                    <m:r>
                      <m:rPr>
                        <m:sty m:val="p"/>
                      </m:rPr>
                      <m:t>,</m:t>
                    </m:r>
                  </m:e>
                  <m:e>
                    <m:sSub>
                      <m:e>
                        <m:r>
                          <m:t>V</m:t>
                        </m:r>
                      </m:e>
                      <m:sub>
                        <m:r>
                          <m:t>D</m:t>
                        </m:r>
                        <m:r>
                          <m:t>S</m:t>
                        </m:r>
                      </m:sub>
                    </m:sSub>
                    <m:r>
                      <m:rPr>
                        <m:sty m:val="p"/>
                      </m:rPr>
                      <m:t>&lt;</m:t>
                    </m:r>
                    <m:r>
                      <m:t>V</m:t>
                    </m:r>
                    <m:sSub>
                      <m:e>
                        <m:r>
                          <m:rPr>
                            <m:sty m:val="p"/>
                          </m:rPr>
                          <m:t>′</m:t>
                        </m:r>
                      </m:e>
                      <m:sub>
                        <m:r>
                          <m:t>D</m:t>
                        </m:r>
                        <m:r>
                          <m:t>0</m:t>
                        </m:r>
                      </m:sub>
                    </m:sSub>
                    <m:r>
                      <m:t> </m:t>
                    </m:r>
                    <m:d>
                      <m:dPr>
                        <m:begChr m:val="("/>
                        <m:endChr m:val=")"/>
                        <m:sepChr m:val=""/>
                        <m:grow/>
                      </m:dPr>
                      <m:e>
                        <m:r>
                          <m:rPr>
                            <m:nor/>
                            <m:sty m:val="p"/>
                          </m:rPr>
                          <m:t>triode</m:t>
                        </m:r>
                      </m:e>
                    </m:d>
                  </m:e>
                </m:mr>
                <m:mr>
                  <m:e>
                    <m:r>
                      <m:t>I</m:t>
                    </m:r>
                    <m:sSub>
                      <m:e>
                        <m:r>
                          <m:rPr>
                            <m:sty m:val="p"/>
                          </m:rPr>
                          <m:t>′</m:t>
                        </m:r>
                      </m:e>
                      <m:sub>
                        <m:r>
                          <m:t>D</m:t>
                        </m:r>
                        <m:r>
                          <m:t>0</m:t>
                        </m:r>
                      </m:sub>
                    </m:sSub>
                    <m:r>
                      <m:rPr>
                        <m:sty m:val="p"/>
                      </m:rPr>
                      <m:t>,</m:t>
                    </m:r>
                  </m:e>
                  <m:e>
                    <m:sSub>
                      <m:e>
                        <m:r>
                          <m:t>V</m:t>
                        </m:r>
                      </m:e>
                      <m:sub>
                        <m:r>
                          <m:t>D</m:t>
                        </m:r>
                        <m:r>
                          <m:t>S</m:t>
                        </m:r>
                      </m:sub>
                    </m:sSub>
                    <m:r>
                      <m:rPr>
                        <m:sty m:val="p"/>
                      </m:rPr>
                      <m:t>≥</m:t>
                    </m:r>
                    <m:r>
                      <m:t>V</m:t>
                    </m:r>
                    <m:sSub>
                      <m:e>
                        <m:r>
                          <m:rPr>
                            <m:sty m:val="p"/>
                          </m:rPr>
                          <m:t>′</m:t>
                        </m:r>
                      </m:e>
                      <m:sub>
                        <m:r>
                          <m:t>D</m:t>
                        </m:r>
                        <m:r>
                          <m:t>0</m:t>
                        </m:r>
                      </m:sub>
                    </m:sSub>
                    <m:r>
                      <m:t> </m:t>
                    </m:r>
                    <m:d>
                      <m:dPr>
                        <m:begChr m:val="("/>
                        <m:endChr m:val=")"/>
                        <m:sepChr m:val=""/>
                        <m:grow/>
                      </m:dPr>
                      <m:e>
                        <m:r>
                          <m:rPr>
                            <m:nor/>
                            <m:sty m:val="p"/>
                          </m:rPr>
                          <m:t>saturation</m:t>
                        </m:r>
                      </m:e>
                    </m:d>
                  </m:e>
                </m:mr>
              </m:m>
            </m:e>
          </m:d>
          <m:r>
            <m:t>  </m:t>
          </m:r>
          <m:r>
            <m:t>  </m:t>
          </m:r>
          <m:d>
            <m:dPr>
              <m:begChr m:val="("/>
              <m:endChr m:val=")"/>
              <m:sepChr m:val=""/>
              <m:grow/>
            </m:dPr>
            <m:e>
              <m:r>
                <m:t>2</m:t>
              </m:r>
            </m:e>
          </m:d>
        </m:oMath>
      </m:oMathPara>
    </w:p>
    <w:p>
      <w:pPr>
        <w:pStyle w:val="FirstParagraph"/>
      </w:pPr>
      <w:r>
        <w:t xml:space="preserve">with</w:t>
      </w:r>
    </w:p>
    <w:p>
      <w:pPr>
        <w:pStyle w:val="BodyText"/>
      </w:pPr>
      <m:oMathPara>
        <m:oMathParaPr>
          <m:jc m:val="center"/>
        </m:oMathParaPr>
        <m:oMath>
          <m:r>
            <m:t>I</m:t>
          </m:r>
          <m:sSub>
            <m:e>
              <m:r>
                <m:rPr>
                  <m:sty m:val="p"/>
                </m:rPr>
                <m:t>′</m:t>
              </m:r>
            </m:e>
            <m:sub>
              <m:r>
                <m:t>D</m:t>
              </m:r>
              <m:r>
                <m:t>0</m:t>
              </m:r>
            </m:sub>
          </m:sSub>
          <m:r>
            <m:rPr>
              <m:sty m:val="p"/>
            </m:rPr>
            <m:t>=</m:t>
          </m:r>
          <m:sSub>
            <m:e>
              <m:r>
                <m:t>I</m:t>
              </m:r>
            </m:e>
            <m:sub>
              <m:r>
                <m:t>D</m:t>
              </m:r>
              <m:r>
                <m:t>0</m:t>
              </m:r>
            </m:sub>
          </m:sSub>
          <m:r>
            <m:t> </m:t>
          </m:r>
          <m:sSup>
            <m:e>
              <m:r>
                <m:t>D</m:t>
              </m:r>
            </m:e>
            <m:sup>
              <m:r>
                <m:t>α</m:t>
              </m:r>
            </m:sup>
          </m:sSup>
          <m:r>
            <m:t>  </m:t>
          </m:r>
          <m:r>
            <m:t>  </m:t>
          </m:r>
          <m:d>
            <m:dPr>
              <m:begChr m:val="("/>
              <m:endChr m:val=")"/>
              <m:sepChr m:val=""/>
              <m:grow/>
            </m:dPr>
            <m:e>
              <m:r>
                <m:t>3</m:t>
              </m:r>
            </m:e>
          </m:d>
        </m:oMath>
      </m:oMathPara>
    </w:p>
    <w:p>
      <w:pPr>
        <w:pStyle w:val="FirstParagraph"/>
      </w:pPr>
      <m:oMathPara>
        <m:oMathParaPr>
          <m:jc m:val="center"/>
        </m:oMathParaPr>
        <m:oMath>
          <m:r>
            <m:t>V</m:t>
          </m:r>
          <m:sSub>
            <m:e>
              <m:r>
                <m:rPr>
                  <m:sty m:val="p"/>
                </m:rPr>
                <m:t>′</m:t>
              </m:r>
            </m:e>
            <m:sub>
              <m:r>
                <m:t>D</m:t>
              </m:r>
              <m:r>
                <m:t>0</m:t>
              </m:r>
            </m:sub>
          </m:sSub>
          <m:r>
            <m:rPr>
              <m:sty m:val="p"/>
            </m:rPr>
            <m:t>=</m:t>
          </m:r>
          <m:sSub>
            <m:e>
              <m:r>
                <m:t>V</m:t>
              </m:r>
            </m:e>
            <m:sub>
              <m:r>
                <m:t>D</m:t>
              </m:r>
              <m:r>
                <m:t>0</m:t>
              </m:r>
            </m:sub>
          </m:sSub>
          <m:r>
            <m:t> </m:t>
          </m:r>
          <m:sSup>
            <m:e>
              <m:r>
                <m:t>D</m:t>
              </m:r>
            </m:e>
            <m:sup>
              <m:r>
                <m:t>α</m:t>
              </m:r>
              <m:r>
                <m:rPr>
                  <m:sty m:val="p"/>
                </m:rPr>
                <m:t>/</m:t>
              </m:r>
              <m:r>
                <m:t>2</m:t>
              </m:r>
            </m:sup>
          </m:sSup>
          <m:r>
            <m:t>  </m:t>
          </m:r>
          <m:r>
            <m:t>  </m:t>
          </m:r>
          <m:d>
            <m:dPr>
              <m:begChr m:val="("/>
              <m:endChr m:val=")"/>
              <m:sepChr m:val=""/>
              <m:grow/>
            </m:dPr>
            <m:e>
              <m:r>
                <m:t>4</m:t>
              </m:r>
            </m:e>
          </m:d>
        </m:oMath>
      </m:oMathPara>
    </w:p>
    <w:p>
      <w:pPr>
        <w:pStyle w:val="FirstParagraph"/>
      </w:pPr>
      <m:oMathPara>
        <m:oMathParaPr>
          <m:jc m:val="center"/>
        </m:oMathParaPr>
        <m:oMath>
          <m:r>
            <m:t>D</m:t>
          </m:r>
          <m:r>
            <m:rPr>
              <m:sty m:val="p"/>
            </m:rPr>
            <m:t>=</m:t>
          </m:r>
          <m:r>
            <m:rPr>
              <m:sty m:val="p"/>
            </m:rPr>
            <m:t>clip</m:t>
          </m:r>
          <m:d>
            <m:dPr>
              <m:begChr m:val="("/>
              <m:endChr m:val=")"/>
              <m:sepChr m:val=""/>
              <m:grow/>
            </m:dPr>
            <m:e>
              <m:f>
                <m:fPr>
                  <m:type m:val="bar"/>
                </m:fPr>
                <m:num>
                  <m:sSub>
                    <m:e>
                      <m:r>
                        <m:t>V</m:t>
                      </m:r>
                    </m:e>
                    <m:sub>
                      <m:r>
                        <m:t>G</m:t>
                      </m:r>
                      <m:r>
                        <m:t>S</m:t>
                      </m:r>
                    </m:sub>
                  </m:sSub>
                  <m:r>
                    <m:rPr>
                      <m:sty m:val="p"/>
                    </m:rPr>
                    <m:t>−</m:t>
                  </m:r>
                  <m:sSub>
                    <m:e>
                      <m:r>
                        <m:t>V</m:t>
                      </m:r>
                    </m:e>
                    <m:sub>
                      <m:r>
                        <m:t>T</m:t>
                      </m:r>
                      <m:r>
                        <m:t>H</m:t>
                      </m:r>
                    </m:sub>
                  </m:sSub>
                </m:num>
                <m:den>
                  <m:sSub>
                    <m:e>
                      <m:r>
                        <m:t>V</m:t>
                      </m:r>
                    </m:e>
                    <m:sub>
                      <m:r>
                        <m:t>D</m:t>
                      </m:r>
                      <m:r>
                        <m:t>D</m:t>
                      </m:r>
                    </m:sub>
                  </m:sSub>
                  <m:r>
                    <m:rPr>
                      <m:sty m:val="p"/>
                    </m:rPr>
                    <m:t>−</m:t>
                  </m:r>
                  <m:sSub>
                    <m:e>
                      <m:r>
                        <m:t>V</m:t>
                      </m:r>
                    </m:e>
                    <m:sub>
                      <m:r>
                        <m:t>T</m:t>
                      </m:r>
                      <m:r>
                        <m:t>H</m:t>
                      </m:r>
                    </m:sub>
                  </m:sSub>
                </m:den>
              </m:f>
              <m:r>
                <m:rPr>
                  <m:sty m:val="p"/>
                </m:rPr>
                <m:t>,</m:t>
              </m:r>
              <m:r>
                <m:t> </m:t>
              </m:r>
              <m:r>
                <m:t>0</m:t>
              </m:r>
              <m:r>
                <m:rPr>
                  <m:sty m:val="p"/>
                </m:rPr>
                <m:t>,</m:t>
              </m:r>
              <m:r>
                <m:t> </m:t>
              </m:r>
              <m:r>
                <m:t>1</m:t>
              </m:r>
            </m:e>
          </m:d>
          <m:r>
            <m:t>  </m:t>
          </m:r>
          <m:r>
            <m:t>  </m:t>
          </m:r>
          <m:d>
            <m:dPr>
              <m:begChr m:val="("/>
              <m:endChr m:val=")"/>
              <m:sepChr m:val=""/>
              <m:grow/>
            </m:dPr>
            <m:e>
              <m:r>
                <m:t>5</m:t>
              </m:r>
            </m:e>
          </m:d>
        </m:oMath>
      </m:oMathPara>
    </w:p>
    <w:p>
      <w:pPr>
        <w:pStyle w:val="FirstParagraph"/>
      </w:pPr>
      <w:r>
        <w:t xml:space="preserve">Here</w:t>
      </w:r>
      <w:r>
        <w:t xml:space="preserve"> </w:t>
      </w:r>
      <m:oMath>
        <m:sSub>
          <m:e>
            <m:r>
              <m:t>I</m:t>
            </m:r>
          </m:e>
          <m:sub>
            <m:r>
              <m:t>D</m:t>
            </m:r>
            <m:r>
              <m:t>0</m:t>
            </m:r>
          </m:sub>
        </m:sSub>
      </m:oMath>
      <w:r>
        <w:t xml:space="preserve"> </w:t>
      </w:r>
      <w:r>
        <w:t xml:space="preserve">and</w:t>
      </w:r>
      <w:r>
        <w:t xml:space="preserve"> </w:t>
      </w:r>
      <m:oMath>
        <m:sSub>
          <m:e>
            <m:r>
              <m:t>V</m:t>
            </m:r>
          </m:e>
          <m:sub>
            <m:r>
              <m:t>D</m:t>
            </m:r>
            <m:r>
              <m:t>0</m:t>
            </m:r>
          </m:sub>
        </m:sSub>
      </m:oMath>
      <w:r>
        <w:t xml:space="preserve"> </w:t>
      </w:r>
      <w:r>
        <w:t xml:space="preserve">are the saturation current and saturation voltage at</w:t>
      </w:r>
      <w:r>
        <w:t xml:space="preserve"> </w:t>
      </w:r>
      <m:oMath>
        <m:sSub>
          <m:e>
            <m:r>
              <m:t>V</m:t>
            </m:r>
          </m:e>
          <m:sub>
            <m:r>
              <m:t>G</m:t>
            </m:r>
            <m:r>
              <m:t>S</m:t>
            </m:r>
          </m:sub>
        </m:sSub>
        <m:r>
          <m:rPr>
            <m:sty m:val="p"/>
          </m:rPr>
          <m:t>=</m:t>
        </m:r>
        <m:sSub>
          <m:e>
            <m:r>
              <m:t>V</m:t>
            </m:r>
          </m:e>
          <m:sub>
            <m:r>
              <m:t>D</m:t>
            </m:r>
            <m:r>
              <m:t>D</m:t>
            </m:r>
          </m:sub>
        </m:sSub>
      </m:oMath>
      <w:r>
        <w:t xml:space="preserve">,</w:t>
      </w:r>
      <w:r>
        <w:t xml:space="preserve"> </w:t>
      </w:r>
      <m:oMath>
        <m:sSub>
          <m:e>
            <m:r>
              <m:t>V</m:t>
            </m:r>
          </m:e>
          <m:sub>
            <m:r>
              <m:t>T</m:t>
            </m:r>
            <m:r>
              <m:t>H</m:t>
            </m:r>
          </m:sub>
        </m:sSub>
      </m:oMath>
      <w:r>
        <w:t xml:space="preserve"> </w:t>
      </w:r>
      <w:r>
        <w:t xml:space="preserve">is the threshold, and</w:t>
      </w:r>
      <w:r>
        <w:t xml:space="preserve"> </w:t>
      </w:r>
      <m:oMath>
        <m:r>
          <m:t>α</m:t>
        </m:r>
        <m:r>
          <m:rPr>
            <m:sty m:val="p"/>
          </m:rPr>
          <m:t>∈</m:t>
        </m:r>
        <m:d>
          <m:dPr>
            <m:begChr m:val="["/>
            <m:endChr m:val="]"/>
            <m:sepChr m:val=""/>
            <m:grow/>
          </m:dPr>
          <m:e>
            <m:r>
              <m:t>1</m:t>
            </m:r>
            <m:r>
              <m:rPr>
                <m:sty m:val="p"/>
              </m:rPr>
              <m:t>,</m:t>
            </m:r>
            <m:r>
              <m:t>2</m:t>
            </m:r>
          </m:e>
        </m:d>
      </m:oMath>
      <w:r>
        <w:t xml:space="preserve"> </w:t>
      </w:r>
      <w:r>
        <w:t xml:space="preserve">is the velocity-saturation index (</w:t>
      </w:r>
      <m:oMath>
        <m:r>
          <m:t>α</m:t>
        </m:r>
        <m:r>
          <m:rPr>
            <m:sty m:val="p"/>
          </m:rPr>
          <m:t>=</m:t>
        </m:r>
        <m:r>
          <m:t>2</m:t>
        </m:r>
      </m:oMath>
      <w:r>
        <w:t xml:space="preserve"> </w:t>
      </w:r>
      <w:r>
        <w:t xml:space="preserve">recovers the long-channel square law;</w:t>
      </w:r>
      <w:r>
        <w:t xml:space="preserve"> </w:t>
      </w:r>
      <m:oMath>
        <m:r>
          <m:t>α</m:t>
        </m:r>
        <m:r>
          <m:rPr>
            <m:sty m:val="p"/>
          </m:rPr>
          <m:t>→</m:t>
        </m:r>
        <m:r>
          <m:t>1</m:t>
        </m:r>
      </m:oMath>
      <w:r>
        <w:t xml:space="preserve"> </w:t>
      </w:r>
      <w:r>
        <w:t xml:space="preserve">for strongly velocity-saturated devices). The clip is our notation and does not appear in [1]: its lower bound is the cutoff row of (2) written into the drive, and its upper bound is a numerical guard for the chain of Section III-B, in which a stage output may overshoot its rail by a few percent for a few time steps. In the paper's own setting the gate never exceeds the supply and the upper bound is never reached.</w:t>
      </w:r>
    </w:p>
    <w:p>
      <w:pPr>
        <w:pStyle w:val="FirstParagraph"/>
      </w:pPr>
      <w:r>
        <w:t xml:space="preserve">Equation (2) has no single-expression form in [1]; the one used here follows from factoring </w:t>
      </w:r>
      <m:oMath>
        <m:r>
          <m:t xml:space="preserve">I</m:t>
        </m:r>
        <m:sSub>
          <m:e>
            <m:r>
              <m:rPr>
                <m:sty m:val="p"/>
              </m:rPr>
              <m:t xml:space="preserve">'</m:t>
            </m:r>
          </m:e>
          <m:sub>
            <m:r>
              <m:t xml:space="preserve">D</m:t>
            </m:r>
            <m:r>
              <m:rPr>
                <m:sty m:val="p"/>
              </m:rPr>
              <m:t xml:space="preserve">0</m:t>
            </m:r>
          </m:sub>
        </m:sSub>
      </m:oMath>
      <w:r>
        <w:t xml:space="preserve"> out of the triode row, so that the two conducting rows read</w:t>
      </w:r>
    </w:p>
    <w:p>
      <w:pPr>
        <w:pStyle w:val="BodyText"/>
      </w:pPr>
      <m:oMathPara>
        <m:oMathParaPr>
          <m:jc m:val="center"/>
        </m:oMathParaPr>
        <m:oMath>
          <m:sSub>
            <m:e>
              <m:r>
                <m:t xml:space="preserve">I</m:t>
              </m:r>
            </m:e>
            <m:sub>
              <m:r>
                <m:t xml:space="preserve">D</m:t>
              </m:r>
            </m:sub>
          </m:sSub>
          <m:r>
            <m:rPr>
              <m:sty m:val="p"/>
            </m:rPr>
            <m:t xml:space="preserve">=</m:t>
          </m:r>
          <m:r>
            <m:t xml:space="preserve">I</m:t>
          </m:r>
          <m:sSub>
            <m:e>
              <m:r>
                <m:rPr>
                  <m:sty m:val="p"/>
                </m:rPr>
                <m:t xml:space="preserve">'</m:t>
              </m:r>
            </m:e>
            <m:sub>
              <m:r>
                <m:t xml:space="preserve">D</m:t>
              </m:r>
              <m:r>
                <m:rPr>
                  <m:sty m:val="p"/>
                </m:rPr>
                <m:t xml:space="preserve">0</m:t>
              </m:r>
            </m:sub>
          </m:sSub>
          <m:r>
            <m:t xml:space="preserve">⋅</m:t>
          </m:r>
          <m:f>
            <m:num>
              <m:sSub>
                <m:e>
                  <m:r>
                    <m:t xml:space="preserve">V</m:t>
                  </m:r>
                </m:e>
                <m:sub>
                  <m:r>
                    <m:t xml:space="preserve">D</m:t>
                  </m:r>
                  <m:r>
                    <m:t xml:space="preserve">S</m:t>
                  </m:r>
                </m:sub>
              </m:sSub>
            </m:num>
            <m:den>
              <m:r>
                <m:t xml:space="preserve">V</m:t>
              </m:r>
              <m:sSub>
                <m:e>
                  <m:r>
                    <m:rPr>
                      <m:sty m:val="p"/>
                    </m:rPr>
                    <m:t xml:space="preserve">'</m:t>
                  </m:r>
                </m:e>
                <m:sub>
                  <m:r>
                    <m:t xml:space="preserve">D</m:t>
                  </m:r>
                  <m:r>
                    <m:rPr>
                      <m:sty m:val="p"/>
                    </m:rPr>
                    <m:t xml:space="preserve">0</m:t>
                  </m:r>
                </m:sub>
              </m:sSub>
            </m:den>
          </m:f>
          <m:r>
            <m:rPr>
              <m:sty m:val="p"/>
            </m:rPr>
            <m:t xml:space="preserve"> </m:t>
          </m:r>
          <m:r>
            <m:rPr>
              <m:sty m:val="p"/>
            </m:rPr>
            <m:t xml:space="preserve"> </m:t>
          </m:r>
          <m:r>
            <m:rPr>
              <m:sty m:val="p"/>
            </m:rPr>
            <m:t xml:space="preserve">(</m:t>
          </m:r>
          <m:sSub>
            <m:e>
              <m:r>
                <m:t xml:space="preserve">V</m:t>
              </m:r>
            </m:e>
            <m:sub>
              <m:r>
                <m:t xml:space="preserve">D</m:t>
              </m:r>
              <m:r>
                <m:t xml:space="preserve">S</m:t>
              </m:r>
            </m:sub>
          </m:sSub>
          <m:r>
            <m:rPr>
              <m:sty m:val="p"/>
            </m:rPr>
            <m:t xml:space="preserve">&lt;</m:t>
          </m:r>
          <m:r>
            <m:t xml:space="preserve">V</m:t>
          </m:r>
          <m:sSub>
            <m:e>
              <m:r>
                <m:rPr>
                  <m:sty m:val="p"/>
                </m:rPr>
                <m:t xml:space="preserve">'</m:t>
              </m:r>
            </m:e>
            <m:sub>
              <m:r>
                <m:t xml:space="preserve">D</m:t>
              </m:r>
              <m:r>
                <m:rPr>
                  <m:sty m:val="p"/>
                </m:rPr>
                <m:t xml:space="preserve">0</m:t>
              </m:r>
            </m:sub>
          </m:sSub>
          <m:r>
            <m:rPr>
              <m:sty m:val="p"/>
            </m:rPr>
            <m:t xml:space="preserve">)</m:t>
          </m:r>
          <m:r>
            <m:rPr>
              <m:sty m:val="p"/>
            </m:rPr>
            <m:t xml:space="preserve">,</m:t>
          </m:r>
          <m:r>
            <m:rPr>
              <m:sty m:val="p"/>
            </m:rPr>
            <m:t xml:space="preserve"> </m:t>
          </m:r>
          <m:sSub>
            <m:e>
              <m:r>
                <m:t xml:space="preserve">I</m:t>
              </m:r>
            </m:e>
            <m:sub>
              <m:r>
                <m:t xml:space="preserve">D</m:t>
              </m:r>
            </m:sub>
          </m:sSub>
          <m:r>
            <m:rPr>
              <m:sty m:val="p"/>
            </m:rPr>
            <m:t xml:space="preserve">=</m:t>
          </m:r>
          <m:r>
            <m:t xml:space="preserve">I</m:t>
          </m:r>
          <m:sSub>
            <m:e>
              <m:r>
                <m:rPr>
                  <m:sty m:val="p"/>
                </m:rPr>
                <m:t xml:space="preserve">'</m:t>
              </m:r>
            </m:e>
            <m:sub>
              <m:r>
                <m:t xml:space="preserve">D</m:t>
              </m:r>
              <m:r>
                <m:rPr>
                  <m:sty m:val="p"/>
                </m:rPr>
                <m:t xml:space="preserve">0</m:t>
              </m:r>
            </m:sub>
          </m:sSub>
          <m:r>
            <m:t xml:space="preserve">⋅</m:t>
          </m:r>
          <m:r>
            <m:rPr>
              <m:sty m:val="p"/>
            </m:rPr>
            <m:t xml:space="preserve">1</m:t>
          </m:r>
          <m:r>
            <m:rPr>
              <m:sty m:val="p"/>
            </m:rPr>
            <m:t xml:space="preserve"> </m:t>
          </m:r>
          <m:r>
            <m:rPr>
              <m:sty m:val="p"/>
            </m:rPr>
            <m:t xml:space="preserve"> </m:t>
          </m:r>
          <m:r>
            <m:rPr>
              <m:sty m:val="p"/>
            </m:rPr>
            <m:t xml:space="preserve">(</m:t>
          </m:r>
          <m:sSub>
            <m:e>
              <m:r>
                <m:t xml:space="preserve">V</m:t>
              </m:r>
            </m:e>
            <m:sub>
              <m:r>
                <m:t xml:space="preserve">D</m:t>
              </m:r>
              <m:r>
                <m:t xml:space="preserve">S</m:t>
              </m:r>
            </m:sub>
          </m:sSub>
          <m:r>
            <m:t xml:space="preserve">≥</m:t>
          </m:r>
          <m:r>
            <m:t xml:space="preserve">V</m:t>
          </m:r>
          <m:sSub>
            <m:e>
              <m:r>
                <m:rPr>
                  <m:sty m:val="p"/>
                </m:rPr>
                <m:t xml:space="preserve">'</m:t>
              </m:r>
            </m:e>
            <m:sub>
              <m:r>
                <m:t xml:space="preserve">D</m:t>
              </m:r>
              <m:r>
                <m:rPr>
                  <m:sty m:val="p"/>
                </m:rPr>
                <m:t xml:space="preserve">0</m:t>
              </m:r>
            </m:sub>
          </m:sSub>
          <m:r>
            <m:rPr>
              <m:sty m:val="p"/>
            </m:rPr>
            <m:t xml:space="preserve">)</m:t>
          </m:r>
        </m:oMath>
      </m:oMathPara>
    </w:p>
    <w:p>
      <w:pPr>
        <w:pStyle w:val="FirstParagraph"/>
      </w:pPr>
      <w:r>
        <w:t xml:space="preserve">In each row the multiplier of </w:t>
      </w:r>
      <m:oMath>
        <m:r>
          <m:t xml:space="preserve">I</m:t>
        </m:r>
        <m:sSub>
          <m:e>
            <m:r>
              <m:rPr>
                <m:sty m:val="p"/>
              </m:rPr>
              <m:t xml:space="preserve">'</m:t>
            </m:r>
          </m:e>
          <m:sub>
            <m:r>
              <m:t xml:space="preserve">D</m:t>
            </m:r>
            <m:r>
              <m:rPr>
                <m:sty m:val="p"/>
              </m:rPr>
              <m:t xml:space="preserve">0</m:t>
            </m:r>
          </m:sub>
        </m:sSub>
      </m:oMath>
      <w:r>
        <w:t xml:space="preserve"> is the smaller of 1 and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and the rows meet at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The conducting part of (2) is therefore</w:t>
      </w:r>
    </w:p>
    <w:p>
      <w:pPr>
        <w:pStyle w:val="BodyText"/>
      </w:pPr>
      <m:oMathPara>
        <m:oMathParaPr>
          <m:jc m:val="center"/>
        </m:oMathParaPr>
        <m:oMath>
          <m:sSub>
            <m:e>
              <m:r>
                <m:t>I</m:t>
              </m:r>
            </m:e>
            <m:sub>
              <m:r>
                <m:t>D</m:t>
              </m:r>
            </m:sub>
          </m:sSub>
          <m:r>
            <m:rPr>
              <m:sty m:val="p"/>
            </m:rPr>
            <m:t>=</m:t>
          </m:r>
          <m:r>
            <m:t>I</m:t>
          </m:r>
          <m:sSub>
            <m:e>
              <m:r>
                <m:rPr>
                  <m:sty m:val="p"/>
                </m:rPr>
                <m:t>′</m:t>
              </m:r>
            </m:e>
            <m:sub>
              <m:r>
                <m:t>D</m:t>
              </m:r>
              <m:r>
                <m:t>0</m:t>
              </m:r>
            </m:sub>
          </m:sSub>
          <m:r>
            <m:t> </m:t>
          </m:r>
          <m:r>
            <m:rPr>
              <m:sty m:val="p"/>
            </m:rPr>
            <m:t>min</m:t>
          </m:r>
          <m:d>
            <m:dPr>
              <m:begChr m:val="("/>
              <m:endChr m:val=")"/>
              <m:sepChr m:val=""/>
              <m:grow/>
            </m:dPr>
            <m:e>
              <m:r>
                <m:t>1</m:t>
              </m:r>
              <m:r>
                <m:rPr>
                  <m:sty m:val="p"/>
                </m:rPr>
                <m:t>,</m:t>
              </m:r>
              <m:r>
                <m:t> </m:t>
              </m:r>
              <m:f>
                <m:fPr>
                  <m:type m:val="bar"/>
                </m:fPr>
                <m:num>
                  <m:sSub>
                    <m:e>
                      <m:r>
                        <m:t>V</m:t>
                      </m:r>
                    </m:e>
                    <m:sub>
                      <m:r>
                        <m:t>D</m:t>
                      </m:r>
                      <m:r>
                        <m:t>S</m:t>
                      </m:r>
                    </m:sub>
                  </m:sSub>
                </m:num>
                <m:den>
                  <m:r>
                    <m:t>V</m:t>
                  </m:r>
                  <m:sSub>
                    <m:e>
                      <m:r>
                        <m:rPr>
                          <m:sty m:val="p"/>
                        </m:rPr>
                        <m:t>′</m:t>
                      </m:r>
                    </m:e>
                    <m:sub>
                      <m:r>
                        <m:t>D</m:t>
                      </m:r>
                      <m:r>
                        <m:t>0</m:t>
                      </m:r>
                    </m:sub>
                  </m:sSub>
                </m:den>
              </m:f>
            </m:e>
          </m:d>
          <m:r>
            <m:t>  </m:t>
          </m:r>
          <m:r>
            <m:t>  </m:t>
          </m:r>
          <m:d>
            <m:dPr>
              <m:begChr m:val="("/>
              <m:endChr m:val=")"/>
              <m:sepChr m:val=""/>
              <m:grow/>
            </m:dPr>
            <m:e>
              <m:r>
                <m:t>6</m:t>
              </m:r>
            </m:e>
          </m:d>
        </m:oMath>
      </m:oMathPara>
    </w:p>
    <w:p>
      <w:pPr>
        <w:pStyle w:val="FirstParagraph"/>
      </w:pPr>
      <w:r>
        <w:t xml:space="preserve">Substituting (3) and (4) into (6),</w:t>
      </w:r>
    </w:p>
    <w:p>
      <w:pPr>
        <w:pStyle w:val="BodyText"/>
      </w:pPr>
      <m:oMathPara>
        <m:oMathParaPr>
          <m:jc m:val="center"/>
        </m:oMathParaPr>
        <m:oMath>
          <m:sSub>
            <m:e>
              <m:r>
                <m:t>I</m:t>
              </m:r>
            </m:e>
            <m:sub>
              <m:r>
                <m:t>D</m:t>
              </m:r>
            </m:sub>
          </m:sSub>
          <m:r>
            <m:rPr>
              <m:sty m:val="p"/>
            </m:rPr>
            <m:t>=</m:t>
          </m:r>
          <m:sSub>
            <m:e>
              <m:r>
                <m:t>I</m:t>
              </m:r>
            </m:e>
            <m:sub>
              <m:r>
                <m:t>D</m:t>
              </m:r>
              <m:r>
                <m:t>0</m:t>
              </m:r>
            </m:sub>
          </m:sSub>
          <m:r>
            <m:t> </m:t>
          </m:r>
          <m:sSup>
            <m:e>
              <m:r>
                <m:t>D</m:t>
              </m:r>
            </m:e>
            <m:sup>
              <m:r>
                <m:t>α</m:t>
              </m:r>
            </m:sup>
          </m:sSup>
          <m:r>
            <m:t> </m:t>
          </m:r>
          <m:r>
            <m:rPr>
              <m:sty m:val="p"/>
            </m:rPr>
            <m:t>min</m:t>
          </m:r>
          <m:d>
            <m:dPr>
              <m:begChr m:val="("/>
              <m:endChr m:val=")"/>
              <m:sepChr m:val=""/>
              <m:grow/>
            </m:dPr>
            <m:e>
              <m:r>
                <m:t>1</m:t>
              </m:r>
              <m:r>
                <m:rPr>
                  <m:sty m:val="p"/>
                </m:rPr>
                <m:t>,</m:t>
              </m:r>
              <m:r>
                <m:t> </m:t>
              </m:r>
              <m:f>
                <m:fPr>
                  <m:type m:val="bar"/>
                </m:fPr>
                <m:num>
                  <m:sSub>
                    <m:e>
                      <m:r>
                        <m:t>V</m:t>
                      </m:r>
                    </m:e>
                    <m:sub>
                      <m:r>
                        <m:t>D</m:t>
                      </m:r>
                      <m:r>
                        <m:t>S</m:t>
                      </m:r>
                    </m:sub>
                  </m:sSub>
                </m:num>
                <m:den>
                  <m:sSub>
                    <m:e>
                      <m:r>
                        <m:t>V</m:t>
                      </m:r>
                    </m:e>
                    <m:sub>
                      <m:r>
                        <m:t>D</m:t>
                      </m:r>
                      <m:r>
                        <m:t>0</m:t>
                      </m:r>
                    </m:sub>
                  </m:sSub>
                  <m:r>
                    <m:t> </m:t>
                  </m:r>
                  <m:sSup>
                    <m:e>
                      <m:r>
                        <m:t>D</m:t>
                      </m:r>
                    </m:e>
                    <m:sup>
                      <m:r>
                        <m:t>α</m:t>
                      </m:r>
                      <m:r>
                        <m:rPr>
                          <m:sty m:val="p"/>
                        </m:rPr>
                        <m:t>/</m:t>
                      </m:r>
                      <m:r>
                        <m:t>2</m:t>
                      </m:r>
                    </m:sup>
                  </m:sSup>
                </m:den>
              </m:f>
            </m:e>
          </m:d>
          <m:r>
            <m:t>  </m:t>
          </m:r>
          <m:r>
            <m:t>  </m:t>
          </m:r>
          <m:d>
            <m:dPr>
              <m:begChr m:val="("/>
              <m:endChr m:val=")"/>
              <m:sepChr m:val=""/>
              <m:grow/>
            </m:dPr>
            <m:e>
              <m:r>
                <m:t>7</m:t>
              </m:r>
            </m:e>
          </m:d>
        </m:oMath>
      </m:oMathPara>
    </w:p>
    <w:p>
      <w:pPr>
        <w:pStyle w:val="FirstParagraph"/>
      </w:pPr>
      <w:r>
        <w:t xml:space="preserve">Equation (7) is the device model in the form used below: a full-drive current, a gate factor</w:t>
      </w:r>
      <w:r>
        <w:t xml:space="preserve"> </w:t>
      </w:r>
      <m:oMath>
        <m:sSup>
          <m:e>
            <m:r>
              <m:t>D</m:t>
            </m:r>
          </m:e>
          <m:sup>
            <m:r>
              <m:t>α</m:t>
            </m:r>
          </m:sup>
        </m:sSup>
      </m:oMath>
      <w:r>
        <w:t xml:space="preserve">, and a drain factor that saturates at unity.</w:t>
      </w:r>
    </w:p>
    <w:p>
      <w:pPr>
        <w:pStyle w:val="BodyText"/>
      </w:pPr>
      <w:r>
        <w:t xml:space="preserve">The device model (2)–(5) was checked against the transistors of the predrivers of two test buffers, simulated in HSPICE from their model cards at their drawn dimensions. </w:t>
      </w:r>
      <m:oMath>
        <m:sSub>
          <m:e>
            <m:r>
              <m:t xml:space="preserve">V</m:t>
            </m:r>
          </m:e>
          <m:sub>
            <m:r>
              <m:t xml:space="preserve">T</m:t>
            </m:r>
            <m:r>
              <m:t xml:space="preserve">H</m:t>
            </m:r>
          </m:sub>
        </m:sSub>
      </m:oMath>
      <w:r>
        <w:t xml:space="preserve"> and </w:t>
      </w:r>
      <m:oMath>
        <m:r>
          <m:t xml:space="preserve">α</m:t>
        </m:r>
      </m:oMath>
      <w:r>
        <w:t xml:space="preserve"> are extracted as in [1, App. A]; </w:t>
      </w:r>
      <m:oMath>
        <m:sSub>
          <m:e>
            <m:r>
              <m:t xml:space="preserve">V</m:t>
            </m:r>
          </m:e>
          <m:sub>
            <m:r>
              <m:t xml:space="preserve">D</m:t>
            </m:r>
            <m:r>
              <m:rPr>
                <m:sty m:val="p"/>
              </m:rPr>
              <m:t xml:space="preserve">0</m:t>
            </m:r>
          </m:sub>
        </m:sSub>
      </m:oMath>
      <w:r>
        <w:t xml:space="preserve">, for which [1] gives no procedure, is the breakpoint that best fits the piecewise form (6) to the output curve at full gate drive. Table II lists the result: </w:t>
      </w:r>
      <m:oMath>
        <m:r>
          <m:t xml:space="preserve">α</m:t>
        </m:r>
      </m:oMath>
      <w:r>
        <w:t xml:space="preserve"> is 1.10–1.63, between the short-channel limit of 1 and the long-channel value of 2 [2], and the saturation voltage is 0.34–0.57 of the supply, comparable to the 0.5–0.55 used in [1].</w:t>
      </w:r>
    </w:p>
    <w:p>
      <w:pPr>
        <w:pStyle w:val="TableCaption"/>
        <w:keepNext/>
      </w:pPr>
      <w:r>
        <w:t xml:space="preserve">Table II: Device parameters of (2)–(5) extracted in HSPICE from the predriver transistors</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2500"/>
        <w:gridCol w:w="2000"/>
        <w:gridCol w:w="1300"/>
        <w:gridCol w:w="900"/>
        <w:gridCol w:w="1800"/>
        <w:gridCol w:w="1100"/>
      </w:tblGrid>
      <w:tr>
        <w:trPr>
          <w:cantSplit/>
          <w:tblHeader/>
        </w:trPr>
        <w:tc>
          <w:tcPr>
            <w:tcW w:w="2500" w:type="dxa"/>
          </w:tcPr>
          <w:p>
            <w:pPr>
              <w:pStyle w:val="Compact"/>
              <w:keepNext/>
              <w:jc w:val="left"/>
            </w:pPr>
            <w:r>
              <w:rPr>
                <w:b/>
                <w:sz w:val="18"/>
              </w:rPr>
              <w:t xml:space="preserve">Device</w:t>
            </w:r>
          </w:p>
        </w:tc>
        <w:tc>
          <w:tcPr>
            <w:tcW w:w="2000" w:type="dxa"/>
          </w:tcPr>
          <w:p>
            <w:pPr>
              <w:pStyle w:val="Compact"/>
              <w:keepNext/>
              <w:jc w:val="left"/>
            </w:pPr>
            <w:r>
              <w:rPr>
                <w:b/>
                <w:sz w:val="18"/>
              </w:rPr>
              <w:t xml:space="preserve">Model card</w:t>
            </w:r>
          </w:p>
        </w:tc>
        <w:tc>
          <w:tcPr>
            <w:tcW w:w="1300" w:type="dxa"/>
          </w:tcPr>
          <w:p>
            <w:pPr>
              <w:pStyle w:val="Compact"/>
              <w:keepNext/>
              <w:jc w:val="left"/>
            </w:pPr>
            <w:r>
              <w:rPr>
                <w:b/>
                <w:sz w:val="18"/>
              </w:rPr>
              <w:t xml:space="preserve">Drawn length</w:t>
            </w:r>
          </w:p>
        </w:tc>
        <w:tc>
          <w:tcPr>
            <w:tcW w:w="900" w:type="dxa"/>
          </w:tcPr>
          <w:p>
            <w:pPr>
              <w:pStyle w:val="Compact"/>
              <w:keepNext/>
              <w:jc w:val="left"/>
            </w:pPr>
            <m:oMath>
              <m:sSub>
                <m:e>
                  <m:r>
                    <m:t xml:space="preserve">V</m:t>
                  </m:r>
                </m:e>
                <m:sub>
                  <m:r>
                    <m:t xml:space="preserve">D</m:t>
                  </m:r>
                  <m:r>
                    <m:t xml:space="preserve">D</m:t>
                  </m:r>
                </m:sub>
              </m:sSub>
            </m:oMath>
            <w:r>
              <w:rPr>
                <w:sz w:val="18"/>
              </w:rPr>
              <w:t xml:space="preserve">​</w:t>
            </w:r>
          </w:p>
        </w:tc>
        <w:tc>
          <w:tcPr>
            <w:tcW w:w="1800" w:type="dxa"/>
          </w:tcPr>
          <w:p>
            <w:pPr>
              <w:pStyle w:val="Compact"/>
              <w:keepNext/>
              <w:jc w:val="left"/>
            </w:pPr>
            <m:oMath>
              <m:sSub>
                <m:e>
                  <m:r>
                    <m:t xml:space="preserve">x</m:t>
                  </m:r>
                </m:e>
                <m:sub>
                  <m:r>
                    <m:rPr>
                      <m:sty m:val="p"/>
                    </m:rPr>
                    <m:t xml:space="preserve">0</m:t>
                  </m:r>
                </m:sub>
              </m:sSub>
              <m:r>
                <m:rPr>
                  <m:sty m:val="p"/>
                </m:rPr>
                <m:t xml:space="preserve">=</m:t>
              </m:r>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8"/>
              </w:rPr>
              <w:t xml:space="preserve">​</w:t>
            </w:r>
          </w:p>
        </w:tc>
        <w:tc>
          <w:tcPr>
            <w:tcW w:w="1100" w:type="dxa"/>
          </w:tcPr>
          <w:p>
            <w:pPr>
              <w:pStyle w:val="Compact"/>
              <w:keepNext/>
              <w:jc w:val="left"/>
            </w:pPr>
            <m:oMath>
              <m:r>
                <m:t xml:space="preserve">α</m:t>
              </m:r>
            </m:oMath>
            <w:r>
              <w:rPr>
                <w:sz w:val="18"/>
              </w:rPr>
              <w:t xml:space="preserve">​</w:t>
            </w:r>
          </w:p>
        </w:tc>
      </w:tr>
      <w:tr>
        <w:trPr>
          <w:cantSplit/>
        </w:trPr>
        <w:tc>
          <w:tcPr>
            <w:tcW w:w="2500" w:type="dxa"/>
          </w:tcPr>
          <w:p>
            <w:pPr>
              <w:pStyle w:val="Compact"/>
              <w:jc w:val="left"/>
            </w:pPr>
            <w:r>
              <w:rPr>
                <w:sz w:val="18"/>
              </w:rPr>
              <w:t xml:space="preserve">ex2 predriver NMOS</w:t>
            </w:r>
          </w:p>
        </w:tc>
        <w:tc>
          <w:tcPr>
            <w:tcW w:w="2000" w:type="dxa"/>
          </w:tcPr>
          <w:p>
            <w:pPr>
              <w:pStyle w:val="Compact"/>
              <w:jc w:val="left"/>
            </w:pPr>
            <w:r>
              <w:rPr>
                <w:sz w:val="18"/>
              </w:rPr>
              <w:t xml:space="preserve">hspice.mod (BSIM3v3)</w:t>
            </w:r>
          </w:p>
        </w:tc>
        <w:tc>
          <w:tcPr>
            <w:tcW w:w="1300" w:type="dxa"/>
          </w:tcPr>
          <w:p>
            <w:pPr>
              <w:pStyle w:val="Compact"/>
              <w:jc w:val="left"/>
            </w:pPr>
            <w:r>
              <w:rPr>
                <w:sz w:val="18"/>
              </w:rPr>
              <w:t xml:space="preserve">600 nm</w:t>
            </w:r>
          </w:p>
        </w:tc>
        <w:tc>
          <w:tcPr>
            <w:tcW w:w="900" w:type="dxa"/>
          </w:tcPr>
          <w:p>
            <w:pPr>
              <w:pStyle w:val="Compact"/>
              <w:jc w:val="left"/>
            </w:pPr>
            <w:r>
              <w:rPr>
                <w:sz w:val="18"/>
              </w:rPr>
              <w:t xml:space="preserve">3.3 V</w:t>
            </w:r>
          </w:p>
        </w:tc>
        <w:tc>
          <w:tcPr>
            <w:tcW w:w="1800" w:type="dxa"/>
          </w:tcPr>
          <w:p>
            <w:pPr>
              <w:pStyle w:val="Compact"/>
              <w:jc w:val="left"/>
            </w:pPr>
            <w:r>
              <w:rPr>
                <w:sz w:val="18"/>
              </w:rPr>
              <w:t xml:space="preserve">0.472</w:t>
            </w:r>
          </w:p>
        </w:tc>
        <w:tc>
          <w:tcPr>
            <w:tcW w:w="1100" w:type="dxa"/>
          </w:tcPr>
          <w:p>
            <w:pPr>
              <w:pStyle w:val="Compact"/>
              <w:jc w:val="left"/>
            </w:pPr>
            <w:r>
              <w:rPr>
                <w:sz w:val="18"/>
              </w:rPr>
              <w:t xml:space="preserve">1.10</w:t>
            </w:r>
          </w:p>
        </w:tc>
      </w:tr>
      <w:tr>
        <w:trPr>
          <w:cantSplit/>
        </w:trPr>
        <w:tc>
          <w:tcPr>
            <w:tcW w:w="2500" w:type="dxa"/>
          </w:tcPr>
          <w:p>
            <w:pPr>
              <w:pStyle w:val="Compact"/>
              <w:jc w:val="left"/>
            </w:pPr>
            <w:r>
              <w:rPr>
                <w:sz w:val="18"/>
              </w:rPr>
              <w:t xml:space="preserve">ex2 predriver PMOS</w:t>
            </w:r>
          </w:p>
        </w:tc>
        <w:tc>
          <w:tcPr>
            <w:tcW w:w="2000" w:type="dxa"/>
          </w:tcPr>
          <w:p>
            <w:pPr>
              <w:pStyle w:val="Compact"/>
              <w:jc w:val="left"/>
            </w:pPr>
            <w:r>
              <w:rPr>
                <w:sz w:val="18"/>
              </w:rPr>
              <w:t xml:space="preserve">hspice.mod (BSIM3v3)</w:t>
            </w:r>
          </w:p>
        </w:tc>
        <w:tc>
          <w:tcPr>
            <w:tcW w:w="1300" w:type="dxa"/>
          </w:tcPr>
          <w:p>
            <w:pPr>
              <w:pStyle w:val="Compact"/>
              <w:jc w:val="left"/>
            </w:pPr>
            <w:r>
              <w:rPr>
                <w:sz w:val="18"/>
              </w:rPr>
              <w:t xml:space="preserve">600 nm</w:t>
            </w:r>
          </w:p>
        </w:tc>
        <w:tc>
          <w:tcPr>
            <w:tcW w:w="900" w:type="dxa"/>
          </w:tcPr>
          <w:p>
            <w:pPr>
              <w:pStyle w:val="Compact"/>
              <w:jc w:val="left"/>
            </w:pPr>
            <w:r>
              <w:rPr>
                <w:sz w:val="18"/>
              </w:rPr>
              <w:t xml:space="preserve">3.3 V</w:t>
            </w:r>
          </w:p>
        </w:tc>
        <w:tc>
          <w:tcPr>
            <w:tcW w:w="1800" w:type="dxa"/>
          </w:tcPr>
          <w:p>
            <w:pPr>
              <w:pStyle w:val="Compact"/>
              <w:jc w:val="left"/>
            </w:pPr>
            <w:r>
              <w:rPr>
                <w:sz w:val="18"/>
              </w:rPr>
              <w:t xml:space="preserve">0.559</w:t>
            </w:r>
          </w:p>
        </w:tc>
        <w:tc>
          <w:tcPr>
            <w:tcW w:w="1100" w:type="dxa"/>
          </w:tcPr>
          <w:p>
            <w:pPr>
              <w:pStyle w:val="Compact"/>
              <w:jc w:val="left"/>
            </w:pPr>
            <w:r>
              <w:rPr>
                <w:sz w:val="18"/>
              </w:rPr>
              <w:t xml:space="preserve">1.63</w:t>
            </w:r>
          </w:p>
        </w:tc>
      </w:tr>
      <w:tr>
        <w:trPr>
          <w:cantSplit/>
        </w:trPr>
        <w:tc>
          <w:tcPr>
            <w:tcW w:w="2500" w:type="dxa"/>
          </w:tcPr>
          <w:p>
            <w:pPr>
              <w:pStyle w:val="Compact"/>
              <w:jc w:val="left"/>
            </w:pPr>
            <w:r>
              <w:rPr>
                <w:sz w:val="18"/>
              </w:rPr>
              <w:t xml:space="preserve">inv_chain NMOS</w:t>
            </w:r>
          </w:p>
        </w:tc>
        <w:tc>
          <w:tcPr>
            <w:tcW w:w="2000" w:type="dxa"/>
          </w:tcPr>
          <w:p>
            <w:pPr>
              <w:pStyle w:val="Compact"/>
              <w:jc w:val="left"/>
            </w:pPr>
            <w:r>
              <w:rPr>
                <w:sz w:val="18"/>
              </w:rPr>
              <w:t xml:space="preserve">HL18G-S3.7S</w:t>
            </w:r>
          </w:p>
        </w:tc>
        <w:tc>
          <w:tcPr>
            <w:tcW w:w="1300" w:type="dxa"/>
          </w:tcPr>
          <w:p>
            <w:pPr>
              <w:pStyle w:val="Compact"/>
              <w:jc w:val="left"/>
            </w:pPr>
            <w:r>
              <w:rPr>
                <w:sz w:val="18"/>
              </w:rPr>
              <w:t xml:space="preserve">180 nm</w:t>
            </w:r>
          </w:p>
        </w:tc>
        <w:tc>
          <w:tcPr>
            <w:tcW w:w="900" w:type="dxa"/>
          </w:tcPr>
          <w:p>
            <w:pPr>
              <w:pStyle w:val="Compact"/>
              <w:jc w:val="left"/>
            </w:pPr>
            <w:r>
              <w:rPr>
                <w:sz w:val="18"/>
              </w:rPr>
              <w:t xml:space="preserve">1.8 V</w:t>
            </w:r>
          </w:p>
        </w:tc>
        <w:tc>
          <w:tcPr>
            <w:tcW w:w="1800" w:type="dxa"/>
          </w:tcPr>
          <w:p>
            <w:pPr>
              <w:pStyle w:val="Compact"/>
              <w:jc w:val="left"/>
            </w:pPr>
            <w:r>
              <w:rPr>
                <w:sz w:val="18"/>
              </w:rPr>
              <w:t xml:space="preserve">0.343</w:t>
            </w:r>
          </w:p>
        </w:tc>
        <w:tc>
          <w:tcPr>
            <w:tcW w:w="1100" w:type="dxa"/>
          </w:tcPr>
          <w:p>
            <w:pPr>
              <w:pStyle w:val="Compact"/>
              <w:jc w:val="left"/>
            </w:pPr>
            <w:r>
              <w:rPr>
                <w:sz w:val="18"/>
              </w:rPr>
              <w:t xml:space="preserve">1.28</w:t>
            </w:r>
          </w:p>
        </w:tc>
      </w:tr>
      <w:tr>
        <w:trPr>
          <w:cantSplit/>
        </w:trPr>
        <w:tc>
          <w:tcPr>
            <w:tcW w:w="2500" w:type="dxa"/>
          </w:tcPr>
          <w:p>
            <w:pPr>
              <w:pStyle w:val="Compact"/>
              <w:jc w:val="left"/>
            </w:pPr>
            <w:r>
              <w:rPr>
                <w:sz w:val="18"/>
              </w:rPr>
              <w:t xml:space="preserve">inv_chain PMOS</w:t>
            </w:r>
          </w:p>
        </w:tc>
        <w:tc>
          <w:tcPr>
            <w:tcW w:w="2000" w:type="dxa"/>
          </w:tcPr>
          <w:p>
            <w:pPr>
              <w:pStyle w:val="Compact"/>
              <w:jc w:val="left"/>
            </w:pPr>
            <w:r>
              <w:rPr>
                <w:sz w:val="18"/>
              </w:rPr>
              <w:t xml:space="preserve">HL18G-S3.7S</w:t>
            </w:r>
          </w:p>
        </w:tc>
        <w:tc>
          <w:tcPr>
            <w:tcW w:w="1300" w:type="dxa"/>
          </w:tcPr>
          <w:p>
            <w:pPr>
              <w:pStyle w:val="Compact"/>
              <w:jc w:val="left"/>
            </w:pPr>
            <w:r>
              <w:rPr>
                <w:sz w:val="18"/>
              </w:rPr>
              <w:t xml:space="preserve">180 nm</w:t>
            </w:r>
          </w:p>
        </w:tc>
        <w:tc>
          <w:tcPr>
            <w:tcW w:w="900" w:type="dxa"/>
          </w:tcPr>
          <w:p>
            <w:pPr>
              <w:pStyle w:val="Compact"/>
              <w:jc w:val="left"/>
            </w:pPr>
            <w:r>
              <w:rPr>
                <w:sz w:val="18"/>
              </w:rPr>
              <w:t xml:space="preserve">1.8 V</w:t>
            </w:r>
          </w:p>
        </w:tc>
        <w:tc>
          <w:tcPr>
            <w:tcW w:w="1800" w:type="dxa"/>
          </w:tcPr>
          <w:p>
            <w:pPr>
              <w:pStyle w:val="Compact"/>
              <w:jc w:val="left"/>
            </w:pPr>
            <w:r>
              <w:rPr>
                <w:sz w:val="18"/>
              </w:rPr>
              <w:t xml:space="preserve">0.569</w:t>
            </w:r>
          </w:p>
        </w:tc>
        <w:tc>
          <w:tcPr>
            <w:tcW w:w="1100" w:type="dxa"/>
          </w:tcPr>
          <w:p>
            <w:pPr>
              <w:pStyle w:val="Compact"/>
              <w:jc w:val="left"/>
            </w:pPr>
            <w:r>
              <w:rPr>
                <w:sz w:val="18"/>
              </w:rPr>
              <w:t xml:space="preserve">1.41</w:t>
            </w:r>
          </w:p>
        </w:tc>
      </w:tr>
    </w:tbl>
    <w:p>
      <w:pPr>
        <w:pStyle w:val="Compact"/>
      </w:pPr>
    </w:p>
    <w:p>
      <w:pPr>
        <w:pStyle w:val="Heading2"/>
      </w:pPr>
      <w:r>
        <w:t xml:space="preserve">C. Normalization</w:t>
      </w:r>
    </w:p>
    <w:p>
      <w:pPr>
        <w:pStyle w:val="FirstParagraph"/>
      </w:pPr>
      <w:r>
        <w:t xml:space="preserve">Let the stage output move from its resting rail toward its destination rail, a distance</w:t>
      </w:r>
      <w:r>
        <w:t xml:space="preserve"> </w:t>
      </w:r>
      <m:oMath>
        <m:sSub>
          <m:e>
            <m:r>
              <m:t>V</m:t>
            </m:r>
          </m:e>
          <m:sub>
            <m:r>
              <m:t>D</m:t>
            </m:r>
            <m:r>
              <m:t>D</m:t>
            </m:r>
          </m:sub>
        </m:sSub>
      </m:oMath>
      <w:r>
        <w:t xml:space="preserve">. Define, for a rising output,</w:t>
      </w:r>
    </w:p>
    <w:p>
      <w:pPr>
        <w:pStyle w:val="BodyText"/>
      </w:pPr>
      <m:oMathPara>
        <m:oMathParaPr>
          <m:jc m:val="center"/>
        </m:oMathParaPr>
        <m:oMath>
          <m:r>
            <m:t>v</m:t>
          </m:r>
          <m:r>
            <m:rPr>
              <m:sty m:val="p"/>
            </m:rPr>
            <m:t>≜</m:t>
          </m:r>
          <m:f>
            <m:fPr>
              <m:type m:val="bar"/>
            </m:fPr>
            <m:num>
              <m:sSub>
                <m:e>
                  <m:r>
                    <m:t>V</m:t>
                  </m:r>
                </m:e>
                <m:sub>
                  <m:r>
                    <m:t>o</m:t>
                  </m:r>
                </m:sub>
              </m:sSub>
            </m:num>
            <m:den>
              <m:sSub>
                <m:e>
                  <m:r>
                    <m:t>V</m:t>
                  </m:r>
                </m:e>
                <m:sub>
                  <m:r>
                    <m:t>D</m:t>
                  </m:r>
                  <m:r>
                    <m:t>D</m:t>
                  </m:r>
                </m:sub>
              </m:sSub>
            </m:den>
          </m:f>
          <m:r>
            <m:rPr>
              <m:sty m:val="p"/>
            </m:rPr>
            <m:t>,</m:t>
          </m:r>
          <m:r>
            <m:t>  </m:t>
          </m:r>
          <m:r>
            <m:t>u</m:t>
          </m:r>
          <m:r>
            <m:rPr>
              <m:sty m:val="p"/>
            </m:rPr>
            <m:t>≜</m:t>
          </m:r>
          <m:f>
            <m:fPr>
              <m:type m:val="bar"/>
            </m:fPr>
            <m:num>
              <m:sSub>
                <m:e>
                  <m:r>
                    <m:t>V</m:t>
                  </m:r>
                </m:e>
                <m:sub>
                  <m:r>
                    <m:t>D</m:t>
                  </m:r>
                  <m:r>
                    <m:t>D</m:t>
                  </m:r>
                </m:sub>
              </m:sSub>
              <m:r>
                <m:rPr>
                  <m:sty m:val="p"/>
                </m:rPr>
                <m:t>−</m:t>
              </m:r>
              <m:sSub>
                <m:e>
                  <m:r>
                    <m:t>V</m:t>
                  </m:r>
                </m:e>
                <m:sub>
                  <m:r>
                    <m:t>i</m:t>
                  </m:r>
                  <m:r>
                    <m:t>n</m:t>
                  </m:r>
                </m:sub>
              </m:sSub>
            </m:num>
            <m:den>
              <m:sSub>
                <m:e>
                  <m:r>
                    <m:t>V</m:t>
                  </m:r>
                </m:e>
                <m:sub>
                  <m:r>
                    <m:t>D</m:t>
                  </m:r>
                  <m:r>
                    <m:t>D</m:t>
                  </m:r>
                </m:sub>
              </m:sSub>
            </m:den>
          </m:f>
          <m:r>
            <m:t>  </m:t>
          </m:r>
          <m:r>
            <m:t>  </m:t>
          </m:r>
          <m:d>
            <m:dPr>
              <m:begChr m:val="("/>
              <m:endChr m:val=")"/>
              <m:sepChr m:val=""/>
              <m:grow/>
            </m:dPr>
            <m:e>
              <m:r>
                <m:t>8</m:t>
              </m:r>
            </m:e>
          </m:d>
        </m:oMath>
      </m:oMathPara>
    </w:p>
    <w:p>
      <w:pPr>
        <w:pStyle w:val="FirstParagraph"/>
      </w:pPr>
      <w:r>
        <w:t xml:space="preserve">so that</w:t>
      </w:r>
      <w:r>
        <w:t xml:space="preserve"> </w:t>
      </w:r>
      <m:oMath>
        <m:r>
          <m:t>v</m:t>
        </m:r>
      </m:oMath>
      <w:r>
        <w:t xml:space="preserve"> </w:t>
      </w:r>
      <w:r>
        <w:t xml:space="preserve">is the output’s progress toward its destination and</w:t>
      </w:r>
      <w:r>
        <w:t xml:space="preserve"> </w:t>
      </w:r>
      <m:oMath>
        <m:r>
          <m:t>u</m:t>
        </m:r>
      </m:oMath>
      <w:r>
        <w:t xml:space="preserve"> </w:t>
      </w:r>
      <w:r>
        <w:t xml:space="preserve">is the input’s progress toward the level that fully turns on the working (pull-up) device: for a rising output the pull-up PMOS does the work, and it is driven harder as the input falls, so u counts how far the input has come down from the supply. Both run from 0 to 1 during a transition. Define the normalized device constants</w:t>
      </w:r>
    </w:p>
    <w:p>
      <w:pPr>
        <w:pStyle w:val="BodyText"/>
      </w:pPr>
      <m:oMathPara>
        <m:oMathParaPr>
          <m:jc m:val="center"/>
        </m:oMathParaPr>
        <m:oMath>
          <m:sSub>
            <m:e>
              <m:r>
                <m:t>v</m:t>
              </m:r>
            </m:e>
            <m:sub>
              <m:r>
                <m:t>t</m:t>
              </m:r>
            </m:sub>
          </m:sSub>
          <m:r>
            <m:rPr>
              <m:sty m:val="p"/>
            </m:rPr>
            <m:t>≜</m:t>
          </m:r>
          <m:f>
            <m:fPr>
              <m:type m:val="bar"/>
            </m:fPr>
            <m:num>
              <m:sSub>
                <m:e>
                  <m:r>
                    <m:t>V</m:t>
                  </m:r>
                </m:e>
                <m:sub>
                  <m:r>
                    <m:t>T</m:t>
                  </m:r>
                  <m:r>
                    <m:t>H</m:t>
                  </m:r>
                </m:sub>
              </m:sSub>
            </m:num>
            <m:den>
              <m:sSub>
                <m:e>
                  <m:r>
                    <m:t>V</m:t>
                  </m:r>
                </m:e>
                <m:sub>
                  <m:r>
                    <m:t>D</m:t>
                  </m:r>
                  <m:r>
                    <m:t>D</m:t>
                  </m:r>
                </m:sub>
              </m:sSub>
            </m:den>
          </m:f>
          <m:r>
            <m:rPr>
              <m:sty m:val="p"/>
            </m:rPr>
            <m:t>,</m:t>
          </m:r>
          <m:r>
            <m:t>  </m:t>
          </m:r>
          <m:sSub>
            <m:e>
              <m:r>
                <m:t>x</m:t>
              </m:r>
            </m:e>
            <m:sub>
              <m:r>
                <m:t>0</m:t>
              </m:r>
            </m:sub>
          </m:sSub>
          <m:r>
            <m:rPr>
              <m:sty m:val="p"/>
            </m:rPr>
            <m:t>≜</m:t>
          </m:r>
          <m:f>
            <m:fPr>
              <m:type m:val="bar"/>
            </m:fPr>
            <m:num>
              <m:sSub>
                <m:e>
                  <m:r>
                    <m:t>V</m:t>
                  </m:r>
                </m:e>
                <m:sub>
                  <m:r>
                    <m:t>D</m:t>
                  </m:r>
                  <m:r>
                    <m:t>0</m:t>
                  </m:r>
                </m:sub>
              </m:sSub>
            </m:num>
            <m:den>
              <m:sSub>
                <m:e>
                  <m:r>
                    <m:t>V</m:t>
                  </m:r>
                </m:e>
                <m:sub>
                  <m:r>
                    <m:t>D</m:t>
                  </m:r>
                  <m:r>
                    <m:t>D</m:t>
                  </m:r>
                </m:sub>
              </m:sSub>
            </m:den>
          </m:f>
          <m:r>
            <m:t>  </m:t>
          </m:r>
          <m:r>
            <m:t>  </m:t>
          </m:r>
          <m:d>
            <m:dPr>
              <m:begChr m:val="("/>
              <m:endChr m:val=")"/>
              <m:sepChr m:val=""/>
              <m:grow/>
            </m:dPr>
            <m:e>
              <m:r>
                <m:t>9</m:t>
              </m:r>
            </m:e>
          </m:d>
        </m:oMath>
      </m:oMathPara>
    </w:p>
    <w:p>
      <w:pPr>
        <w:pStyle w:val="FirstParagraph"/>
      </w:pPr>
      <w:r>
        <w:t xml:space="preserve">A note on </w:t>
      </w:r>
      <m:oMath>
        <m:sSub>
          <m:e>
            <m:r>
              <m:t xml:space="preserve">v</m:t>
            </m:r>
          </m:e>
          <m:sub>
            <m:r>
              <m:t xml:space="preserve">t</m:t>
            </m:r>
          </m:sub>
        </m:sSub>
      </m:oMath>
      <w:r>
        <w:t xml:space="preserve">, because the symbol changes meaning. In (9) it is the device threshold as a fraction of the supply, 0.14–0.33 for the devices of Table II. From Section IV onward it is the threshold of a modeled stage, fitted to the file and then calibrated, and its fitted values (0.03–0.70 across the test buffers) are not device thresholds. The same symbol is kept because it plays the same role in (19).</w:t>
      </w:r>
    </w:p>
    <w:p>
      <w:pPr>
        <w:pStyle w:val="FirstParagraph"/>
      </w:pPr>
      <w:r>
        <w:t xml:space="preserve">With the PMOS source at</w:t>
      </w:r>
      <w:r>
        <w:t xml:space="preserve"> </w:t>
      </w:r>
      <m:oMath>
        <m:sSub>
          <m:e>
            <m:r>
              <m:t>V</m:t>
            </m:r>
          </m:e>
          <m:sub>
            <m:r>
              <m:t>D</m:t>
            </m:r>
            <m:r>
              <m:t>D</m:t>
            </m:r>
          </m:sub>
        </m:sSub>
      </m:oMath>
      <w:r>
        <w:t xml:space="preserve"> </w:t>
      </w:r>
      <w:r>
        <w:t xml:space="preserve">and the NMOS source at ground, the four terminal voltages follow from (8):</w:t>
      </w:r>
    </w:p>
    <w:p>
      <w:pPr>
        <w:pStyle w:val="BodyText"/>
      </w:pPr>
      <m:oMathPara>
        <m:oMathParaPr>
          <m:jc m:val="center"/>
        </m:oMathParaPr>
        <m:oMath>
          <m:d>
            <m:dPr>
              <m:begChr m:val="|"/>
              <m:endChr m:val="|"/>
              <m:sepChr m:val=""/>
              <m:grow/>
            </m:dPr>
            <m:e>
              <m:sSub>
                <m:e>
                  <m:r>
                    <m:t>V</m:t>
                  </m:r>
                </m:e>
                <m:sub>
                  <m:r>
                    <m:t>G</m:t>
                  </m:r>
                  <m:r>
                    <m:t>S</m:t>
                  </m:r>
                  <m:r>
                    <m:rPr>
                      <m:sty m:val="p"/>
                    </m:rPr>
                    <m:t>,</m:t>
                  </m:r>
                  <m:r>
                    <m:t>P</m:t>
                  </m:r>
                </m:sub>
              </m:sSub>
            </m:e>
          </m:d>
          <m:r>
            <m:rPr>
              <m:sty m:val="p"/>
            </m:rPr>
            <m:t>=</m:t>
          </m:r>
          <m:r>
            <m:t>u</m:t>
          </m:r>
          <m:r>
            <m:t> </m:t>
          </m:r>
          <m:sSub>
            <m:e>
              <m:r>
                <m:t>V</m:t>
              </m:r>
            </m:e>
            <m:sub>
              <m:r>
                <m:t>D</m:t>
              </m:r>
              <m:r>
                <m:t>D</m:t>
              </m:r>
            </m:sub>
          </m:sSub>
          <m:r>
            <m:rPr>
              <m:sty m:val="p"/>
            </m:rPr>
            <m:t>,</m:t>
          </m:r>
          <m:r>
            <m:t>  </m:t>
          </m:r>
          <m:d>
            <m:dPr>
              <m:begChr m:val="|"/>
              <m:endChr m:val="|"/>
              <m:sepChr m:val=""/>
              <m:grow/>
            </m:dPr>
            <m:e>
              <m:sSub>
                <m:e>
                  <m:r>
                    <m:t>V</m:t>
                  </m:r>
                </m:e>
                <m:sub>
                  <m:r>
                    <m:t>D</m:t>
                  </m:r>
                  <m:r>
                    <m:t>S</m:t>
                  </m:r>
                  <m:r>
                    <m:rPr>
                      <m:sty m:val="p"/>
                    </m:rPr>
                    <m:t>,</m:t>
                  </m:r>
                  <m:r>
                    <m:t>P</m:t>
                  </m:r>
                </m:sub>
              </m:sSub>
            </m:e>
          </m:d>
          <m:r>
            <m:rPr>
              <m:sty m:val="p"/>
            </m:rPr>
            <m:t>=</m:t>
          </m:r>
          <m:d>
            <m:dPr>
              <m:begChr m:val="("/>
              <m:endChr m:val=")"/>
              <m:sepChr m:val=""/>
              <m:grow/>
            </m:dPr>
            <m:e>
              <m:r>
                <m:t>1</m:t>
              </m:r>
              <m:r>
                <m:rPr>
                  <m:sty m:val="p"/>
                </m:rPr>
                <m:t>−</m:t>
              </m:r>
              <m:r>
                <m:t>v</m:t>
              </m:r>
            </m:e>
          </m:d>
          <m:r>
            <m:t> </m:t>
          </m:r>
          <m:sSub>
            <m:e>
              <m:r>
                <m:t>V</m:t>
              </m:r>
            </m:e>
            <m:sub>
              <m:r>
                <m:t>D</m:t>
              </m:r>
              <m:r>
                <m:t>D</m:t>
              </m:r>
            </m:sub>
          </m:sSub>
          <m:r>
            <m:rPr>
              <m:sty m:val="p"/>
            </m:rPr>
            <m:t>,</m:t>
          </m:r>
          <m:r>
            <m:t>  </m:t>
          </m:r>
          <m:sSub>
            <m:e>
              <m:r>
                <m:t>V</m:t>
              </m:r>
            </m:e>
            <m:sub>
              <m:r>
                <m:t>G</m:t>
              </m:r>
              <m:r>
                <m:t>S</m:t>
              </m:r>
              <m:r>
                <m:rPr>
                  <m:sty m:val="p"/>
                </m:rPr>
                <m:t>,</m:t>
              </m:r>
              <m:r>
                <m:t>N</m:t>
              </m:r>
            </m:sub>
          </m:sSub>
          <m:r>
            <m:rPr>
              <m:sty m:val="p"/>
            </m:rPr>
            <m:t>=</m:t>
          </m:r>
          <m:d>
            <m:dPr>
              <m:begChr m:val="("/>
              <m:endChr m:val=")"/>
              <m:sepChr m:val=""/>
              <m:grow/>
            </m:dPr>
            <m:e>
              <m:r>
                <m:t>1</m:t>
              </m:r>
              <m:r>
                <m:rPr>
                  <m:sty m:val="p"/>
                </m:rPr>
                <m:t>−</m:t>
              </m:r>
              <m:r>
                <m:t>u</m:t>
              </m:r>
            </m:e>
          </m:d>
          <m:r>
            <m:t> </m:t>
          </m:r>
          <m:sSub>
            <m:e>
              <m:r>
                <m:t>V</m:t>
              </m:r>
            </m:e>
            <m:sub>
              <m:r>
                <m:t>D</m:t>
              </m:r>
              <m:r>
                <m:t>D</m:t>
              </m:r>
            </m:sub>
          </m:sSub>
          <m:r>
            <m:rPr>
              <m:sty m:val="p"/>
            </m:rPr>
            <m:t>,</m:t>
          </m:r>
          <m:r>
            <m:t>  </m:t>
          </m:r>
          <m:sSub>
            <m:e>
              <m:r>
                <m:t>V</m:t>
              </m:r>
            </m:e>
            <m:sub>
              <m:r>
                <m:t>D</m:t>
              </m:r>
              <m:r>
                <m:t>S</m:t>
              </m:r>
              <m:r>
                <m:rPr>
                  <m:sty m:val="p"/>
                </m:rPr>
                <m:t>,</m:t>
              </m:r>
              <m:r>
                <m:t>N</m:t>
              </m:r>
            </m:sub>
          </m:sSub>
          <m:r>
            <m:rPr>
              <m:sty m:val="p"/>
            </m:rPr>
            <m:t>=</m:t>
          </m:r>
          <m:r>
            <m:t>v</m:t>
          </m:r>
          <m:r>
            <m:t> </m:t>
          </m:r>
          <m:sSub>
            <m:e>
              <m:r>
                <m:t>V</m:t>
              </m:r>
            </m:e>
            <m:sub>
              <m:r>
                <m:t>D</m:t>
              </m:r>
              <m:r>
                <m:t>D</m:t>
              </m:r>
            </m:sub>
          </m:sSub>
          <m:r>
            <m:t>  </m:t>
          </m:r>
          <m:r>
            <m:t>  </m:t>
          </m:r>
          <m:d>
            <m:dPr>
              <m:begChr m:val="("/>
              <m:endChr m:val=")"/>
              <m:sepChr m:val=""/>
              <m:grow/>
            </m:dPr>
            <m:e>
              <m:r>
                <m:t>10</m:t>
              </m:r>
            </m:e>
          </m:d>
        </m:oMath>
      </m:oMathPara>
    </w:p>
    <w:p>
      <w:pPr>
        <w:pStyle w:val="FirstParagraph"/>
      </w:pPr>
      <w:r>
        <w:t xml:space="preserve">Substituting (9) and (10) into (5),</w:t>
      </w:r>
      <w:r>
        <w:t xml:space="preserve"> </w:t>
      </w:r>
      <m:oMath>
        <m:sSub>
          <m:e>
            <m:r>
              <m:t>V</m:t>
            </m:r>
          </m:e>
          <m:sub>
            <m:r>
              <m:t>D</m:t>
            </m:r>
            <m:r>
              <m:t>D</m:t>
            </m:r>
          </m:sub>
        </m:sSub>
      </m:oMath>
      <w:r>
        <w:t xml:space="preserve"> </w:t>
      </w:r>
      <w:r>
        <w:t xml:space="preserve">cancels and the gate drives of the two devices become</w:t>
      </w:r>
    </w:p>
    <w:p>
      <w:pPr>
        <w:pStyle w:val="BodyText"/>
      </w:pPr>
      <m:oMathPara>
        <m:oMathParaPr>
          <m:jc m:val="center"/>
        </m:oMathParaPr>
        <m:oMath>
          <m:sSub>
            <m:e>
              <m:r>
                <m:t>D</m:t>
              </m:r>
            </m:e>
            <m:sub>
              <m:r>
                <m:t>P</m:t>
              </m:r>
            </m:sub>
          </m:sSub>
          <m:r>
            <m:rPr>
              <m:sty m:val="p"/>
            </m:rPr>
            <m:t>=</m:t>
          </m:r>
          <m:r>
            <m:t>g</m:t>
          </m:r>
          <m:d>
            <m:dPr>
              <m:begChr m:val="("/>
              <m:endChr m:val=")"/>
              <m:sepChr m:val=""/>
              <m:grow/>
            </m:dPr>
            <m:e>
              <m:r>
                <m:t>u</m:t>
              </m:r>
            </m:e>
          </m:d>
          <m:r>
            <m:rPr>
              <m:sty m:val="p"/>
            </m:rPr>
            <m:t>,</m:t>
          </m:r>
          <m:r>
            <m:t>  </m:t>
          </m:r>
          <m:sSub>
            <m:e>
              <m:r>
                <m:t>D</m:t>
              </m:r>
            </m:e>
            <m:sub>
              <m:r>
                <m:t>N</m:t>
              </m:r>
            </m:sub>
          </m:sSub>
          <m:r>
            <m:rPr>
              <m:sty m:val="p"/>
            </m:rPr>
            <m:t>=</m:t>
          </m:r>
          <m:r>
            <m:t>g</m:t>
          </m:r>
          <m:d>
            <m:dPr>
              <m:begChr m:val="("/>
              <m:endChr m:val=")"/>
              <m:sepChr m:val=""/>
              <m:grow/>
            </m:dPr>
            <m:e>
              <m:r>
                <m:t>1</m:t>
              </m:r>
              <m:r>
                <m:rPr>
                  <m:sty m:val="p"/>
                </m:rPr>
                <m:t>−</m:t>
              </m:r>
              <m:r>
                <m:t>u</m:t>
              </m:r>
            </m:e>
          </m:d>
          <m:r>
            <m:rPr>
              <m:sty m:val="p"/>
            </m:rPr>
            <m:t>,</m:t>
          </m:r>
          <m:r>
            <m:t>  </m:t>
          </m:r>
          <m:r>
            <m:t>g</m:t>
          </m:r>
          <m:d>
            <m:dPr>
              <m:begChr m:val="("/>
              <m:endChr m:val=")"/>
              <m:sepChr m:val=""/>
              <m:grow/>
            </m:dPr>
            <m:e>
              <m:r>
                <m:t>x</m:t>
              </m:r>
            </m:e>
          </m:d>
          <m:r>
            <m:rPr>
              <m:sty m:val="p"/>
            </m:rPr>
            <m:t>≜</m:t>
          </m:r>
          <m:r>
            <m:rPr>
              <m:sty m:val="p"/>
            </m:rPr>
            <m:t>clip</m:t>
          </m:r>
          <m:d>
            <m:dPr>
              <m:begChr m:val="("/>
              <m:endChr m:val=")"/>
              <m:sepChr m:val=""/>
              <m:grow/>
            </m:dPr>
            <m:e>
              <m:f>
                <m:fPr>
                  <m:type m:val="bar"/>
                </m:fPr>
                <m:num>
                  <m:r>
                    <m:t>x</m:t>
                  </m:r>
                  <m:r>
                    <m:rPr>
                      <m:sty m:val="p"/>
                    </m:rPr>
                    <m:t>−</m:t>
                  </m:r>
                  <m:sSub>
                    <m:e>
                      <m:r>
                        <m:t>v</m:t>
                      </m:r>
                    </m:e>
                    <m:sub>
                      <m:r>
                        <m:t>t</m:t>
                      </m:r>
                    </m:sub>
                  </m:sSub>
                </m:num>
                <m:den>
                  <m:r>
                    <m:t>1</m:t>
                  </m:r>
                  <m:r>
                    <m:rPr>
                      <m:sty m:val="p"/>
                    </m:rPr>
                    <m:t>−</m:t>
                  </m:r>
                  <m:sSub>
                    <m:e>
                      <m:r>
                        <m:t>v</m:t>
                      </m:r>
                    </m:e>
                    <m:sub>
                      <m:r>
                        <m:t>t</m:t>
                      </m:r>
                    </m:sub>
                  </m:sSub>
                </m:den>
              </m:f>
              <m:r>
                <m:rPr>
                  <m:sty m:val="p"/>
                </m:rPr>
                <m:t>,</m:t>
              </m:r>
              <m:r>
                <m:t> </m:t>
              </m:r>
              <m:r>
                <m:t>0</m:t>
              </m:r>
              <m:r>
                <m:rPr>
                  <m:sty m:val="p"/>
                </m:rPr>
                <m:t>,</m:t>
              </m:r>
              <m:r>
                <m:t> </m:t>
              </m:r>
              <m:r>
                <m:t>1</m:t>
              </m:r>
            </m:e>
          </m:d>
          <m:r>
            <m:t>  </m:t>
          </m:r>
          <m:r>
            <m:t>  </m:t>
          </m:r>
          <m:d>
            <m:dPr>
              <m:begChr m:val="("/>
              <m:endChr m:val=")"/>
              <m:sepChr m:val=""/>
              <m:grow/>
            </m:dPr>
            <m:e>
              <m:r>
                <m:t>11</m:t>
              </m:r>
            </m:e>
          </m:d>
        </m:oMath>
      </m:oMathPara>
    </w:p>
    <w:p>
      <w:pPr>
        <w:pStyle w:val="FirstParagraph"/>
      </w:pPr>
      <w:r>
        <w:t xml:space="preserve">Substituting (9) and (10) into the drain ratios of (7),</w:t>
      </w:r>
    </w:p>
    <w:p>
      <w:pPr>
        <w:pStyle w:val="BodyText"/>
      </w:pPr>
      <m:oMathPara>
        <m:oMathParaPr>
          <m:jc m:val="center"/>
        </m:oMathParaPr>
        <m:oMath>
          <m:f>
            <m:fPr>
              <m:type m:val="bar"/>
            </m:fPr>
            <m:num>
              <m:d>
                <m:dPr>
                  <m:begChr m:val="|"/>
                  <m:endChr m:val="|"/>
                  <m:sepChr m:val=""/>
                  <m:grow/>
                </m:dPr>
                <m:e>
                  <m:sSub>
                    <m:e>
                      <m:r>
                        <m:t>V</m:t>
                      </m:r>
                    </m:e>
                    <m:sub>
                      <m:r>
                        <m:t>D</m:t>
                      </m:r>
                      <m:r>
                        <m:t>S</m:t>
                      </m:r>
                      <m:r>
                        <m:rPr>
                          <m:sty m:val="p"/>
                        </m:rPr>
                        <m:t>,</m:t>
                      </m:r>
                      <m:r>
                        <m:t>P</m:t>
                      </m:r>
                    </m:sub>
                  </m:sSub>
                </m:e>
              </m:d>
            </m:num>
            <m:den>
              <m:sSub>
                <m:e>
                  <m:r>
                    <m:t>V</m:t>
                  </m:r>
                </m:e>
                <m:sub>
                  <m:r>
                    <m:t>D</m:t>
                  </m:r>
                  <m:r>
                    <m:t>0</m:t>
                  </m:r>
                </m:sub>
              </m:sSub>
            </m:den>
          </m:f>
          <m:r>
            <m:rPr>
              <m:sty m:val="p"/>
            </m:rPr>
            <m:t>=</m:t>
          </m:r>
          <m:f>
            <m:fPr>
              <m:type m:val="bar"/>
            </m:fPr>
            <m:num>
              <m:r>
                <m:t>1</m:t>
              </m:r>
              <m:r>
                <m:rPr>
                  <m:sty m:val="p"/>
                </m:rPr>
                <m:t>−</m:t>
              </m:r>
              <m:r>
                <m:t>v</m:t>
              </m:r>
            </m:num>
            <m:den>
              <m:sSub>
                <m:e>
                  <m:r>
                    <m:t>x</m:t>
                  </m:r>
                </m:e>
                <m:sub>
                  <m:r>
                    <m:t>0</m:t>
                  </m:r>
                </m:sub>
              </m:sSub>
            </m:den>
          </m:f>
          <m:r>
            <m:rPr>
              <m:sty m:val="p"/>
            </m:rPr>
            <m:t>,</m:t>
          </m:r>
          <m:r>
            <m:t>  </m:t>
          </m:r>
          <m:f>
            <m:fPr>
              <m:type m:val="bar"/>
            </m:fPr>
            <m:num>
              <m:sSub>
                <m:e>
                  <m:r>
                    <m:t>V</m:t>
                  </m:r>
                </m:e>
                <m:sub>
                  <m:r>
                    <m:t>D</m:t>
                  </m:r>
                  <m:r>
                    <m:t>S</m:t>
                  </m:r>
                  <m:r>
                    <m:rPr>
                      <m:sty m:val="p"/>
                    </m:rPr>
                    <m:t>,</m:t>
                  </m:r>
                  <m:r>
                    <m:t>N</m:t>
                  </m:r>
                </m:sub>
              </m:sSub>
            </m:num>
            <m:den>
              <m:sSub>
                <m:e>
                  <m:r>
                    <m:t>V</m:t>
                  </m:r>
                </m:e>
                <m:sub>
                  <m:r>
                    <m:t>D</m:t>
                  </m:r>
                  <m:r>
                    <m:t>0</m:t>
                  </m:r>
                </m:sub>
              </m:sSub>
            </m:den>
          </m:f>
          <m:r>
            <m:rPr>
              <m:sty m:val="p"/>
            </m:rPr>
            <m:t>=</m:t>
          </m:r>
          <m:f>
            <m:fPr>
              <m:type m:val="bar"/>
            </m:fPr>
            <m:num>
              <m:r>
                <m:t>v</m:t>
              </m:r>
            </m:num>
            <m:den>
              <m:sSub>
                <m:e>
                  <m:r>
                    <m:t>x</m:t>
                  </m:r>
                </m:e>
                <m:sub>
                  <m:r>
                    <m:t>0</m:t>
                  </m:r>
                </m:sub>
              </m:sSub>
            </m:den>
          </m:f>
          <m:r>
            <m:t>  </m:t>
          </m:r>
          <m:r>
            <m:t>  </m:t>
          </m:r>
          <m:d>
            <m:dPr>
              <m:begChr m:val="("/>
              <m:endChr m:val=")"/>
              <m:sepChr m:val=""/>
              <m:grow/>
            </m:dPr>
            <m:e>
              <m:r>
                <m:t>12</m:t>
              </m:r>
            </m:e>
          </m:d>
        </m:oMath>
      </m:oMathPara>
    </w:p>
    <w:p>
      <w:pPr>
        <w:pStyle w:val="FirstParagraph"/>
      </w:pPr>
      <w:r>
        <w:t xml:space="preserve">Applying (7) to each device with (11) and (12):</w:t>
      </w:r>
    </w:p>
    <w:p>
      <w:pPr>
        <w:pStyle w:val="BodyText"/>
      </w:pPr>
      <m:oMathPara>
        <m:oMathParaPr>
          <m:jc m:val="center"/>
        </m:oMathParaPr>
        <m:oMath>
          <m:sSub>
            <m:e>
              <m:r>
                <m:t>I</m:t>
              </m:r>
            </m:e>
            <m:sub>
              <m:r>
                <m:t>P</m:t>
              </m:r>
            </m:sub>
          </m:sSub>
          <m:r>
            <m:rPr>
              <m:sty m:val="p"/>
            </m:rPr>
            <m:t>=</m:t>
          </m:r>
          <m:sSub>
            <m:e>
              <m:r>
                <m:t>I</m:t>
              </m:r>
            </m:e>
            <m:sub>
              <m:r>
                <m:t>D</m:t>
              </m:r>
              <m:r>
                <m:t>0</m:t>
              </m:r>
              <m:r>
                <m:rPr>
                  <m:sty m:val="p"/>
                </m:rPr>
                <m:t>,</m:t>
              </m:r>
              <m:r>
                <m:t>P</m:t>
              </m:r>
            </m:sub>
          </m:sSub>
          <m:r>
            <m:t> </m:t>
          </m:r>
          <m:r>
            <m:t>g</m:t>
          </m:r>
          <m:sSup>
            <m:e>
              <m:d>
                <m:dPr>
                  <m:begChr m:val="("/>
                  <m:endChr m:val=")"/>
                  <m:sepChr m:val=""/>
                  <m:grow/>
                </m:dPr>
                <m:e>
                  <m:r>
                    <m:t>u</m:t>
                  </m:r>
                </m:e>
              </m:d>
            </m:e>
            <m:sup>
              <m:r>
                <m:t>α</m:t>
              </m:r>
            </m:sup>
          </m:sSup>
          <m:r>
            <m:t> </m:t>
          </m:r>
          <m:r>
            <m:rPr>
              <m:sty m:val="p"/>
            </m:rPr>
            <m:t>min</m:t>
          </m:r>
          <m:d>
            <m:dPr>
              <m:begChr m:val="("/>
              <m:endChr m:val=")"/>
              <m:sepChr m:val=""/>
              <m:grow/>
            </m:dPr>
            <m:e>
              <m:r>
                <m:t>1</m:t>
              </m:r>
              <m:r>
                <m:rPr>
                  <m:sty m:val="p"/>
                </m:rPr>
                <m:t>,</m:t>
              </m:r>
              <m:r>
                <m:t> </m:t>
              </m:r>
              <m:f>
                <m:fPr>
                  <m:type m:val="bar"/>
                </m:fPr>
                <m:num>
                  <m:r>
                    <m:t>1</m:t>
                  </m:r>
                  <m:r>
                    <m:rPr>
                      <m:sty m:val="p"/>
                    </m:rPr>
                    <m:t>−</m:t>
                  </m:r>
                  <m:r>
                    <m:t>v</m:t>
                  </m:r>
                </m:num>
                <m:den>
                  <m:sSub>
                    <m:e>
                      <m:r>
                        <m:t>x</m:t>
                      </m:r>
                    </m:e>
                    <m:sub>
                      <m:r>
                        <m:t>0</m:t>
                      </m:r>
                    </m:sub>
                  </m:sSub>
                  <m:r>
                    <m:t> </m:t>
                  </m:r>
                  <m:r>
                    <m:t>g</m:t>
                  </m:r>
                  <m:sSup>
                    <m:e>
                      <m:d>
                        <m:dPr>
                          <m:begChr m:val="("/>
                          <m:endChr m:val=")"/>
                          <m:sepChr m:val=""/>
                          <m:grow/>
                        </m:dPr>
                        <m:e>
                          <m:r>
                            <m:t>u</m:t>
                          </m:r>
                        </m:e>
                      </m:d>
                    </m:e>
                    <m:sup>
                      <m:r>
                        <m:t>α</m:t>
                      </m:r>
                      <m:r>
                        <m:rPr>
                          <m:sty m:val="p"/>
                        </m:rPr>
                        <m:t>/</m:t>
                      </m:r>
                      <m:r>
                        <m:t>2</m:t>
                      </m:r>
                    </m:sup>
                  </m:sSup>
                </m:den>
              </m:f>
            </m:e>
          </m:d>
          <m:r>
            <m:t>  </m:t>
          </m:r>
          <m:r>
            <m:t>  </m:t>
          </m:r>
          <m:d>
            <m:dPr>
              <m:begChr m:val="("/>
              <m:endChr m:val=")"/>
              <m:sepChr m:val=""/>
              <m:grow/>
            </m:dPr>
            <m:e>
              <m:r>
                <m:t>13</m:t>
              </m:r>
            </m:e>
          </m:d>
        </m:oMath>
      </m:oMathPara>
    </w:p>
    <w:p>
      <w:pPr>
        <w:pStyle w:val="FirstParagraph"/>
      </w:pPr>
      <m:oMathPara>
        <m:oMathParaPr>
          <m:jc m:val="center"/>
        </m:oMathParaPr>
        <m:oMath>
          <m:sSub>
            <m:e>
              <m:r>
                <m:t>I</m:t>
              </m:r>
            </m:e>
            <m:sub>
              <m:r>
                <m:t>N</m:t>
              </m:r>
            </m:sub>
          </m:sSub>
          <m:r>
            <m:rPr>
              <m:sty m:val="p"/>
            </m:rPr>
            <m:t>=</m:t>
          </m:r>
          <m:sSub>
            <m:e>
              <m:r>
                <m:t>I</m:t>
              </m:r>
            </m:e>
            <m:sub>
              <m:r>
                <m:t>D</m:t>
              </m:r>
              <m:r>
                <m:t>0</m:t>
              </m:r>
              <m:r>
                <m:rPr>
                  <m:sty m:val="p"/>
                </m:rPr>
                <m:t>,</m:t>
              </m:r>
              <m:r>
                <m:t>N</m:t>
              </m:r>
            </m:sub>
          </m:sSub>
          <m:r>
            <m:t> </m:t>
          </m:r>
          <m:r>
            <m:t>g</m:t>
          </m:r>
          <m:sSup>
            <m:e>
              <m:d>
                <m:dPr>
                  <m:begChr m:val="("/>
                  <m:endChr m:val=")"/>
                  <m:sepChr m:val=""/>
                  <m:grow/>
                </m:dPr>
                <m:e>
                  <m:r>
                    <m:t>1</m:t>
                  </m:r>
                  <m:r>
                    <m:rPr>
                      <m:sty m:val="p"/>
                    </m:rPr>
                    <m:t>−</m:t>
                  </m:r>
                  <m:r>
                    <m:t>u</m:t>
                  </m:r>
                </m:e>
              </m:d>
            </m:e>
            <m:sup>
              <m:r>
                <m:t>α</m:t>
              </m:r>
            </m:sup>
          </m:sSup>
          <m:r>
            <m:t> </m:t>
          </m:r>
          <m:r>
            <m:rPr>
              <m:sty m:val="p"/>
            </m:rPr>
            <m:t>min</m:t>
          </m:r>
          <m:d>
            <m:dPr>
              <m:begChr m:val="("/>
              <m:endChr m:val=")"/>
              <m:sepChr m:val=""/>
              <m:grow/>
            </m:dPr>
            <m:e>
              <m:r>
                <m:t>1</m:t>
              </m:r>
              <m:r>
                <m:rPr>
                  <m:sty m:val="p"/>
                </m:rPr>
                <m:t>,</m:t>
              </m:r>
              <m:r>
                <m:t> </m:t>
              </m:r>
              <m:f>
                <m:fPr>
                  <m:type m:val="bar"/>
                </m:fPr>
                <m:num>
                  <m:r>
                    <m:t>v</m:t>
                  </m:r>
                </m:num>
                <m:den>
                  <m:sSub>
                    <m:e>
                      <m:r>
                        <m:t>x</m:t>
                      </m:r>
                    </m:e>
                    <m:sub>
                      <m:r>
                        <m:t>0</m:t>
                      </m:r>
                    </m:sub>
                  </m:sSub>
                  <m:r>
                    <m:t> </m:t>
                  </m:r>
                  <m:r>
                    <m:t>g</m:t>
                  </m:r>
                  <m:sSup>
                    <m:e>
                      <m:d>
                        <m:dPr>
                          <m:begChr m:val="("/>
                          <m:endChr m:val=")"/>
                          <m:sepChr m:val=""/>
                          <m:grow/>
                        </m:dPr>
                        <m:e>
                          <m:r>
                            <m:t>1</m:t>
                          </m:r>
                          <m:r>
                            <m:rPr>
                              <m:sty m:val="p"/>
                            </m:rPr>
                            <m:t>−</m:t>
                          </m:r>
                          <m:r>
                            <m:t>u</m:t>
                          </m:r>
                        </m:e>
                      </m:d>
                    </m:e>
                    <m:sup>
                      <m:r>
                        <m:t>α</m:t>
                      </m:r>
                      <m:r>
                        <m:rPr>
                          <m:sty m:val="p"/>
                        </m:rPr>
                        <m:t>/</m:t>
                      </m:r>
                      <m:r>
                        <m:t>2</m:t>
                      </m:r>
                    </m:sup>
                  </m:sSup>
                </m:den>
              </m:f>
            </m:e>
          </m:d>
          <m:r>
            <m:t>  </m:t>
          </m:r>
          <m:r>
            <m:t>  </m:t>
          </m:r>
          <m:d>
            <m:dPr>
              <m:begChr m:val="("/>
              <m:endChr m:val=")"/>
              <m:sepChr m:val=""/>
              <m:grow/>
            </m:dPr>
            <m:e>
              <m:r>
                <m:t>14</m:t>
              </m:r>
            </m:e>
          </m:d>
        </m:oMath>
      </m:oMathPara>
    </w:p>
    <w:p>
      <w:pPr>
        <w:pStyle w:val="FirstParagraph"/>
      </w:pPr>
      <w:r>
        <w:t xml:space="preserve">Equations (13)–(14) use one</w:t>
      </w:r>
      <w:r>
        <w:t xml:space="preserve"> </w:t>
      </w:r>
      <m:oMath>
        <m:sSub>
          <m:e>
            <m:r>
              <m:t>v</m:t>
            </m:r>
          </m:e>
          <m:sub>
            <m:r>
              <m:t>t</m:t>
            </m:r>
          </m:sub>
        </m:sSub>
      </m:oMath>
      <w:r>
        <w:t xml:space="preserve">,</w:t>
      </w:r>
      <w:r>
        <w:t xml:space="preserve"> </w:t>
      </w:r>
      <m:oMath>
        <m:r>
          <m:t>α</m:t>
        </m:r>
      </m:oMath>
      <w:r>
        <w:t xml:space="preserve"> </w:t>
      </w:r>
      <w:r>
        <w:t xml:space="preserve">and</w:t>
      </w:r>
      <w:r>
        <w:t xml:space="preserve"> </w:t>
      </w:r>
      <m:oMath>
        <m:sSub>
          <m:e>
            <m:r>
              <m:t>x</m:t>
            </m:r>
          </m:e>
          <m:sub>
            <m:r>
              <m:t>0</m:t>
            </m:r>
          </m:sub>
        </m:sSub>
      </m:oMath>
      <w:r>
        <w:t xml:space="preserve"> </w:t>
      </w:r>
      <w:r>
        <w:t xml:space="preserve">for both devices; this is the same symmetric-device simplification adopted in [1, Sec. VI], where the two indices are averaged when they differ.</w:t>
      </w:r>
    </w:p>
    <w:p>
      <w:pPr>
        <w:pStyle w:val="Heading2"/>
      </w:pPr>
      <w:r>
        <w:t xml:space="preserve">D. Normalized stage dynamics</w:t>
      </w:r>
    </w:p>
    <w:p>
      <w:pPr>
        <w:pStyle w:val="FirstParagraph"/>
      </w:pPr>
      <w:r>
        <w:t xml:space="preserve">From (8),</w:t>
      </w:r>
      <w:r>
        <w:t xml:space="preserve"> </w:t>
      </w:r>
      <m:oMath>
        <m:r>
          <m:t>d</m:t>
        </m:r>
        <m:sSub>
          <m:e>
            <m:r>
              <m:t>V</m:t>
            </m:r>
          </m:e>
          <m:sub>
            <m:r>
              <m:t>o</m:t>
            </m:r>
          </m:sub>
        </m:sSub>
        <m:r>
          <m:rPr>
            <m:sty m:val="p"/>
          </m:rPr>
          <m:t>/</m:t>
        </m:r>
        <m:r>
          <m:t>d</m:t>
        </m:r>
        <m:r>
          <m:t>t</m:t>
        </m:r>
        <m:r>
          <m:rPr>
            <m:sty m:val="p"/>
          </m:rPr>
          <m:t>=</m:t>
        </m:r>
        <m:sSub>
          <m:e>
            <m:r>
              <m:t>V</m:t>
            </m:r>
          </m:e>
          <m:sub>
            <m:r>
              <m:t>D</m:t>
            </m:r>
            <m:r>
              <m:t>D</m:t>
            </m:r>
          </m:sub>
        </m:sSub>
        <m:r>
          <m:t> </m:t>
        </m:r>
        <m:r>
          <m:t>d</m:t>
        </m:r>
        <m:r>
          <m:t>v</m:t>
        </m:r>
        <m:r>
          <m:rPr>
            <m:sty m:val="p"/>
          </m:rPr>
          <m:t>/</m:t>
        </m:r>
        <m:r>
          <m:t>d</m:t>
        </m:r>
        <m:r>
          <m:t>t</m:t>
        </m:r>
      </m:oMath>
      <w:r>
        <w:t xml:space="preserve">. Substituting this and (13)–(14) into (1) and dividing by</w:t>
      </w:r>
      <w:r>
        <w:t xml:space="preserve"> </w:t>
      </w:r>
      <m:oMath>
        <m:r>
          <m:t>C</m:t>
        </m:r>
        <m:r>
          <m:t> </m:t>
        </m:r>
        <m:sSub>
          <m:e>
            <m:r>
              <m:t>V</m:t>
            </m:r>
          </m:e>
          <m:sub>
            <m:r>
              <m:t>D</m:t>
            </m:r>
            <m:r>
              <m:t>D</m:t>
            </m:r>
          </m:sub>
        </m:sSub>
      </m:oMath>
      <w:r>
        <w:t xml:space="preserve">:</w:t>
      </w:r>
    </w:p>
    <w:p>
      <w:pPr>
        <w:pStyle w:val="BodyText"/>
      </w:pPr>
      <m:oMathPara>
        <m:oMathParaPr>
          <m:jc m:val="center"/>
        </m:oMathParaPr>
        <m:oMath>
          <m:f>
            <m:fPr>
              <m:type m:val="bar"/>
            </m:fPr>
            <m:num>
              <m:r>
                <m:t>d</m:t>
              </m:r>
              <m:r>
                <m:t>v</m:t>
              </m:r>
            </m:num>
            <m:den>
              <m:r>
                <m:t>d</m:t>
              </m:r>
              <m:r>
                <m:t>t</m:t>
              </m:r>
            </m:den>
          </m:f>
          <m:r>
            <m:rPr>
              <m:sty m:val="p"/>
            </m:rPr>
            <m:t>=</m:t>
          </m:r>
          <m:sSub>
            <m:e>
              <m:r>
                <m:t>s</m:t>
              </m:r>
            </m:e>
            <m:sub>
              <m:r>
                <m:rPr>
                  <m:sty m:val="p"/>
                </m:rPr>
                <m:t>u</m:t>
              </m:r>
              <m:r>
                <m:rPr>
                  <m:sty m:val="p"/>
                </m:rPr>
                <m:t>p</m:t>
              </m:r>
            </m:sub>
          </m:sSub>
          <m:r>
            <m:t> </m:t>
          </m:r>
          <m:r>
            <m:t>g</m:t>
          </m:r>
          <m:sSup>
            <m:e>
              <m:d>
                <m:dPr>
                  <m:begChr m:val="("/>
                  <m:endChr m:val=")"/>
                  <m:sepChr m:val=""/>
                  <m:grow/>
                </m:dPr>
                <m:e>
                  <m:r>
                    <m:t>u</m:t>
                  </m:r>
                </m:e>
              </m:d>
            </m:e>
            <m:sup>
              <m:r>
                <m:t>α</m:t>
              </m:r>
            </m:sup>
          </m:sSup>
          <m:r>
            <m:t> </m:t>
          </m:r>
          <m:r>
            <m:rPr>
              <m:sty m:val="p"/>
            </m:rPr>
            <m:t>min</m:t>
          </m:r>
          <m:d>
            <m:dPr>
              <m:begChr m:val="("/>
              <m:endChr m:val=")"/>
              <m:sepChr m:val=""/>
              <m:grow/>
            </m:dPr>
            <m:e>
              <m:r>
                <m:t>1</m:t>
              </m:r>
              <m:r>
                <m:rPr>
                  <m:sty m:val="p"/>
                </m:rPr>
                <m:t>,</m:t>
              </m:r>
              <m:r>
                <m:t> </m:t>
              </m:r>
              <m:f>
                <m:fPr>
                  <m:type m:val="bar"/>
                </m:fPr>
                <m:num>
                  <m:r>
                    <m:t>1</m:t>
                  </m:r>
                  <m:r>
                    <m:rPr>
                      <m:sty m:val="p"/>
                    </m:rPr>
                    <m:t>−</m:t>
                  </m:r>
                  <m:r>
                    <m:t>v</m:t>
                  </m:r>
                </m:num>
                <m:den>
                  <m:sSub>
                    <m:e>
                      <m:r>
                        <m:t>x</m:t>
                      </m:r>
                    </m:e>
                    <m:sub>
                      <m:r>
                        <m:t>0</m:t>
                      </m:r>
                    </m:sub>
                  </m:sSub>
                  <m:r>
                    <m:t> </m:t>
                  </m:r>
                  <m:r>
                    <m:t>g</m:t>
                  </m:r>
                  <m:sSup>
                    <m:e>
                      <m:d>
                        <m:dPr>
                          <m:begChr m:val="("/>
                          <m:endChr m:val=")"/>
                          <m:sepChr m:val=""/>
                          <m:grow/>
                        </m:dPr>
                        <m:e>
                          <m:r>
                            <m:t>u</m:t>
                          </m:r>
                        </m:e>
                      </m:d>
                    </m:e>
                    <m:sup>
                      <m:r>
                        <m:t>α</m:t>
                      </m:r>
                      <m:r>
                        <m:rPr>
                          <m:sty m:val="p"/>
                        </m:rPr>
                        <m:t>/</m:t>
                      </m:r>
                      <m:r>
                        <m:t>2</m:t>
                      </m:r>
                    </m:sup>
                  </m:sSup>
                </m:den>
              </m:f>
            </m:e>
          </m:d>
          <m:r>
            <m:rPr>
              <m:sty m:val="p"/>
            </m:rPr>
            <m:t>−</m:t>
          </m:r>
          <m:sSub>
            <m:e>
              <m:r>
                <m:t>s</m:t>
              </m:r>
            </m:e>
            <m:sub>
              <m:r>
                <m:rPr>
                  <m:sty m:val="p"/>
                </m:rPr>
                <m:t>d</m:t>
              </m:r>
              <m:r>
                <m:rPr>
                  <m:sty m:val="p"/>
                </m:rPr>
                <m:t>n</m:t>
              </m:r>
            </m:sub>
          </m:sSub>
          <m:r>
            <m:t> </m:t>
          </m:r>
          <m:r>
            <m:t>g</m:t>
          </m:r>
          <m:sSup>
            <m:e>
              <m:d>
                <m:dPr>
                  <m:begChr m:val="("/>
                  <m:endChr m:val=")"/>
                  <m:sepChr m:val=""/>
                  <m:grow/>
                </m:dPr>
                <m:e>
                  <m:r>
                    <m:t>1</m:t>
                  </m:r>
                  <m:r>
                    <m:rPr>
                      <m:sty m:val="p"/>
                    </m:rPr>
                    <m:t>−</m:t>
                  </m:r>
                  <m:r>
                    <m:t>u</m:t>
                  </m:r>
                </m:e>
              </m:d>
            </m:e>
            <m:sup>
              <m:r>
                <m:t>α</m:t>
              </m:r>
            </m:sup>
          </m:sSup>
          <m:r>
            <m:t> </m:t>
          </m:r>
          <m:r>
            <m:rPr>
              <m:sty m:val="p"/>
            </m:rPr>
            <m:t>min</m:t>
          </m:r>
          <m:d>
            <m:dPr>
              <m:begChr m:val="("/>
              <m:endChr m:val=")"/>
              <m:sepChr m:val=""/>
              <m:grow/>
            </m:dPr>
            <m:e>
              <m:r>
                <m:t>1</m:t>
              </m:r>
              <m:r>
                <m:rPr>
                  <m:sty m:val="p"/>
                </m:rPr>
                <m:t>,</m:t>
              </m:r>
              <m:r>
                <m:t> </m:t>
              </m:r>
              <m:f>
                <m:fPr>
                  <m:type m:val="bar"/>
                </m:fPr>
                <m:num>
                  <m:r>
                    <m:t>v</m:t>
                  </m:r>
                </m:num>
                <m:den>
                  <m:sSub>
                    <m:e>
                      <m:r>
                        <m:t>x</m:t>
                      </m:r>
                    </m:e>
                    <m:sub>
                      <m:r>
                        <m:t>0</m:t>
                      </m:r>
                    </m:sub>
                  </m:sSub>
                  <m:r>
                    <m:t> </m:t>
                  </m:r>
                  <m:r>
                    <m:t>g</m:t>
                  </m:r>
                  <m:sSup>
                    <m:e>
                      <m:d>
                        <m:dPr>
                          <m:begChr m:val="("/>
                          <m:endChr m:val=")"/>
                          <m:sepChr m:val=""/>
                          <m:grow/>
                        </m:dPr>
                        <m:e>
                          <m:r>
                            <m:t>1</m:t>
                          </m:r>
                          <m:r>
                            <m:rPr>
                              <m:sty m:val="p"/>
                            </m:rPr>
                            <m:t>−</m:t>
                          </m:r>
                          <m:r>
                            <m:t>u</m:t>
                          </m:r>
                        </m:e>
                      </m:d>
                    </m:e>
                    <m:sup>
                      <m:r>
                        <m:t>α</m:t>
                      </m:r>
                      <m:r>
                        <m:rPr>
                          <m:sty m:val="p"/>
                        </m:rPr>
                        <m:t>/</m:t>
                      </m:r>
                      <m:r>
                        <m:t>2</m:t>
                      </m:r>
                    </m:sup>
                  </m:sSup>
                </m:den>
              </m:f>
            </m:e>
          </m:d>
          <m:r>
            <m:t>  </m:t>
          </m:r>
          <m:r>
            <m:t>  </m:t>
          </m:r>
          <m:d>
            <m:dPr>
              <m:begChr m:val="("/>
              <m:endChr m:val=")"/>
              <m:sepChr m:val=""/>
              <m:grow/>
            </m:dPr>
            <m:e>
              <m:r>
                <m:t>15</m:t>
              </m:r>
            </m:e>
          </m:d>
        </m:oMath>
      </m:oMathPara>
    </w:p>
    <w:p>
      <w:pPr>
        <w:pStyle w:val="FirstParagraph"/>
      </w:pPr>
      <w:r>
        <w:t xml:space="preserve">where</w:t>
      </w:r>
    </w:p>
    <w:p>
      <w:pPr>
        <w:pStyle w:val="BodyText"/>
      </w:pPr>
      <m:oMathPara>
        <m:oMathParaPr>
          <m:jc m:val="center"/>
        </m:oMathParaPr>
        <m:oMath>
          <m:sSub>
            <m:e>
              <m:r>
                <m:t>s</m:t>
              </m:r>
            </m:e>
            <m:sub>
              <m:r>
                <m:rPr>
                  <m:sty m:val="p"/>
                </m:rPr>
                <m:t>u</m:t>
              </m:r>
              <m:r>
                <m:rPr>
                  <m:sty m:val="p"/>
                </m:rPr>
                <m:t>p</m:t>
              </m:r>
            </m:sub>
          </m:sSub>
          <m:r>
            <m:rPr>
              <m:sty m:val="p"/>
            </m:rPr>
            <m:t>≜</m:t>
          </m:r>
          <m:f>
            <m:fPr>
              <m:type m:val="bar"/>
            </m:fPr>
            <m:num>
              <m:sSub>
                <m:e>
                  <m:r>
                    <m:t>I</m:t>
                  </m:r>
                </m:e>
                <m:sub>
                  <m:r>
                    <m:t>D</m:t>
                  </m:r>
                  <m:r>
                    <m:t>0</m:t>
                  </m:r>
                  <m:r>
                    <m:rPr>
                      <m:sty m:val="p"/>
                    </m:rPr>
                    <m:t>,</m:t>
                  </m:r>
                  <m:r>
                    <m:t>P</m:t>
                  </m:r>
                </m:sub>
              </m:sSub>
            </m:num>
            <m:den>
              <m:r>
                <m:t>C</m:t>
              </m:r>
              <m:r>
                <m:t> </m:t>
              </m:r>
              <m:sSub>
                <m:e>
                  <m:r>
                    <m:t>V</m:t>
                  </m:r>
                </m:e>
                <m:sub>
                  <m:r>
                    <m:t>D</m:t>
                  </m:r>
                  <m:r>
                    <m:t>D</m:t>
                  </m:r>
                </m:sub>
              </m:sSub>
            </m:den>
          </m:f>
          <m:r>
            <m:rPr>
              <m:sty m:val="p"/>
            </m:rPr>
            <m:t>,</m:t>
          </m:r>
          <m:r>
            <m:t>  </m:t>
          </m:r>
          <m:sSub>
            <m:e>
              <m:r>
                <m:t>s</m:t>
              </m:r>
            </m:e>
            <m:sub>
              <m:r>
                <m:rPr>
                  <m:sty m:val="p"/>
                </m:rPr>
                <m:t>d</m:t>
              </m:r>
              <m:r>
                <m:rPr>
                  <m:sty m:val="p"/>
                </m:rPr>
                <m:t>n</m:t>
              </m:r>
            </m:sub>
          </m:sSub>
          <m:r>
            <m:rPr>
              <m:sty m:val="p"/>
            </m:rPr>
            <m:t>≜</m:t>
          </m:r>
          <m:f>
            <m:fPr>
              <m:type m:val="bar"/>
            </m:fPr>
            <m:num>
              <m:sSub>
                <m:e>
                  <m:r>
                    <m:t>I</m:t>
                  </m:r>
                </m:e>
                <m:sub>
                  <m:r>
                    <m:t>D</m:t>
                  </m:r>
                  <m:r>
                    <m:t>0</m:t>
                  </m:r>
                  <m:r>
                    <m:rPr>
                      <m:sty m:val="p"/>
                    </m:rPr>
                    <m:t>,</m:t>
                  </m:r>
                  <m:r>
                    <m:t>N</m:t>
                  </m:r>
                </m:sub>
              </m:sSub>
            </m:num>
            <m:den>
              <m:r>
                <m:t>C</m:t>
              </m:r>
              <m:r>
                <m:t> </m:t>
              </m:r>
              <m:sSub>
                <m:e>
                  <m:r>
                    <m:t>V</m:t>
                  </m:r>
                </m:e>
                <m:sub>
                  <m:r>
                    <m:t>D</m:t>
                  </m:r>
                  <m:r>
                    <m:t>D</m:t>
                  </m:r>
                </m:sub>
              </m:sSub>
            </m:den>
          </m:f>
          <m:r>
            <m:t>  </m:t>
          </m:r>
          <m:r>
            <m:t>  </m:t>
          </m:r>
          <m:d>
            <m:dPr>
              <m:begChr m:val="("/>
              <m:endChr m:val=")"/>
              <m:sepChr m:val=""/>
              <m:grow/>
            </m:dPr>
            <m:e>
              <m:r>
                <m:t>16</m:t>
              </m:r>
            </m:e>
          </m:d>
        </m:oMath>
      </m:oMathPara>
    </w:p>
    <w:p>
      <w:pPr>
        <w:pStyle w:val="FirstParagraph"/>
      </w:pPr>
      <w:r>
        <w:t xml:space="preserve">Equation (15) is exact with respect to (1)–(5). Its parameters are dimensionless except</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which have units of swings per second;</w:t>
      </w:r>
      <w:r>
        <w:t xml:space="preserve"> </w:t>
      </w:r>
      <m:oMath>
        <m:r>
          <m:t>1</m:t>
        </m:r>
        <m:r>
          <m:rPr>
            <m:sty m:val="p"/>
          </m:rPr>
          <m:t>/</m:t>
        </m:r>
        <m:sSub>
          <m:e>
            <m:r>
              <m:t>s</m:t>
            </m:r>
          </m:e>
          <m:sub>
            <m:r>
              <m:rPr>
                <m:sty m:val="p"/>
              </m:rPr>
              <m:t>u</m:t>
            </m:r>
            <m:r>
              <m:rPr>
                <m:sty m:val="p"/>
              </m:rPr>
              <m:t>p</m:t>
            </m:r>
          </m:sub>
        </m:sSub>
      </m:oMath>
      <w:r>
        <w:t xml:space="preserve"> </w:t>
      </w:r>
      <w:r>
        <w:t xml:space="preserve">is the time the stage would take to cross the full swing at its full-drive current. At</w:t>
      </w:r>
      <w:r>
        <w:t xml:space="preserve"> </w:t>
      </w:r>
      <m:oMath>
        <m:r>
          <m:t>u</m:t>
        </m:r>
        <m:r>
          <m:rPr>
            <m:sty m:val="p"/>
          </m:rPr>
          <m:t>=</m:t>
        </m:r>
        <m:r>
          <m:t>1</m:t>
        </m:r>
      </m:oMath>
      <w:r>
        <w:t xml:space="preserve">, (15) reduces to a constant-slope ramp for</w:t>
      </w:r>
      <w:r>
        <w:t xml:space="preserve"> </w:t>
      </w:r>
      <m:oMath>
        <m:r>
          <m:t>1</m:t>
        </m:r>
        <m:r>
          <m:rPr>
            <m:sty m:val="p"/>
          </m:rPr>
          <m:t>−</m:t>
        </m:r>
        <m:r>
          <m:t>v</m:t>
        </m:r>
        <m:r>
          <m:rPr>
            <m:sty m:val="p"/>
          </m:rPr>
          <m:t>&gt;</m:t>
        </m:r>
        <m:sSub>
          <m:e>
            <m:r>
              <m:t>x</m:t>
            </m:r>
          </m:e>
          <m:sub>
            <m:r>
              <m:t>0</m:t>
            </m:r>
          </m:sub>
        </m:sSub>
      </m:oMath>
      <w:r>
        <w:t xml:space="preserve"> </w:t>
      </w:r>
      <w:r>
        <w:t xml:space="preserve">followed by an exponential approach with time constant</w:t>
      </w:r>
      <w:r>
        <w:t xml:space="preserve"> </w:t>
      </w:r>
      <m:oMath>
        <m:sSub>
          <m:e>
            <m:r>
              <m:t>x</m:t>
            </m:r>
          </m:e>
          <m:sub>
            <m:r>
              <m:t>0</m:t>
            </m:r>
          </m:sub>
        </m:sSub>
        <m:r>
          <m:rPr>
            <m:sty m:val="p"/>
          </m:rPr>
          <m:t>/</m:t>
        </m:r>
        <m:sSub>
          <m:e>
            <m:r>
              <m:t>s</m:t>
            </m:r>
          </m:e>
          <m:sub>
            <m:r>
              <m:rPr>
                <m:sty m:val="p"/>
              </m:rPr>
              <m:t>u</m:t>
            </m:r>
            <m:r>
              <m:rPr>
                <m:sty m:val="p"/>
              </m:rPr>
              <m:t>p</m:t>
            </m:r>
          </m:sub>
        </m:sSub>
        <m:r>
          <m:rPr>
            <m:sty m:val="p"/>
          </m:rPr>
          <m:t>=</m:t>
        </m:r>
        <m:r>
          <m:t>C</m:t>
        </m:r>
        <m:r>
          <m:t> </m:t>
        </m:r>
        <m:sSub>
          <m:e>
            <m:r>
              <m:t>V</m:t>
            </m:r>
          </m:e>
          <m:sub>
            <m:r>
              <m:t>D</m:t>
            </m:r>
            <m:r>
              <m:t>0</m:t>
            </m:r>
          </m:sub>
        </m:sSub>
        <m:r>
          <m:rPr>
            <m:sty m:val="p"/>
          </m:rPr>
          <m:t>/</m:t>
        </m:r>
        <m:sSub>
          <m:e>
            <m:r>
              <m:t>I</m:t>
            </m:r>
          </m:e>
          <m:sub>
            <m:r>
              <m:t>D</m:t>
            </m:r>
            <m:r>
              <m:t>0</m:t>
            </m:r>
            <m:r>
              <m:rPr>
                <m:sty m:val="p"/>
              </m:rPr>
              <m:t>,</m:t>
            </m:r>
            <m:r>
              <m:t>P</m:t>
            </m:r>
          </m:sub>
        </m:sSub>
      </m:oMath>
      <w:r>
        <w:t xml:space="preserve">, which is the</w:t>
      </w:r>
      <w:r>
        <w:t xml:space="preserve"> </w:t>
      </w:r>
      <m:oMath>
        <m:sSub>
          <m:e>
            <m:r>
              <m:t>C</m:t>
            </m:r>
          </m:e>
          <m:sub>
            <m:r>
              <m:t>L</m:t>
            </m:r>
          </m:sub>
        </m:sSub>
        <m:sSub>
          <m:e>
            <m:r>
              <m:t>R</m:t>
            </m:r>
          </m:e>
          <m:sub>
            <m:r>
              <m:t>3</m:t>
            </m:r>
          </m:sub>
        </m:sSub>
      </m:oMath>
      <w:r>
        <w:t xml:space="preserve"> </w:t>
      </w:r>
      <w:r>
        <w:t xml:space="preserve">of [1, App. B].</w:t>
      </w:r>
    </w:p>
    <w:p>
      <w:pPr>
        <w:pStyle w:val="BodyText"/>
      </w:pPr>
      <w:r>
        <w:t xml:space="preserve">Note that</w:t>
      </w:r>
      <w:r>
        <w:t xml:space="preserve"> </w:t>
      </w:r>
      <m:oMath>
        <m:r>
          <m:t>α</m:t>
        </m:r>
      </m:oMath>
      <w:r>
        <w:t xml:space="preserve"> </w:t>
      </w:r>
      <w:r>
        <w:t xml:space="preserve">appears twice in each term of (15): in the gate factor</w:t>
      </w:r>
      <w:r>
        <w:t xml:space="preserve"> </w:t>
      </w:r>
      <m:oMath>
        <m:sSup>
          <m:e>
            <m:r>
              <m:t>g</m:t>
            </m:r>
          </m:e>
          <m:sup>
            <m:r>
              <m:t>α</m:t>
            </m:r>
          </m:sup>
        </m:sSup>
      </m:oMath>
      <w:r>
        <w:t xml:space="preserve"> </w:t>
      </w:r>
      <w:r>
        <w:t xml:space="preserve">and in the saturation boundary</w:t>
      </w:r>
      <w:r>
        <w:t xml:space="preserve"> </w:t>
      </w:r>
      <m:oMath>
        <m:sSub>
          <m:e>
            <m:r>
              <m:t>x</m:t>
            </m:r>
          </m:e>
          <m:sub>
            <m:r>
              <m:t>0</m:t>
            </m:r>
          </m:sub>
        </m:sSub>
        <m:r>
          <m:t> </m:t>
        </m:r>
        <m:sSup>
          <m:e>
            <m:r>
              <m:t>g</m:t>
            </m:r>
          </m:e>
          <m:sup>
            <m:r>
              <m:t>α</m:t>
            </m:r>
            <m:r>
              <m:rPr>
                <m:sty m:val="p"/>
              </m:rPr>
              <m:t>/</m:t>
            </m:r>
            <m:r>
              <m:t>2</m:t>
            </m:r>
          </m:sup>
        </m:sSup>
      </m:oMath>
      <w:r>
        <w:t xml:space="preserve">.</w:t>
      </w:r>
    </w:p>
    <w:p>
      <w:pPr>
        <w:pStyle w:val="Heading2"/>
      </w:pPr>
      <w:r>
        <w:t xml:space="preserve">E. Reduction to the stage law</w:t>
      </w:r>
    </w:p>
    <w:p>
      <w:pPr>
        <w:pStyle w:val="FirstParagraph"/>
      </w:pPr>
      <w:r>
        <w:t xml:space="preserve">Two approximations reduce (15) to the form used in this work.</w:t>
      </w:r>
    </w:p>
    <w:p>
      <w:pPr>
        <w:pStyle w:val="FirstParagraph"/>
      </w:pPr>
      <w:r>
        <w:rPr>
          <w:i/>
        </w:rPr>
        <w:t xml:space="preserve">A1 (gate exponent).</w:t>
      </w:r>
      <w:r>
        <w:t xml:space="preserve"> In (15) the gate factor is </w:t>
      </w:r>
      <m:oMath>
        <m:r>
          <m:t xml:space="preserve">g</m:t>
        </m:r>
        <m:r>
          <m:rPr>
            <m:sty m:val="p"/>
          </m:rPr>
          <m:t xml:space="preserve">(</m:t>
        </m:r>
        <m:r>
          <m:t xml:space="preserve">u</m:t>
        </m:r>
        <m:sSup>
          <m:e>
            <m:r>
              <m:rPr>
                <m:sty m:val="p"/>
              </m:rPr>
              <m:t xml:space="preserve">)</m:t>
            </m:r>
          </m:e>
          <m:sup>
            <m:r>
              <m:t xml:space="preserve">α</m:t>
            </m:r>
          </m:sup>
        </m:sSup>
      </m:oMath>
      <w:r>
        <w:t xml:space="preserve"> with the measured device exponent </w:t>
      </w:r>
      <m:oMath>
        <m:r>
          <m:t xml:space="preserve">α</m:t>
        </m:r>
      </m:oMath>
      <w:r>
        <w:t xml:space="preserve">, 1.10–1.63 for the devices of Table II. The model keeps the form but treats the exponent as a parameter </w:t>
      </w:r>
      <m:oMath>
        <m:r>
          <m:t xml:space="preserve">p</m:t>
        </m:r>
      </m:oMath>
      <w:r>
        <w:t xml:space="preserve">:</w:t>
      </w:r>
    </w:p>
    <w:p>
      <w:pPr>
        <w:pStyle w:val="BodyText"/>
      </w:pPr>
      <m:oMathPara>
        <m:oMathParaPr>
          <m:jc m:val="center"/>
        </m:oMathParaPr>
        <m:oMath>
          <m:r>
            <m:t xml:space="preserve">h</m:t>
          </m:r>
          <m:r>
            <m:rPr>
              <m:sty m:val="p"/>
            </m:rPr>
            <m:t xml:space="preserve">(</m:t>
          </m:r>
          <m:r>
            <m:t xml:space="preserve">x</m:t>
          </m:r>
          <m:r>
            <m:rPr>
              <m:sty m:val="p"/>
            </m:rPr>
            <m:t xml:space="preserve">)</m:t>
          </m:r>
          <m:r>
            <m:t xml:space="preserve">≜</m:t>
          </m:r>
          <m:r>
            <m:t xml:space="preserve">g</m:t>
          </m:r>
          <m:r>
            <m:rPr>
              <m:sty m:val="p"/>
            </m:rPr>
            <m:t xml:space="preserve">(</m:t>
          </m:r>
          <m:r>
            <m:t xml:space="preserve">x</m:t>
          </m:r>
          <m:sSup>
            <m:e>
              <m:r>
                <m:rPr>
                  <m:sty m:val="p"/>
                </m:rPr>
                <m:t xml:space="preserve">)</m:t>
              </m:r>
            </m:e>
            <m:sup>
              <m:r>
                <m:t xml:space="preserve">p</m:t>
              </m:r>
            </m:sup>
          </m:sSup>
          <m:r>
            <m:rPr>
              <m:sty m:val="p"/>
            </m:rPr>
            <m:t xml:space="preserve">=</m:t>
          </m:r>
          <m:r>
            <m:rPr>
              <m:sty m:val="p"/>
            </m:rPr>
            <m:t xml:space="preserve">clip</m:t>
          </m:r>
          <m:sSup>
            <m:e>
              <m:d>
                <m:dPr>
                  <m:begChr m:val="("/>
                  <m:endChr m:val=")"/>
                  <m:grow/>
                </m:dPr>
                <m:e>
                  <m:f>
                    <m:num>
                      <m:r>
                        <m:t xml:space="preserve">x</m:t>
                      </m:r>
                      <m:r>
                        <m:rPr>
                          <m:sty m:val="p"/>
                        </m:rPr>
                        <m:t xml:space="preserve">−</m:t>
                      </m:r>
                      <m:sSub>
                        <m:e>
                          <m:r>
                            <m:t xml:space="preserve">v</m:t>
                          </m:r>
                        </m:e>
                        <m:sub>
                          <m:r>
                            <m:t xml:space="preserve">t</m:t>
                          </m:r>
                        </m:sub>
                      </m:sSub>
                    </m:num>
                    <m:den>
                      <m:r>
                        <m:rPr>
                          <m:sty m:val="p"/>
                        </m:rPr>
                        <m:t xml:space="preserve">1</m:t>
                      </m:r>
                      <m:r>
                        <m:rPr>
                          <m:sty m:val="p"/>
                        </m:rPr>
                        <m:t xml:space="preserve">−</m:t>
                      </m:r>
                      <m:sSub>
                        <m:e>
                          <m:r>
                            <m:t xml:space="preserve">v</m:t>
                          </m:r>
                        </m:e>
                        <m:sub>
                          <m:r>
                            <m:t xml:space="preserve">t</m:t>
                          </m:r>
                        </m:sub>
                      </m:sSub>
                    </m:den>
                  </m:f>
                  <m:r>
                    <m:rPr>
                      <m:sty m:val="p"/>
                    </m:rPr>
                    <m:t xml:space="preserve">,</m:t>
                  </m:r>
                  <m:r>
                    <m:rPr>
                      <m:sty m:val="p"/>
                    </m:rPr>
                    <m:t xml:space="preserve"> </m:t>
                  </m:r>
                  <m:r>
                    <m:rPr>
                      <m:sty m:val="p"/>
                    </m:rPr>
                    <m:t xml:space="preserve">0</m:t>
                  </m:r>
                  <m:r>
                    <m:rPr>
                      <m:sty m:val="p"/>
                    </m:rPr>
                    <m:t xml:space="preserve">,</m:t>
                  </m:r>
                  <m:r>
                    <m:rPr>
                      <m:sty m:val="p"/>
                    </m:rPr>
                    <m:t xml:space="preserve"> </m:t>
                  </m:r>
                  <m:r>
                    <m:rPr>
                      <m:sty m:val="p"/>
                    </m:rPr>
                    <m:t xml:space="preserve">1</m:t>
                  </m:r>
                </m:e>
              </m:d>
            </m:e>
            <m:sup>
              <m:r>
                <m:t xml:space="preserve">p</m:t>
              </m:r>
            </m:sup>
          </m:sSup>
          <m:r>
            <m:rPr>
              <m:sty m:val="p"/>
            </m:rPr>
            <m:t xml:space="preserve">  (17)</m:t>
          </m:r>
        </m:oMath>
      </m:oMathPara>
    </w:p>
    <w:p>
      <w:pPr>
        <w:pStyle w:val="FirstParagraph"/>
      </w:pPr>
      <w:r>
        <w:t xml:space="preserve">A full-swing waveform cannot set </w:t>
      </w:r>
      <m:oMath>
        <m:r>
          <m:t xml:space="preserve">p</m:t>
        </m:r>
      </m:oMath>
      <w:r>
        <w:t xml:space="preserve">: the stage input dwells near </w:t>
      </w:r>
      <m:oMath>
        <m:r>
          <m:t xml:space="preserve">g</m:t>
        </m:r>
        <m:r>
          <m:rPr>
            <m:sty m:val="p"/>
          </m:rPr>
          <m:t xml:space="preserve">=</m:t>
        </m:r>
        <m:r>
          <m:rPr>
            <m:sty m:val="p"/>
          </m:rPr>
          <m:t xml:space="preserve">1</m:t>
        </m:r>
      </m:oMath>
      <w:r>
        <w:t xml:space="preserve">, where </w:t>
      </w:r>
      <m:oMath>
        <m:sSup>
          <m:e>
            <m:r>
              <m:t xml:space="preserve">g</m:t>
            </m:r>
          </m:e>
          <m:sup>
            <m:r>
              <m:t xml:space="preserve">p</m:t>
            </m:r>
          </m:sup>
        </m:sSup>
        <m:r>
          <m:rPr>
            <m:sty m:val="p"/>
          </m:rPr>
          <m:t xml:space="preserve">=</m:t>
        </m:r>
        <m:r>
          <m:rPr>
            <m:sty m:val="p"/>
          </m:rPr>
          <m:t xml:space="preserve">1</m:t>
        </m:r>
      </m:oMath>
      <w:r>
        <w:t xml:space="preserve"> for every </w:t>
      </w:r>
      <m:oMath>
        <m:r>
          <m:t xml:space="preserve">p</m:t>
        </m:r>
      </m:oMath>
      <w:r>
        <w:t xml:space="preserve"> (Section IV-D). In this work </w:t>
      </w:r>
      <m:oMath>
        <m:r>
          <m:t xml:space="preserve">p</m:t>
        </m:r>
        <m:r>
          <m:rPr>
            <m:sty m:val="p"/>
          </m:rPr>
          <m:t xml:space="preserve">=</m:t>
        </m:r>
        <m:r>
          <m:rPr>
            <m:sty m:val="p"/>
          </m:rPr>
          <m:t xml:space="preserve">1</m:t>
        </m:r>
      </m:oMath>
      <w:r>
        <w:t xml:space="preserve"> is adopted, so (17) reduces to </w:t>
      </w:r>
      <m:oMath>
        <m:r>
          <m:t xml:space="preserve">h</m:t>
        </m:r>
        <m:r>
          <m:rPr>
            <m:sty m:val="p"/>
          </m:rPr>
          <m:t xml:space="preserve">(</m:t>
        </m:r>
        <m:r>
          <m:t xml:space="preserve">x</m:t>
        </m:r>
        <m:r>
          <m:rPr>
            <m:sty m:val="p"/>
          </m:rPr>
          <m:t xml:space="preserve">)</m:t>
        </m:r>
        <m:r>
          <m:rPr>
            <m:sty m:val="p"/>
          </m:rPr>
          <m:t xml:space="preserve">=</m:t>
        </m:r>
        <m:r>
          <m:t xml:space="preserve">g</m:t>
        </m:r>
        <m:r>
          <m:rPr>
            <m:sty m:val="p"/>
          </m:rPr>
          <m:t xml:space="preserve">(</m:t>
        </m:r>
        <m:r>
          <m:t xml:space="preserve">x</m:t>
        </m:r>
        <m:r>
          <m:rPr>
            <m:sty m:val="p"/>
          </m:rPr>
          <m:t xml:space="preserve">)</m:t>
        </m:r>
      </m:oMath>
      <w:r>
        <w:t xml:space="preserve">: A1 drops the measured exponent and makes the drive current linear in the gate above threshold, the short-channel limit of [1]. The parameter </w:t>
      </w:r>
      <m:oMath>
        <m:r>
          <m:t xml:space="preserve">p</m:t>
        </m:r>
      </m:oMath>
      <w:r>
        <w:t xml:space="preserve"> is kept in the formula only so that the exponent can be restored if a measurement supplies it.</w:t>
      </w:r>
    </w:p>
    <w:p>
      <w:pPr>
        <w:pStyle w:val="FirstParagraph"/>
      </w:pPr>
      <w:r>
        <w:rPr>
          <w:i/>
        </w:rPr>
        <w:t xml:space="preserve">A2 (fixed saturation boundary).</w:t>
      </w:r>
      <w:r>
        <w:t xml:space="preserve"> In (15) the boundary between the constant-current ramp and the resistive tail is </w:t>
      </w: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oMath>
      <w:r>
        <w:t xml:space="preserve">: it equals </w:t>
      </w:r>
      <m:oMath>
        <m:sSub>
          <m:e>
            <m:r>
              <m:t xml:space="preserve">x</m:t>
            </m:r>
          </m:e>
          <m:sub>
            <m:r>
              <m:rPr>
                <m:sty m:val="p"/>
              </m:rPr>
              <m:t xml:space="preserve">0</m:t>
            </m:r>
          </m:sub>
        </m:sSub>
      </m:oMath>
      <w:r>
        <w:t xml:space="preserve"> at full drive and shrinks when the gate is only partly on. The model replaces it by a constant that does not depend on the gate:</w:t>
      </w:r>
    </w:p>
    <w:p>
      <w:pPr>
        <w:pStyle w:val="BodyText"/>
      </w:pPr>
      <m:oMathPara>
        <m:oMathParaPr>
          <m:jc m:val="center"/>
        </m:oMathParaPr>
        <m:oMath>
          <m:r>
            <m:t xml:space="preserve">r</m:t>
          </m:r>
          <m:r>
            <m:rPr>
              <m:sty m:val="p"/>
            </m:rPr>
            <m:t xml:space="preserve">(</m:t>
          </m:r>
          <m:r>
            <m:t xml:space="preserve">x</m:t>
          </m:r>
          <m:r>
            <m:rPr>
              <m:sty m:val="p"/>
            </m:rPr>
            <m:t xml:space="preserve">)</m:t>
          </m:r>
          <m:r>
            <m:t xml:space="preserve">≜</m:t>
          </m:r>
          <m:r>
            <m:rPr>
              <m:sty m:val="p"/>
            </m:rPr>
            <m:t xml:space="preserve">min</m:t>
          </m:r>
          <m:d>
            <m:dPr>
              <m:begChr m:val="("/>
              <m:endChr m:val=")"/>
              <m:grow/>
            </m:dPr>
            <m:e>
              <m:r>
                <m:rPr>
                  <m:sty m:val="p"/>
                </m:rPr>
                <m:t xml:space="preserve">1</m:t>
              </m:r>
              <m:r>
                <m:rPr>
                  <m:sty m:val="p"/>
                </m:rPr>
                <m:t xml:space="preserve">,</m:t>
              </m:r>
              <m:r>
                <m:rPr>
                  <m:sty m:val="p"/>
                </m:rPr>
                <m:t xml:space="preserve"> </m:t>
              </m:r>
              <m:f>
                <m:num>
                  <m:r>
                    <m:t xml:space="preserve">x</m:t>
                  </m:r>
                </m:num>
                <m:den>
                  <m:sSub>
                    <m:e>
                      <m:r>
                        <m:t xml:space="preserve">x</m:t>
                      </m:r>
                    </m:e>
                    <m:sub>
                      <m:r>
                        <m:t xml:space="preserve">l</m:t>
                      </m:r>
                      <m:r>
                        <m:t xml:space="preserve">i</m:t>
                      </m:r>
                      <m:r>
                        <m:t xml:space="preserve">n</m:t>
                      </m:r>
                    </m:sub>
                  </m:sSub>
                </m:den>
              </m:f>
            </m:e>
          </m:d>
          <m:r>
            <m:rPr>
              <m:sty m:val="p"/>
            </m:rPr>
            <m:t xml:space="preserve">  (18)</m:t>
          </m:r>
        </m:oMath>
      </m:oMathPara>
    </w:p>
    <w:p>
      <w:pPr>
        <w:pStyle w:val="FirstParagraph"/>
      </w:pPr>
      <w:r>
        <w:t xml:space="preserve">For a known device the natural value is </w:t>
      </w:r>
      <m:oMath>
        <m:sSub>
          <m:e>
            <m:r>
              <m:t xml:space="preserve">x</m:t>
            </m:r>
          </m:e>
          <m:sub>
            <m:r>
              <m:t xml:space="preserve">l</m:t>
            </m:r>
            <m:r>
              <m:t xml:space="preserve">i</m:t>
            </m:r>
            <m:r>
              <m:t xml:space="preserve">n</m:t>
            </m:r>
          </m:sub>
        </m:sSub>
        <m:r>
          <m:rPr>
            <m:sty m:val="p"/>
          </m:rPr>
          <m:t xml:space="preserve">=</m:t>
        </m:r>
        <m:sSub>
          <m:e>
            <m:r>
              <m:t xml:space="preserve">x</m:t>
            </m:r>
          </m:e>
          <m:sub>
            <m:r>
              <m:rPr>
                <m:sty m:val="p"/>
              </m:rPr>
              <m:t xml:space="preserve">0</m:t>
            </m:r>
          </m:sub>
        </m:sSub>
      </m:oMath>
      <w:r>
        <w:t xml:space="preserve">, and at </w:t>
      </w:r>
      <m:oMath>
        <m:r>
          <m:t xml:space="preserve">g</m:t>
        </m:r>
        <m:r>
          <m:rPr>
            <m:sty m:val="p"/>
          </m:rPr>
          <m:t xml:space="preserve">=</m:t>
        </m:r>
        <m:r>
          <m:rPr>
            <m:sty m:val="p"/>
          </m:rPr>
          <m:t xml:space="preserve">1</m:t>
        </m:r>
      </m:oMath>
      <w:r>
        <w:t xml:space="preserve"> (18) then coincides with (15); the two differ only under partial drive. The model never knows the device, so the constant is given its own name: </w:t>
      </w:r>
      <m:oMath>
        <m:sSub>
          <m:e>
            <m:r>
              <m:t xml:space="preserve">x</m:t>
            </m:r>
          </m:e>
          <m:sub>
            <m:r>
              <m:t xml:space="preserve">l</m:t>
            </m:r>
            <m:r>
              <m:t xml:space="preserve">i</m:t>
            </m:r>
            <m:r>
              <m:t xml:space="preserve">n</m:t>
            </m:r>
          </m:sub>
        </m:sSub>
      </m:oMath>
      <w:r>
        <w:t xml:space="preserve"> is an effective number, set to 0.45 in this work for the reasons given after Fig. 2, and the measured </w:t>
      </w:r>
      <m:oMath>
        <m:sSub>
          <m:e>
            <m:r>
              <m:t xml:space="preserve">x</m:t>
            </m:r>
          </m:e>
          <m:sub>
            <m:r>
              <m:rPr>
                <m:sty m:val="p"/>
              </m:rPr>
              <m:t xml:space="preserve">0</m:t>
            </m:r>
          </m:sub>
        </m:sSub>
      </m:oMath>
      <w:r>
        <w:t xml:space="preserve"> of Table II (0.34–0.57) is only a check on it.</w:t>
      </w:r>
    </w:p>
    <w:p>
      <w:pPr>
        <w:pStyle w:val="BodyText"/>
      </w:pPr>
      <w:r>
        <w:t xml:space="preserve">Applying (17) and (18) to (15) yields the stage law:</w:t>
      </w:r>
    </w:p>
    <w:p>
      <w:pPr>
        <w:pStyle w:val="BodyText"/>
      </w:pPr>
      <m:oMathPara>
        <m:oMathParaPr>
          <m:jc m:val="center"/>
        </m:oMathParaPr>
        <m:oMath>
          <m:f>
            <m:fPr>
              <m:type m:val="bar"/>
            </m:fPr>
            <m:num>
              <m:r>
                <m:t>d</m:t>
              </m:r>
              <m:r>
                <m:t>v</m:t>
              </m:r>
            </m:num>
            <m:den>
              <m:r>
                <m:t>d</m:t>
              </m:r>
              <m:r>
                <m:t>t</m:t>
              </m:r>
            </m:den>
          </m:f>
          <m:r>
            <m:rPr>
              <m:sty m:val="p"/>
            </m:rPr>
            <m:t>=</m:t>
          </m:r>
          <m:sSub>
            <m:e>
              <m:r>
                <m:t>s</m:t>
              </m:r>
            </m:e>
            <m:sub>
              <m:r>
                <m:rPr>
                  <m:sty m:val="p"/>
                </m:rPr>
                <m:t>u</m:t>
              </m:r>
              <m:r>
                <m:rPr>
                  <m:sty m:val="p"/>
                </m:rPr>
                <m:t>p</m:t>
              </m:r>
            </m:sub>
          </m:sSub>
          <m:r>
            <m:t> </m:t>
          </m:r>
          <m:r>
            <m:t>h</m:t>
          </m:r>
          <m:d>
            <m:dPr>
              <m:begChr m:val="("/>
              <m:endChr m:val=")"/>
              <m:sepChr m:val=""/>
              <m:grow/>
            </m:dPr>
            <m:e>
              <m:r>
                <m:t>u</m:t>
              </m:r>
            </m:e>
          </m:d>
          <m:r>
            <m:t> </m:t>
          </m:r>
          <m:r>
            <m:t>r</m:t>
          </m:r>
          <m:d>
            <m:dPr>
              <m:begChr m:val="("/>
              <m:endChr m:val=")"/>
              <m:sepChr m:val=""/>
              <m:grow/>
            </m:dPr>
            <m:e>
              <m:r>
                <m:t>1</m:t>
              </m:r>
              <m:r>
                <m:rPr>
                  <m:sty m:val="p"/>
                </m:rPr>
                <m:t>−</m:t>
              </m:r>
              <m:r>
                <m:t>v</m:t>
              </m:r>
            </m:e>
          </m:d>
          <m:r>
            <m:rPr>
              <m:sty m:val="p"/>
            </m:rPr>
            <m:t>−</m:t>
          </m:r>
          <m:sSub>
            <m:e>
              <m:r>
                <m:t>s</m:t>
              </m:r>
            </m:e>
            <m:sub>
              <m:r>
                <m:rPr>
                  <m:sty m:val="p"/>
                </m:rPr>
                <m:t>d</m:t>
              </m:r>
              <m:r>
                <m:rPr>
                  <m:sty m:val="p"/>
                </m:rPr>
                <m:t>n</m:t>
              </m:r>
            </m:sub>
          </m:sSub>
          <m:r>
            <m:t> </m:t>
          </m:r>
          <m:r>
            <m:t>h</m:t>
          </m:r>
          <m:d>
            <m:dPr>
              <m:begChr m:val="("/>
              <m:endChr m:val=")"/>
              <m:sepChr m:val=""/>
              <m:grow/>
            </m:dPr>
            <m:e>
              <m:r>
                <m:t>1</m:t>
              </m:r>
              <m:r>
                <m:rPr>
                  <m:sty m:val="p"/>
                </m:rPr>
                <m:t>−</m:t>
              </m:r>
              <m:r>
                <m:t>u</m:t>
              </m:r>
            </m:e>
          </m:d>
          <m:r>
            <m:t> </m:t>
          </m:r>
          <m:r>
            <m:t>r</m:t>
          </m:r>
          <m:d>
            <m:dPr>
              <m:begChr m:val="("/>
              <m:endChr m:val=")"/>
              <m:sepChr m:val=""/>
              <m:grow/>
            </m:dPr>
            <m:e>
              <m:r>
                <m:t>v</m:t>
              </m:r>
            </m:e>
          </m:d>
          <m:r>
            <m:t>  </m:t>
          </m:r>
          <m:r>
            <m:t>  </m:t>
          </m:r>
          <m:d>
            <m:dPr>
              <m:begChr m:val="("/>
              <m:endChr m:val=")"/>
              <m:sepChr m:val=""/>
              <m:grow/>
            </m:dPr>
            <m:e>
              <m:r>
                <m:t>19</m:t>
              </m:r>
            </m:e>
          </m:d>
        </m:oMath>
      </m:oMathPara>
    </w:p>
    <w:p>
      <w:pPr>
        <w:pStyle w:val="FirstParagraph"/>
      </w:pPr>
      <w:r>
        <w:t xml:space="preserve">Comparing (19) with (15) term by term:</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t>
      </w:r>
      <w:r>
        <w:t xml:space="preserve">are unchanged;</w:t>
      </w:r>
      <w:r>
        <w:t xml:space="preserve"> </w:t>
      </w:r>
      <m:oMath>
        <m:r>
          <m:t>h</m:t>
        </m:r>
        <m:d>
          <m:dPr>
            <m:begChr m:val="("/>
            <m:endChr m:val=")"/>
            <m:sepChr m:val=""/>
            <m:grow/>
          </m:dPr>
          <m:e>
            <m:r>
              <m:t>u</m:t>
            </m:r>
          </m:e>
        </m:d>
      </m:oMath>
      <w:r>
        <w:t xml:space="preserve"> </w:t>
      </w:r>
      <w:r>
        <w:t xml:space="preserve">replaces</w:t>
      </w:r>
      <w:r>
        <w:t xml:space="preserve"> </w:t>
      </w:r>
      <m:oMath>
        <m:r>
          <m:t>g</m:t>
        </m:r>
        <m:sSup>
          <m:e>
            <m:d>
              <m:dPr>
                <m:begChr m:val="("/>
                <m:endChr m:val=")"/>
                <m:sepChr m:val=""/>
                <m:grow/>
              </m:dPr>
              <m:e>
                <m:r>
                  <m:t>u</m:t>
                </m:r>
              </m:e>
            </m:d>
          </m:e>
          <m:sup>
            <m:r>
              <m:t>α</m:t>
            </m:r>
          </m:sup>
        </m:sSup>
      </m:oMath>
      <w:r>
        <w:t xml:space="preserve"> </w:t>
      </w:r>
      <w:r>
        <w:t xml:space="preserve">(A1);</w:t>
      </w:r>
      <w:r>
        <w:t xml:space="preserve"> </w:t>
      </w:r>
      <m:oMath>
        <m:r>
          <m:t>r</m:t>
        </m:r>
        <m:d>
          <m:dPr>
            <m:begChr m:val="("/>
            <m:endChr m:val=")"/>
            <m:sepChr m:val=""/>
            <m:grow/>
          </m:dPr>
          <m:e>
            <m:r>
              <m:rPr>
                <m:sty m:val="p"/>
              </m:rPr>
              <m:t>⋅</m:t>
            </m:r>
          </m:e>
        </m:d>
      </m:oMath>
      <w:r>
        <w:t xml:space="preserve"> </w:t>
      </w:r>
      <w:r>
        <w:t xml:space="preserve">replaces the drive-dependent drain factor (A2). The second appearance of the gate drive in (15), inside the boundary, is the only structural element removed.</w:t>
      </w:r>
    </w:p>
    <w:p>
      <w:pPr>
        <w:pStyle w:val="CaptionedFigure"/>
        <w:jc w:val="center"/>
      </w:pPr>
      <w:r>
        <w:drawing>
          <wp:inline distT="0" distB="0" distL="0" distR="0">
            <wp:extent cx="5669280" cy="2632019"/>
            <wp:docPr id="102" name="Figure 2"/>
            <wp:cNvGraphicFramePr>
              <a:graphicFrameLocks noChangeAspect="1"/>
            </wp:cNvGraphicFramePr>
            <a:graphic>
              <a:graphicData uri="http://schemas.openxmlformats.org/drawingml/2006/picture">
                <pic:pic>
                  <pic:nvPicPr>
                    <pic:cNvPr id="102" name="fig2.png"/>
                    <pic:cNvPicPr/>
                  </pic:nvPicPr>
                  <pic:blipFill>
                    <a:blip r:embed="rIdFig2"/>
                    <a:stretch>
                      <a:fillRect/>
                    </a:stretch>
                  </pic:blipFill>
                  <pic:spPr>
                    <a:xfrm>
                      <a:off x="0" y="0"/>
                      <a:ext cx="5669280" cy="2632019"/>
                    </a:xfrm>
                    <a:prstGeom prst="rect">
                      <a:avLst/>
                    </a:prstGeom>
                  </pic:spPr>
                </pic:pic>
              </a:graphicData>
            </a:graphic>
          </wp:inline>
        </w:drawing>
      </w:r>
    </w:p>
    <w:p>
      <w:pPr>
        <w:pStyle w:val="ImageCaption"/>
      </w:pPr>
      <w:r>
        <w:t xml:space="preserve">Fig. 2. The stage law (19). (a) Gate factor </w:t>
      </w:r>
      <m:oMath>
        <m:r>
          <m:t xml:space="preserve">h</m:t>
        </m:r>
        <m:r>
          <m:rPr>
            <m:sty m:val="p"/>
          </m:rPr>
          <m:t xml:space="preserve">(</m:t>
        </m:r>
        <m:r>
          <m:t xml:space="preserve">u</m:t>
        </m:r>
        <m:r>
          <m:rPr>
            <m:sty m:val="p"/>
          </m:rPr>
          <m:t xml:space="preserve">)</m:t>
        </m:r>
      </m:oMath>
      <w:r>
        <w:t xml:space="preserve"> of (17) for three exponents. (b) Drain factor of the charging term: the fixed boundary of (18) against the drive-dependent boundary of (15) at three gate drives (</w:t>
      </w:r>
      <m:oMath>
        <m:r>
          <m:t xml:space="preserve">α</m:t>
        </m:r>
        <m:r>
          <m:rPr>
            <m:sty m:val="p"/>
          </m:rPr>
          <m:t xml:space="preserve">=</m:t>
        </m:r>
        <m:r>
          <m:rPr>
            <m:sty m:val="p"/>
          </m:rPr>
          <m:t xml:space="preserve">1</m:t>
        </m:r>
      </m:oMath>
      <w:r>
        <w:t xml:space="preserve">, </w:t>
      </w:r>
      <m:oMath>
        <m:sSub>
          <m:e>
            <m:r>
              <m:t xml:space="preserve">x</m:t>
            </m:r>
          </m:e>
          <m:sub>
            <m:r>
              <m:rPr>
                <m:sty m:val="p"/>
              </m:rPr>
              <m:t xml:space="preserve">0</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(c) One stage's response to an input step: a constant-slope ramp, then an exponential approach to the rail.</w:t>
      </w:r>
    </w:p>
    <w:p>
      <w:pPr>
        <w:pStyle w:val="FirstParagraph"/>
      </w:pPr>
      <w:r>
        <w:t xml:space="preserve">The value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is a built-in constant of the method, not a quantity read from the IBIS file. It was chosen during development from fits of (19) to the individual probed predriver stages of two test buffers (0.37–0.47 on ex2, 0.52–0.63 on inv_chain); fitted to the probed gate with </w:t>
      </w:r>
      <m:oMath>
        <m:sSub>
          <m:e>
            <m:r>
              <m:t xml:space="preserve">x</m:t>
            </m:r>
          </m:e>
          <m:sub>
            <m:r>
              <m:t xml:space="preserve">l</m:t>
            </m:r>
            <m:r>
              <m:t xml:space="preserve">i</m:t>
            </m:r>
            <m:r>
              <m:t xml:space="preserve">n</m:t>
            </m:r>
          </m:sub>
        </m:sSub>
      </m:oMath>
      <w:r>
        <w:t xml:space="preserve"> free, the chain gives 0.41 and 0.48, the measured </w:t>
      </w:r>
      <m:oMath>
        <m:sSub>
          <m:e>
            <m:r>
              <m:t xml:space="preserve">x</m:t>
            </m:r>
          </m:e>
          <m:sub>
            <m:r>
              <m:rPr>
                <m:sty m:val="p"/>
              </m:rPr>
              <m:t xml:space="preserve">0</m:t>
            </m:r>
          </m:sub>
        </m:sSub>
      </m:oMath>
      <w:r>
        <w:t xml:space="preserve"> of Table II is 0.34–0.57, and [1] uses 0.5–0.55. In the pad-level tests of Section V it is fixed at 0.45 on ten of the twelve buffers and fitted on inv_chain and io_buf; Section IV-D shows why the file constrains it only weakly. As a check that (19) is the model of [1] and not merely similar to it, one stage with </w:t>
      </w:r>
      <m:oMath>
        <m:r>
          <m:t xml:space="preserve">p</m:t>
        </m:r>
        <m:r>
          <m:rPr>
            <m:sty m:val="p"/>
          </m:rPr>
          <m:t xml:space="preserve">=</m:t>
        </m:r>
        <m:r>
          <m:t xml:space="preserve">α</m:t>
        </m:r>
      </m:oMath>
      <w:r>
        <w:t xml:space="preserve"> driven by a linear input ramp reproduces the closed-form delay of [1, eq. (5)] within 4 ps for input ramps of 0.05 to 0.8 ns.</w:t>
      </w:r>
    </w:p>
    <w:p>
      <w:pPr>
        <w:pStyle w:val="BodyText"/>
      </w:pPr>
      <w:r>
        <w:t xml:space="preserve">For a falling output, (8) becomes</w:t>
      </w:r>
      <w:r>
        <w:t xml:space="preserve"> </w:t>
      </w:r>
      <m:oMath>
        <m:r>
          <m:t>v</m:t>
        </m:r>
        <m:r>
          <m:rPr>
            <m:sty m:val="p"/>
          </m:rPr>
          <m:t>=</m:t>
        </m:r>
        <m:d>
          <m:dPr>
            <m:begChr m:val="("/>
            <m:endChr m:val=")"/>
            <m:sepChr m:val=""/>
            <m:grow/>
          </m:dPr>
          <m:e>
            <m:sSub>
              <m:e>
                <m:r>
                  <m:t>V</m:t>
                </m:r>
              </m:e>
              <m:sub>
                <m:r>
                  <m:t>D</m:t>
                </m:r>
                <m:r>
                  <m:t>D</m:t>
                </m:r>
              </m:sub>
            </m:sSub>
            <m:r>
              <m:rPr>
                <m:sty m:val="p"/>
              </m:rPr>
              <m:t>−</m:t>
            </m:r>
            <m:sSub>
              <m:e>
                <m:r>
                  <m:t>V</m:t>
                </m:r>
              </m:e>
              <m:sub>
                <m:r>
                  <m:t>o</m:t>
                </m:r>
              </m:sub>
            </m:sSub>
          </m:e>
        </m:d>
        <m:r>
          <m:rPr>
            <m:sty m:val="p"/>
          </m:rPr>
          <m:t>/</m:t>
        </m:r>
        <m:sSub>
          <m:e>
            <m:r>
              <m:t>V</m:t>
            </m:r>
          </m:e>
          <m:sub>
            <m:r>
              <m:t>D</m:t>
            </m:r>
            <m:r>
              <m:t>D</m:t>
            </m:r>
          </m:sub>
        </m:sSub>
      </m:oMath>
      <w:r>
        <w:t xml:space="preserve"> </w:t>
      </w:r>
      <w:r>
        <w:t xml:space="preserve">and</w:t>
      </w:r>
      <w:r>
        <w:t xml:space="preserve"> </w:t>
      </w:r>
      <m:oMath>
        <m:r>
          <m:t>u</m:t>
        </m:r>
        <m:r>
          <m:rPr>
            <m:sty m:val="p"/>
          </m:rPr>
          <m:t>=</m:t>
        </m:r>
        <m:sSub>
          <m:e>
            <m:r>
              <m:t>V</m:t>
            </m:r>
          </m:e>
          <m:sub>
            <m:r>
              <m:t>i</m:t>
            </m:r>
            <m:r>
              <m:t>n</m:t>
            </m:r>
          </m:sub>
        </m:sSub>
        <m:r>
          <m:rPr>
            <m:sty m:val="p"/>
          </m:rPr>
          <m:t>/</m:t>
        </m:r>
        <m:sSub>
          <m:e>
            <m:r>
              <m:t>V</m:t>
            </m:r>
          </m:e>
          <m:sub>
            <m:r>
              <m:t>D</m:t>
            </m:r>
            <m:r>
              <m:t>D</m:t>
            </m:r>
          </m:sub>
        </m:sSub>
      </m:oMath>
      <w:r>
        <w:t xml:space="preserve">; (10) exchanges the P and N rows, and (19) is unchanged.</w:t>
      </w:r>
    </w:p>
    <w:p>
      <w:pPr>
        <w:pStyle w:val="Heading1"/>
      </w:pPr>
      <w:r>
        <w:t xml:space="preserve">III. The Buffer Model</w:t>
      </w:r>
    </w:p>
    <w:p>
      <w:pPr>
        <w:pStyle w:val="FirstParagraph"/>
      </w:pPr>
      <w:r>
        <w:t xml:space="preserve">Equation (19) describes one stage. This section assembles the buffer: </w:t>
      </w:r>
      <m:oMath>
        <m:r>
          <m:t xml:space="preserve">K</m:t>
        </m:r>
      </m:oMath>
      <w:r>
        <w:t xml:space="preserve"> stages in a chain, the map from the gate of the output device to its conducting fraction, and the pad current, which is the existing model's and is unchanged.</w:t>
      </w:r>
    </w:p>
    <w:p>
      <w:pPr>
        <w:pStyle w:val="Heading2"/>
      </w:pPr>
      <w:r>
        <w:t xml:space="preserve">A. Signal path</w:t>
      </w:r>
    </w:p>
    <w:p>
      <w:pPr>
        <w:pStyle w:val="FirstParagraph"/>
      </w:pPr>
      <w:r>
        <w:t xml:space="preserve">Fig. 3 shows the signal path. A comparator turns the input pin into a 0-or-1 command; </w:t>
      </w:r>
      <m:oMath>
        <m:r>
          <m:t xml:space="preserve">K</m:t>
        </m:r>
      </m:oMath>
      <w:r>
        <w:t xml:space="preserve"> identical stages obeying (19) pass it along, each adding delay and rounding the edge; the output of the last stage is the gate of the output pull-up device on a 0-to-1 scale; a static map </w:t>
      </w:r>
      <m:oMath>
        <m:r>
          <m:t xml:space="preserve">M</m:t>
        </m:r>
      </m:oMath>
      <w:r>
        <w:t xml:space="preserve"> turns the gate into </w:t>
      </w:r>
      <m:oMath>
        <m:sSub>
          <m:e>
            <m:r>
              <m:t xml:space="preserve">K</m:t>
            </m:r>
          </m:e>
          <m:sub>
            <m:r>
              <m:t xml:space="preserve">u</m:t>
            </m:r>
          </m:sub>
        </m:sSub>
      </m:oMath>
      <w:r>
        <w:t xml:space="preserve">, and its complement into </w:t>
      </w:r>
      <m:oMath>
        <m:sSub>
          <m:e>
            <m:r>
              <m:t xml:space="preserve">K</m:t>
            </m:r>
          </m:e>
          <m:sub>
            <m:r>
              <m:t xml:space="preserve">d</m:t>
            </m:r>
          </m:sub>
        </m:sSub>
      </m:oMath>
      <w:r>
        <w:t xml:space="preserve">; and the fractions scale the I–V tables of the file to give the current into the die node, which </w:t>
      </w:r>
      <m:oMath>
        <m:sSub>
          <m:e>
            <m:r>
              <m:t xml:space="preserve">C</m:t>
            </m:r>
          </m:e>
          <m:sub>
            <m:r>
              <m:t xml:space="preserve">c</m:t>
            </m:r>
            <m:r>
              <m:t xml:space="preserve">o</m:t>
            </m:r>
            <m:r>
              <m:t xml:space="preserve">m</m:t>
            </m:r>
            <m:r>
              <m:t xml:space="preserve">p</m:t>
            </m:r>
          </m:sub>
        </m:sSub>
      </m:oMath>
      <w:r>
        <w:t xml:space="preserve"> and the package turn into the pad voltage. The proposed method replaces only how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w:t>
      </w:r>
    </w:p>
    <w:p>
      <w:pPr>
        <w:pStyle w:val="CaptionedFigure"/>
        <w:jc w:val="center"/>
      </w:pPr>
      <w:r>
        <w:drawing>
          <wp:inline distT="0" distB="0" distL="0" distR="0">
            <wp:extent cx="5760720" cy="2304288"/>
            <wp:docPr id="103" name="Figure 3"/>
            <wp:cNvGraphicFramePr>
              <a:graphicFrameLocks noChangeAspect="1"/>
            </wp:cNvGraphicFramePr>
            <a:graphic>
              <a:graphicData uri="http://schemas.openxmlformats.org/drawingml/2006/picture">
                <pic:pic>
                  <pic:nvPicPr>
                    <pic:cNvPr id="103" name="fig3.png"/>
                    <pic:cNvPicPr/>
                  </pic:nvPicPr>
                  <pic:blipFill>
                    <a:blip r:embed="rIdFig3"/>
                    <a:stretch>
                      <a:fillRect/>
                    </a:stretch>
                  </pic:blipFill>
                  <pic:spPr>
                    <a:xfrm>
                      <a:off x="0" y="0"/>
                      <a:ext cx="5760720" cy="2304288"/>
                    </a:xfrm>
                    <a:prstGeom prst="rect">
                      <a:avLst/>
                    </a:prstGeom>
                  </pic:spPr>
                </pic:pic>
              </a:graphicData>
            </a:graphic>
          </wp:inline>
        </w:drawing>
      </w:r>
    </w:p>
    <w:p>
      <w:pPr>
        <w:pStyle w:val="ImageCaption"/>
      </w:pPr>
      <w:r>
        <w:t xml:space="preserve">Fig. 3. Signal path of the model. The teal blocks replace the way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 the I–V tables, </w:t>
      </w:r>
      <m:oMath>
        <m:sSub>
          <m:e>
            <m:r>
              <m:t xml:space="preserve">C</m:t>
            </m:r>
          </m:e>
          <m:sub>
            <m:r>
              <m:t xml:space="preserve">c</m:t>
            </m:r>
            <m:r>
              <m:t xml:space="preserve">o</m:t>
            </m:r>
            <m:r>
              <m:t xml:space="preserve">m</m:t>
            </m:r>
            <m:r>
              <m:t xml:space="preserve">p</m:t>
            </m:r>
          </m:sub>
        </m:sSub>
      </m:oMath>
      <w:r>
        <w:t xml:space="preserve"> and the package are those of the IBIS file. Numbers in parentheses are equation numbers.</w:t>
      </w:r>
    </w:p>
    <w:p>
      <w:pPr>
        <w:pStyle w:val="Heading2"/>
      </w:pPr>
      <w:r>
        <w:t xml:space="preserve">B. The chain</w:t>
      </w:r>
    </w:p>
    <w:p>
      <w:pPr>
        <w:pStyle w:val="FirstParagraph"/>
      </w:pPr>
      <w:r>
        <w:t xml:space="preserve">The predriver is modeled as </w:t>
      </w:r>
      <m:oMath>
        <m:r>
          <m:t xml:space="preserve">K</m:t>
        </m:r>
      </m:oMath>
      <w:r>
        <w:t xml:space="preserve"> stages, each obeying (19) with one shared parameter set </w:t>
      </w:r>
      <m:oMath>
        <m:r>
          <m:t xml:space="preserve">{</m:t>
        </m:r>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sSub>
          <m:e>
            <m:r>
              <m:t xml:space="preserve">v</m:t>
            </m:r>
          </m:e>
          <m:sub>
            <m:r>
              <m:t xml:space="preserve">t</m:t>
            </m:r>
          </m:sub>
        </m:sSub>
        <m:r>
          <m:rPr>
            <m:sty m:val="p"/>
          </m:rPr>
          <m:t xml:space="preserve">,</m:t>
        </m:r>
        <m:sSub>
          <m:e>
            <m:r>
              <m:t xml:space="preserve">x</m:t>
            </m:r>
          </m:e>
          <m:sub>
            <m:r>
              <m:t xml:space="preserve">l</m:t>
            </m:r>
            <m:r>
              <m:t xml:space="preserve">i</m:t>
            </m:r>
            <m:r>
              <m:t xml:space="preserve">n</m:t>
            </m:r>
          </m:sub>
        </m:sSub>
        <m:r>
          <m:rPr>
            <m:sty m:val="p"/>
          </m:rPr>
          <m:t xml:space="preserve">,</m:t>
        </m:r>
        <m:r>
          <m:t xml:space="preserve">p</m:t>
        </m:r>
        <m:r>
          <m:t xml:space="preserve">}</m:t>
        </m:r>
      </m:oMath>
      <w:r>
        <w:t xml:space="preserve"> (approximation A3, identical normalized stages). Because (8) expresses every node as its own progress from 0 to 1, an inverting stage needs no sign: each stage's output is the next stage's input. The first stage is driven by a comparator on the input pin at half the supply, and the output of the last stage is the gate of the output pull-up device, with the pull-down gate its complement:</w:t>
      </w:r>
    </w:p>
    <w:p>
      <w:pPr>
        <w:pStyle w:val="BodyText"/>
      </w:pPr>
      <m:oMathPara>
        <m:oMathParaPr>
          <m:jc m:val="center"/>
        </m:oMathParaPr>
        <m:oMath>
          <m:sSub>
            <m:e>
              <m:r>
                <m:t xml:space="preserve">u</m:t>
              </m:r>
            </m:e>
            <m:sub>
              <m:r>
                <m:rPr>
                  <m:sty m:val="p"/>
                </m:rPr>
                <m:t xml:space="preserve">1</m:t>
              </m:r>
            </m:sub>
          </m:sSub>
          <m:r>
            <m:rPr>
              <m:sty m:val="p"/>
            </m:rPr>
            <m:t xml:space="preserve">(</m:t>
          </m:r>
          <m:r>
            <m:t xml:space="preserve">t</m:t>
          </m:r>
          <m:r>
            <m:rPr>
              <m:sty m:val="p"/>
            </m:rPr>
            <m:t xml:space="preserve">)</m:t>
          </m:r>
          <m:r>
            <m:rPr>
              <m:sty m:val="p"/>
            </m:rPr>
            <m:t xml:space="preserve">=</m:t>
          </m:r>
          <m:r>
            <m:rPr>
              <m:sty m:val="p"/>
            </m:rPr>
            <m:t xml:space="preserve">1</m:t>
          </m:r>
          <m:r>
            <m:rPr>
              <m:sty m:val="p"/>
            </m:rPr>
            <m:t xml:space="preserve"> </m:t>
          </m:r>
          <m:r>
            <m:rPr>
              <m:nor/>
            </m:rPr>
            <m:t xml:space="preserve">if</m:t>
          </m:r>
          <m:r>
            <m:rPr>
              <m:sty m:val="p"/>
            </m:rPr>
            <m:t xml:space="preserve"> </m:t>
          </m:r>
          <m:sSub>
            <m:e>
              <m:r>
                <m:t xml:space="preserve">V</m:t>
              </m:r>
            </m:e>
            <m:sub>
              <m:r>
                <m:t xml:space="preserve">i</m:t>
              </m:r>
              <m:r>
                <m:t xml:space="preserve">n</m:t>
              </m:r>
            </m:sub>
          </m:sSub>
          <m:r>
            <m:rPr>
              <m:sty m:val="p"/>
            </m:rPr>
            <m:t xml:space="preserve">(</m:t>
          </m:r>
          <m:r>
            <m:t xml:space="preserve">t</m:t>
          </m:r>
          <m:r>
            <m:rPr>
              <m:sty m:val="p"/>
            </m:rPr>
            <m:t xml:space="preserve">)</m:t>
          </m:r>
          <m:r>
            <m:rPr>
              <m:sty m:val="p"/>
            </m:rPr>
            <m:t xml:space="preserve">&gt;</m:t>
          </m:r>
          <m:sSub>
            <m:e>
              <m:r>
                <m:t xml:space="preserve">V</m:t>
              </m:r>
            </m:e>
            <m:sub>
              <m:r>
                <m:t xml:space="preserve">D</m:t>
              </m:r>
              <m:r>
                <m:t xml:space="preserve">D</m:t>
              </m:r>
            </m:sub>
          </m:sSub>
          <m:r>
            <m:rPr>
              <m:sty m:val="p"/>
            </m:rPr>
            <m:t xml:space="preserve">/</m:t>
          </m:r>
          <m:r>
            <m:rPr>
              <m:sty m:val="p"/>
            </m:rPr>
            <m:t xml:space="preserve">2</m:t>
          </m:r>
          <m:r>
            <m:rPr>
              <m:sty m:val="p"/>
            </m:rPr>
            <m:t xml:space="preserve">,</m:t>
          </m:r>
          <m:r>
            <m:rPr>
              <m:sty m:val="p"/>
            </m:rPr>
            <m:t xml:space="preserve"> </m:t>
          </m:r>
          <m:r>
            <m:rPr>
              <m:nor/>
            </m:rPr>
            <m:t xml:space="preserve">else</m:t>
          </m:r>
          <m:r>
            <m:rPr>
              <m:sty m:val="p"/>
            </m:rPr>
            <m:t xml:space="preserve"> </m:t>
          </m:r>
          <m:r>
            <m:rPr>
              <m:sty m:val="p"/>
            </m:rPr>
            <m:t xml:space="preserve">0</m:t>
          </m:r>
          <m:r>
            <m:rPr>
              <m:sty m:val="p"/>
            </m:rPr>
            <m:t xml:space="preserve">;</m:t>
          </m:r>
          <m:r>
            <m:rPr>
              <m:sty m:val="p"/>
            </m:rPr>
            <m:t xml:space="preserve"> </m:t>
          </m:r>
          <m:sSub>
            <m:e>
              <m:r>
                <m:t xml:space="preserve">u</m:t>
              </m:r>
            </m:e>
            <m:sub>
              <m:r>
                <m:t xml:space="preserve">k</m:t>
              </m:r>
              <m:r>
                <m:rPr>
                  <m:sty m:val="p"/>
                </m:rPr>
                <m:t xml:space="preserve">+</m:t>
              </m:r>
              <m:r>
                <m:rPr>
                  <m:sty m:val="p"/>
                </m:rPr>
                <m:t xml:space="preserve">1</m:t>
              </m:r>
            </m:sub>
          </m:sSub>
          <m:r>
            <m:rPr>
              <m:sty m:val="p"/>
            </m:rPr>
            <m:t xml:space="preserve">(</m:t>
          </m:r>
          <m:r>
            <m:t xml:space="preserve">t</m:t>
          </m:r>
          <m:r>
            <m:rPr>
              <m:sty m:val="p"/>
            </m:rPr>
            <m:t xml:space="preserve">)</m:t>
          </m:r>
          <m:r>
            <m:rPr>
              <m:sty m:val="p"/>
            </m:rPr>
            <m:t xml:space="preserve">=</m:t>
          </m:r>
          <m:sSub>
            <m:e>
              <m:r>
                <m:t xml:space="preserve">v</m:t>
              </m:r>
            </m:e>
            <m:sub>
              <m:r>
                <m:t xml:space="preserve">k</m:t>
              </m:r>
            </m:sub>
          </m:sSub>
          <m:r>
            <m:rPr>
              <m:sty m:val="p"/>
            </m:rPr>
            <m:t xml:space="preserve">(</m:t>
          </m:r>
          <m:r>
            <m:t xml:space="preserve">t</m:t>
          </m:r>
          <m:r>
            <m:rPr>
              <m:sty m:val="p"/>
            </m:rPr>
            <m:t xml:space="preserve">)</m:t>
          </m:r>
          <m:r>
            <m:rPr>
              <m:sty m:val="p"/>
            </m:rPr>
            <m:t xml:space="preserve">,</m:t>
          </m:r>
          <m:r>
            <m:rPr>
              <m:sty m:val="p"/>
            </m:rPr>
            <m:t xml:space="preserve"> </m:t>
          </m:r>
          <m:r>
            <m:t xml:space="preserve">k</m:t>
          </m:r>
          <m:r>
            <m:rPr>
              <m:sty m:val="p"/>
            </m:rPr>
            <m:t xml:space="preserve">=</m:t>
          </m:r>
          <m:r>
            <m:rPr>
              <m:sty m:val="p"/>
            </m:rPr>
            <m:t xml:space="preserve">1</m:t>
          </m:r>
          <m:r>
            <m:rPr>
              <m:sty m:val="p"/>
            </m:rPr>
            <m:t xml:space="preserve">,</m:t>
          </m:r>
          <m:r>
            <m:t xml:space="preserve">…</m:t>
          </m:r>
          <m:r>
            <m:rPr>
              <m:sty m:val="p"/>
            </m:rPr>
            <m:t xml:space="preserve">,</m:t>
          </m:r>
          <m:r>
            <m:t xml:space="preserve">K</m:t>
          </m:r>
          <m:r>
            <m:rPr>
              <m:sty m:val="p"/>
            </m:rPr>
            <m:t xml:space="preserve">−</m:t>
          </m:r>
          <m:r>
            <m:rPr>
              <m:sty m:val="p"/>
            </m:rPr>
            <m:t xml:space="preserve">1</m:t>
          </m:r>
          <m:r>
            <m:rPr>
              <m:sty m:val="p"/>
            </m:rPr>
            <m:t xml:space="preserve">  (20)</m:t>
          </m:r>
        </m:oMath>
      </m:oMathPara>
    </w:p>
    <w:p>
      <w:pPr>
        <w:pStyle w:val="BodyText"/>
      </w:pPr>
      <m:oMathPara>
        <m:oMathParaPr>
          <m:jc m:val="center"/>
        </m:oMathParaPr>
        <m:oMath>
          <m:sSub>
            <m:e>
              <m:r>
                <m:t xml:space="preserve">G</m:t>
              </m:r>
            </m:e>
            <m:sub>
              <m:r>
                <m:t xml:space="preserve">U</m:t>
              </m:r>
              <m:r>
                <m:t xml:space="preserve">P</m:t>
              </m:r>
            </m:sub>
          </m:sSub>
          <m:r>
            <m:rPr>
              <m:sty m:val="p"/>
            </m:rPr>
            <m:t xml:space="preserve">(</m:t>
          </m:r>
          <m:r>
            <m:t xml:space="preserve">t</m:t>
          </m:r>
          <m:r>
            <m:rPr>
              <m:sty m:val="p"/>
            </m:rPr>
            <m:t xml:space="preserve">)</m:t>
          </m:r>
          <m:r>
            <m:t xml:space="preserve">≜</m:t>
          </m:r>
          <m:sSub>
            <m:e>
              <m:r>
                <m:t xml:space="preserve">v</m:t>
              </m:r>
            </m:e>
            <m:sub>
              <m:r>
                <m:t xml:space="preserve">K</m:t>
              </m:r>
            </m:sub>
          </m:sSub>
          <m:r>
            <m:rPr>
              <m:sty m:val="p"/>
            </m:rPr>
            <m:t xml:space="preserve">(</m:t>
          </m:r>
          <m:r>
            <m:t xml:space="preserve">t</m:t>
          </m:r>
          <m:r>
            <m:rPr>
              <m:sty m:val="p"/>
            </m:rPr>
            <m:t xml:space="preserve">)</m:t>
          </m:r>
          <m:r>
            <m:rPr>
              <m:sty m:val="p"/>
            </m:rPr>
            <m:t xml:space="preserve">,</m:t>
          </m:r>
          <m:r>
            <m:rPr>
              <m:sty m:val="p"/>
            </m:rPr>
            <m:t xml:space="preserve"> </m:t>
          </m:r>
          <m:sSub>
            <m:e>
              <m:r>
                <m:t xml:space="preserve">G</m:t>
              </m:r>
            </m:e>
            <m:sub>
              <m:r>
                <m:t xml:space="preserve">D</m:t>
              </m:r>
              <m:r>
                <m:t xml:space="preserve">N</m:t>
              </m:r>
            </m:sub>
          </m:sSub>
          <m:r>
            <m:rPr>
              <m:sty m:val="p"/>
            </m:rPr>
            <m:t xml:space="preserve">(</m:t>
          </m:r>
          <m:r>
            <m:t xml:space="preserve">t</m:t>
          </m:r>
          <m:r>
            <m:rPr>
              <m:sty m:val="p"/>
            </m:rPr>
            <m:t xml:space="preserve">)</m:t>
          </m:r>
          <m:r>
            <m:t xml:space="preserve">≜</m:t>
          </m:r>
          <m:r>
            <m:rPr>
              <m:sty m:val="p"/>
            </m:rPr>
            <m:t xml:space="preserve">1</m:t>
          </m:r>
          <m:r>
            <m:rPr>
              <m:sty m:val="p"/>
            </m:rPr>
            <m:t xml:space="preserve">−</m:t>
          </m:r>
          <m:sSub>
            <m:e>
              <m:r>
                <m:t xml:space="preserve">G</m:t>
              </m:r>
            </m:e>
            <m:sub>
              <m:r>
                <m:t xml:space="preserve">U</m:t>
              </m:r>
              <m:r>
                <m:t xml:space="preserve">P</m:t>
              </m:r>
            </m:sub>
          </m:sSub>
          <m:r>
            <m:rPr>
              <m:sty m:val="p"/>
            </m:rPr>
            <m:t xml:space="preserve">(</m:t>
          </m:r>
          <m:r>
            <m:t xml:space="preserve">t</m:t>
          </m:r>
          <m:r>
            <m:rPr>
              <m:sty m:val="p"/>
            </m:rPr>
            <m:t xml:space="preserve">)</m:t>
          </m:r>
          <m:r>
            <m:rPr>
              <m:sty m:val="p"/>
            </m:rPr>
            <m:t xml:space="preserve">  (21)</m:t>
          </m:r>
        </m:oMath>
      </m:oMathPara>
    </w:p>
    <w:p>
      <w:pPr>
        <w:pStyle w:val="FirstParagraph"/>
      </w:pPr>
      <w:r>
        <w:t xml:space="preserve">The complement in (21) corresponds to an output stage whose two devices are driven from one predriver node, the case for ex2 and inv_chain and their variants. Where the netlist has separate pull-up and pull-down paths, as in io_buf, a second chain with its own stage count and parameters is fitted for </w:t>
      </w:r>
      <m:oMath>
        <m:sSub>
          <m:e>
            <m:r>
              <m:t xml:space="preserve">G</m:t>
            </m:r>
          </m:e>
          <m:sub>
            <m:r>
              <m:t xml:space="preserve">D</m:t>
            </m:r>
            <m:r>
              <m:t xml:space="preserve">N</m:t>
            </m:r>
          </m:sub>
        </m:sSub>
      </m:oMath>
      <w:r>
        <w:t xml:space="preserve">.</w:t>
      </w:r>
    </w:p>
    <w:p>
      <w:pPr>
        <w:pStyle w:val="BodyText"/>
      </w:pPr>
      <w:r>
        <w:t xml:space="preserve">In words, a stage is a bucket: it fills at the rate </w:t>
      </w:r>
      <m:oMath>
        <m:sSub>
          <m:e>
            <m:r>
              <m:t xml:space="preserve">s</m:t>
            </m:r>
          </m:e>
          <m:sub>
            <m:r>
              <m:t xml:space="preserve">u</m:t>
            </m:r>
            <m:r>
              <m:t xml:space="preserve">p</m:t>
            </m:r>
          </m:sub>
        </m:sSub>
      </m:oMath>
      <w:r>
        <w:t xml:space="preserve"> once the bucket before it is more than </w:t>
      </w:r>
      <m:oMath>
        <m:sSub>
          <m:e>
            <m:r>
              <m:t xml:space="preserve">v</m:t>
            </m:r>
          </m:e>
          <m:sub>
            <m:r>
              <m:t xml:space="preserve">t</m:t>
            </m:r>
          </m:sub>
        </m:sSub>
      </m:oMath>
      <w:r>
        <w:t xml:space="preserve"> full, drains at </w:t>
      </w:r>
      <m:oMath>
        <m:sSub>
          <m:e>
            <m:r>
              <m:t xml:space="preserve">s</m:t>
            </m:r>
          </m:e>
          <m:sub>
            <m:r>
              <m:t xml:space="preserve">d</m:t>
            </m:r>
            <m:r>
              <m:t xml:space="preserve">n</m:t>
            </m:r>
          </m:sub>
        </m:sSub>
      </m:oMath>
      <w:r>
        <w:t xml:space="preserve"> once that bucket has emptied below </w:t>
      </w:r>
      <m:oMath>
        <m:r>
          <m:rPr>
            <m:sty m:val="p"/>
          </m:rPr>
          <m:t xml:space="preserve">1</m:t>
        </m:r>
        <m:r>
          <m:rPr>
            <m:sty m:val="p"/>
          </m:rPr>
          <m:t xml:space="preserve">−</m:t>
        </m:r>
        <m:sSub>
          <m:e>
            <m:r>
              <m:t xml:space="preserve">v</m:t>
            </m:r>
          </m:e>
          <m:sub>
            <m:r>
              <m:t xml:space="preserve">t</m:t>
            </m:r>
          </m:sub>
        </m:sSub>
      </m:oMath>
      <w:r>
        <w:t xml:space="preserve">, and the flow tapers off within </w:t>
      </w:r>
      <m:oMath>
        <m:sSub>
          <m:e>
            <m:r>
              <m:t xml:space="preserve">x</m:t>
            </m:r>
          </m:e>
          <m:sub>
            <m:r>
              <m:t xml:space="preserve">l</m:t>
            </m:r>
            <m:r>
              <m:t xml:space="preserve">i</m:t>
            </m:r>
            <m:r>
              <m:t xml:space="preserve">n</m:t>
            </m:r>
          </m:sub>
        </m:sSub>
      </m:oMath>
      <w:r>
        <w:t xml:space="preserve"> of the rim or the floor. A step at the input starts filling the first bucket at once; each later stage waits until the one before it passes </w:t>
      </w:r>
      <m:oMath>
        <m:sSub>
          <m:e>
            <m:r>
              <m:t xml:space="preserve">v</m:t>
            </m:r>
          </m:e>
          <m:sub>
            <m:r>
              <m:t xml:space="preserve">t</m:t>
            </m:r>
          </m:sub>
        </m:sSub>
      </m:oMath>
      <w:r>
        <w:t xml:space="preserve">. The delay of the chain is spent in these handovers, and the shape of its last edge is set by the rate. On the fitted ex2 chain (Fig. 4) the handovers come at 0.24 and 0.66 ns, the gate reaches the map's threshold at 1.11 ns, and the file's own </w:t>
      </w:r>
      <m:oMath>
        <m:sSub>
          <m:e>
            <m:r>
              <m:t xml:space="preserve">K</m:t>
            </m:r>
          </m:e>
          <m:sub>
            <m:r>
              <m:t xml:space="preserve">u</m:t>
            </m:r>
          </m:sub>
        </m:sSub>
        <m:r>
          <m:rPr>
            <m:sty m:val="p"/>
          </m:rPr>
          <m:t xml:space="preserve">(</m:t>
        </m:r>
        <m:r>
          <m:t xml:space="preserve">t</m:t>
        </m:r>
        <m:r>
          <m:rPr>
            <m:sty m:val="p"/>
          </m:rPr>
          <m:t xml:space="preserve">)</m:t>
        </m:r>
      </m:oMath>
      <w:r>
        <w:t xml:space="preserve"> leaves zero at 1.07 ns.</w:t>
      </w:r>
    </w:p>
    <w:p>
      <w:pPr>
        <w:pStyle w:val="BodyText"/>
      </w:pPr>
      <w:r>
        <w:t xml:space="preserve">Fig. 4(b) shows why the stage count is a first-order parameter. For a pulse shorter than the chain's own delay, the input reverses while the later stages are still rising: each stage turns back before reaching its rail, the gate reaches only part of its swing (0.74), and because a stage delivers no current until its input passes </w:t>
      </w:r>
      <m:oMath>
        <m:sSub>
          <m:e>
            <m:r>
              <m:t xml:space="preserve">v</m:t>
            </m:r>
          </m:e>
          <m:sub>
            <m:r>
              <m:t xml:space="preserve">t</m:t>
            </m:r>
          </m:sub>
        </m:sSub>
      </m:oMath>
      <w:r>
        <w:t xml:space="preserve">, a pulse loses amplitude at every stage and is extinguished once its peak falls below </w:t>
      </w:r>
      <m:oMath>
        <m:sSub>
          <m:e>
            <m:r>
              <m:t xml:space="preserve">v</m:t>
            </m:r>
          </m:e>
          <m:sub>
            <m:r>
              <m:t xml:space="preserve">t</m:t>
            </m:r>
          </m:sub>
        </m:sSub>
      </m:oMath>
      <w:r>
        <w:t xml:space="preserve">. The abrupt cutoff is a property of the hard threshold in (17); in a transistor chain the loss is gradual. For the fits below, (19)–(21) are integrated with Heun's method at 1 ps steps, which agrees with the ngspice circuit model where explicit Euler at 2 ps did not; in the circuit model each stage is a behavioral current source charging a capacitor.</w:t>
      </w:r>
    </w:p>
    <w:p>
      <w:pPr>
        <w:pStyle w:val="CaptionedFigure"/>
        <w:jc w:val="center"/>
      </w:pPr>
      <w:r>
        <w:drawing>
          <wp:inline distT="0" distB="0" distL="0" distR="0">
            <wp:extent cx="5486400" cy="3323530"/>
            <wp:docPr id="104" name="Figure 4"/>
            <wp:cNvGraphicFramePr>
              <a:graphicFrameLocks noChangeAspect="1"/>
            </wp:cNvGraphicFramePr>
            <a:graphic>
              <a:graphicData uri="http://schemas.openxmlformats.org/drawingml/2006/picture">
                <pic:pic>
                  <pic:nvPicPr>
                    <pic:cNvPr id="104" name="fig4.png"/>
                    <pic:cNvPicPr/>
                  </pic:nvPicPr>
                  <pic:blipFill>
                    <a:blip r:embed="rIdFig4"/>
                    <a:stretch>
                      <a:fillRect/>
                    </a:stretch>
                  </pic:blipFill>
                  <pic:spPr>
                    <a:xfrm>
                      <a:off x="0" y="0"/>
                      <a:ext cx="5486400" cy="3323530"/>
                    </a:xfrm>
                    <a:prstGeom prst="rect">
                      <a:avLst/>
                    </a:prstGeom>
                  </pic:spPr>
                </pic:pic>
              </a:graphicData>
            </a:graphic>
          </wp:inline>
        </w:drawing>
      </w:r>
    </w:p>
    <w:p>
      <w:pPr>
        <w:pStyle w:val="ImageCaption"/>
      </w:pPr>
      <w:r>
        <w:t xml:space="preserve">Fig. 4. One chain, two inputs (ex2: </w:t>
      </w:r>
      <m:oMath>
        <m:r>
          <m:t xml:space="preserve">K</m:t>
        </m:r>
        <m:r>
          <m:rPr>
            <m:sty m:val="p"/>
          </m:rPr>
          <m:t xml:space="preserve">=</m:t>
        </m:r>
        <m:r>
          <m:rPr>
            <m:sty m:val="p"/>
          </m:rPr>
          <m:t xml:space="preserve">3</m:t>
        </m:r>
      </m:oMath>
      <w:r>
        <w:t xml:space="preserve">,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1</m:t>
        </m:r>
        <m:r>
          <m:rPr>
            <m:sty m:val="p"/>
          </m:rPr>
          <m:t xml:space="preserve">9</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1</m:t>
        </m:r>
        <m:r>
          <m:rPr>
            <m:sty m:val="p"/>
          </m:rPr>
          <m:t xml:space="preserve">2</m:t>
        </m:r>
      </m:oMath>
      <w:r>
        <w:t xml:space="preserve">/ns,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r>
          <m:rPr>
            <m:sty m:val="p"/>
          </m:rPr>
          <m:t xml:space="preserve">8</m:t>
        </m:r>
        <m:r>
          <m:rPr>
            <m:sty m:val="p"/>
          </m:rPr>
          <m:t xml:space="preserve">7</m:t>
        </m:r>
      </m:oMath>
      <w:r>
        <w:t xml:space="preserve">,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Top: the stage nodes of (19)–(21). Bottom: the conducting fraction obtained from the gate through the map (22). (a) Full transition. (b) An 810 ps input pulse: the gate turns back at 0.74 of its swing and </w:t>
      </w:r>
      <m:oMath>
        <m:sSub>
          <m:e>
            <m:r>
              <m:t xml:space="preserve">K</m:t>
            </m:r>
          </m:e>
          <m:sub>
            <m:r>
              <m:t xml:space="preserve">u</m:t>
            </m:r>
          </m:sub>
        </m:sSub>
      </m:oMath>
      <w:r>
        <w:t xml:space="preserve"> reaches 0.56.</w:t>
      </w:r>
    </w:p>
    <w:p>
      <w:pPr>
        <w:pStyle w:val="Heading2"/>
      </w:pPr>
      <w:r>
        <w:t xml:space="preserve">C. The map: from the gate to the conducting fraction</w:t>
      </w:r>
    </w:p>
    <w:p>
      <w:pPr>
        <w:pStyle w:val="FirstParagraph"/>
      </w:pPr>
      <w:r>
        <w:t xml:space="preserve">The stage law produces the gate trajectory </w:t>
      </w:r>
      <m:oMath>
        <m:sSub>
          <m:e>
            <m:r>
              <m:t xml:space="preserve">G</m:t>
            </m:r>
          </m:e>
          <m:sub>
            <m:r>
              <m:t xml:space="preserve">U</m:t>
            </m:r>
            <m:r>
              <m:t xml:space="preserve">P</m:t>
            </m:r>
          </m:sub>
        </m:sSub>
        <m:r>
          <m:rPr>
            <m:sty m:val="p"/>
          </m:rPr>
          <m:t xml:space="preserve">(</m:t>
        </m:r>
        <m:r>
          <m:t xml:space="preserve">t</m:t>
        </m:r>
        <m:r>
          <m:rPr>
            <m:sty m:val="p"/>
          </m:rPr>
          <m:t xml:space="preserve">)</m:t>
        </m:r>
      </m:oMath>
      <w:r>
        <w:t xml:space="preserve"> and nothing else. An IBIS-based model needs at each instant the fraction </w:t>
      </w:r>
      <m:oMath>
        <m:sSub>
          <m:e>
            <m:r>
              <m:t xml:space="preserve">K</m:t>
            </m:r>
          </m:e>
          <m:sub>
            <m:r>
              <m:t xml:space="preserve">u</m:t>
            </m:r>
          </m:sub>
        </m:sSub>
      </m:oMath>
      <w:r>
        <w:t xml:space="preserve"> of the pull-up table that is conducting. A second relation, separate from the stage law, connects the two: with the gate only partly on, the output transistor delivers less than its table, and the reduction is taken to be one multiplier at every pad voltage, </w:t>
      </w:r>
      <m:oMath>
        <m:r>
          <m:t xml:space="preserve">I</m:t>
        </m:r>
        <m:r>
          <m:rPr>
            <m:sty m:val="p"/>
          </m:rPr>
          <m:t xml:space="preserve">(</m:t>
        </m:r>
        <m:sSub>
          <m:e>
            <m:r>
              <m:t xml:space="preserve">V</m:t>
            </m:r>
          </m:e>
          <m:sub>
            <m:r>
              <m:t xml:space="preserve">p</m:t>
            </m:r>
            <m:r>
              <m:t xml:space="preserve">a</m:t>
            </m:r>
            <m:r>
              <m:t xml:space="preserve">d</m:t>
            </m:r>
          </m:sub>
        </m:sSub>
        <m:r>
          <m:rPr>
            <m:sty m:val="p"/>
          </m:rPr>
          <m:t xml:space="preserve">,</m:t>
        </m:r>
        <m:r>
          <m:t xml:space="preserve">g</m:t>
        </m:r>
        <m:r>
          <m:rPr>
            <m:sty m:val="p"/>
          </m:rPr>
          <m:t xml:space="preserve">)</m:t>
        </m:r>
        <m:r>
          <m:rPr>
            <m:sty m:val="p"/>
          </m:rPr>
          <m:t xml:space="preserve">=</m:t>
        </m:r>
        <m:sSub>
          <m:e>
            <m:r>
              <m:t xml:space="preserve">K</m:t>
            </m:r>
          </m:e>
          <m:sub>
            <m:r>
              <m:t xml:space="preserve">u</m:t>
            </m:r>
          </m:sub>
        </m:sSub>
        <m:r>
          <m:rPr>
            <m:sty m:val="p"/>
          </m:rPr>
          <m:t xml:space="preserve">(</m:t>
        </m:r>
        <m:r>
          <m:t xml:space="preserve">g</m:t>
        </m:r>
        <m:r>
          <m:rPr>
            <m:sty m:val="p"/>
          </m:rPr>
          <m:t xml:space="preserve">)</m:t>
        </m:r>
        <m:r>
          <m:rPr>
            <m:sty m:val="p"/>
          </m:rPr>
          <m:t xml:space="preserve"> </m:t>
        </m:r>
        <m:sSub>
          <m:e>
            <m:r>
              <m:t xml:space="preserve">I</m:t>
            </m:r>
          </m:e>
          <m:sub>
            <m:r>
              <m:t xml:space="preserve">P</m:t>
            </m:r>
            <m:r>
              <m:t xml:space="preserve">U</m:t>
            </m:r>
          </m:sub>
        </m:sSub>
        <m:r>
          <m:rPr>
            <m:sty m:val="p"/>
          </m:rPr>
          <m:t xml:space="preserve">(</m:t>
        </m:r>
        <m:sSub>
          <m:e>
            <m:r>
              <m:t xml:space="preserve">V</m:t>
            </m:r>
          </m:e>
          <m:sub>
            <m:r>
              <m:t xml:space="preserve">p</m:t>
            </m:r>
            <m:r>
              <m:t xml:space="preserve">a</m:t>
            </m:r>
            <m:r>
              <m:t xml:space="preserve">d</m:t>
            </m:r>
          </m:sub>
        </m:sSub>
        <m:r>
          <m:rPr>
            <m:sty m:val="p"/>
          </m:rPr>
          <m:t xml:space="preserve">)</m:t>
        </m:r>
      </m:oMath>
      <w:r>
        <w:t xml:space="preserve">, which is the assumption any </w:t>
      </w:r>
      <m:oMath>
        <m:sSub>
          <m:e>
            <m:r>
              <m:t xml:space="preserve">K</m:t>
            </m:r>
          </m:e>
          <m:sub>
            <m:r>
              <m:t xml:space="preserve">u</m:t>
            </m:r>
          </m:sub>
        </m:sSub>
      </m:oMath>
      <w:r>
        <w:t xml:space="preserve">-based model already makes. The map is the function </w:t>
      </w:r>
      <m:oMath>
        <m:sSub>
          <m:e>
            <m:r>
              <m:t xml:space="preserve">K</m:t>
            </m:r>
          </m:e>
          <m:sub>
            <m:r>
              <m:t xml:space="preserve">u</m:t>
            </m:r>
          </m:sub>
        </m:sSub>
        <m:r>
          <m:rPr>
            <m:sty m:val="p"/>
          </m:rPr>
          <m:t xml:space="preserve">(</m:t>
        </m:r>
        <m:r>
          <m:t xml:space="preserve">g</m:t>
        </m:r>
        <m:r>
          <m:rPr>
            <m:sty m:val="p"/>
          </m:rPr>
          <m:t xml:space="preserve">)</m:t>
        </m:r>
      </m:oMath>
      <w:r>
        <w:t xml:space="preserve">, a curve against the gate, not against time.</w:t>
      </w:r>
    </w:p>
    <w:p>
      <w:pPr>
        <w:pStyle w:val="BodyText"/>
      </w:pPr>
      <w:r>
        <w:t xml:space="preserve">Where the gate node can be probed the curve can be measured: at each instant of a full transition the gate level and the file's </w:t>
      </w:r>
      <m:oMath>
        <m:sSub>
          <m:e>
            <m:r>
              <m:t xml:space="preserve">K</m:t>
            </m:r>
          </m:e>
          <m:sub>
            <m:r>
              <m:t xml:space="preserve">u</m:t>
            </m:r>
          </m:sub>
        </m:sSub>
      </m:oMath>
      <w:r>
        <w:t xml:space="preserve"> are read together and plotted against each other (Fig. 5(a), (b)). On the three buffers where this was done, the curve traced while the gate rises coincides with the one traced while it falls within 0.07–0.11, so </w:t>
      </w:r>
      <m:oMath>
        <m:sSub>
          <m:e>
            <m:r>
              <m:t xml:space="preserve">K</m:t>
            </m:r>
          </m:e>
          <m:sub>
            <m:r>
              <m:t xml:space="preserve">u</m:t>
            </m:r>
          </m:sub>
        </m:sSub>
      </m:oMath>
      <w:r>
        <w:t xml:space="preserve"> depends on the gate alone. The curve is described by a two-parameter formula scaled between the settled off and on levels of the file's own </w:t>
      </w:r>
      <m:oMath>
        <m:sSub>
          <m:e>
            <m:r>
              <m:t xml:space="preserve">K</m:t>
            </m:r>
          </m:e>
          <m:sub>
            <m:r>
              <m:t xml:space="preserve">u</m:t>
            </m:r>
          </m:sub>
        </m:sSub>
      </m:oMath>
      <w:r>
        <w:t xml:space="preserve"> and </w:t>
      </w:r>
      <m:oMath>
        <m:sSub>
          <m:e>
            <m:r>
              <m:t xml:space="preserve">K</m:t>
            </m:r>
          </m:e>
          <m:sub>
            <m:r>
              <m:t xml:space="preserve">d</m:t>
            </m:r>
          </m:sub>
        </m:sSub>
      </m:oMath>
      <w:r>
        <w:t xml:space="preserve">:</w:t>
      </w:r>
    </w:p>
    <w:p>
      <w:pPr>
        <w:pStyle w:val="BodyText"/>
      </w:pPr>
      <m:oMathPara>
        <m:oMathParaPr>
          <m:jc m:val="center"/>
        </m:oMathParaPr>
        <m:oMath>
          <m:sSub>
            <m:e>
              <m:r>
                <m:t xml:space="preserve">K</m:t>
              </m:r>
            </m:e>
            <m:sub>
              <m:r>
                <m:t xml:space="preserve">u</m:t>
              </m:r>
            </m:sub>
          </m:sSub>
          <m:r>
            <m:rPr>
              <m:sty m:val="p"/>
            </m:rPr>
            <m:t xml:space="preserve">(</m:t>
          </m:r>
          <m:r>
            <m:t xml:space="preserve">t</m:t>
          </m:r>
          <m:r>
            <m:rPr>
              <m:sty m:val="p"/>
            </m:rPr>
            <m:t xml:space="preserve">)</m:t>
          </m:r>
          <m:r>
            <m:rPr>
              <m:sty m:val="p"/>
            </m:rPr>
            <m:t xml:space="preserve">=</m:t>
          </m:r>
          <m:sSub>
            <m:e>
              <m:r>
                <m:t xml:space="preserve">k</m:t>
              </m:r>
            </m:e>
            <m:sub>
              <m:r>
                <m:t xml:space="preserve">o</m:t>
              </m:r>
              <m:r>
                <m:t xml:space="preserve">f</m:t>
              </m:r>
              <m:r>
                <m:t xml:space="preserve">f</m:t>
              </m:r>
            </m:sub>
          </m:sSub>
          <m:r>
            <m:rPr>
              <m:sty m:val="p"/>
            </m:rPr>
            <m:t xml:space="preserve">+</m:t>
          </m:r>
          <m:r>
            <m:rPr>
              <m:sty m:val="p"/>
            </m:rPr>
            <m:t xml:space="preserve">(</m:t>
          </m:r>
          <m:sSub>
            <m:e>
              <m:r>
                <m:t xml:space="preserve">k</m:t>
              </m:r>
            </m:e>
            <m:sub>
              <m:r>
                <m:t xml:space="preserve">o</m:t>
              </m:r>
              <m:r>
                <m:t xml:space="preserve">n</m:t>
              </m:r>
            </m:sub>
          </m:sSub>
          <m:r>
            <m:rPr>
              <m:sty m:val="p"/>
            </m:rPr>
            <m:t xml:space="preserve">−</m:t>
          </m:r>
          <m:sSub>
            <m:e>
              <m:r>
                <m:t xml:space="preserve">k</m:t>
              </m:r>
            </m:e>
            <m:sub>
              <m:r>
                <m:t xml:space="preserve">o</m:t>
              </m:r>
              <m:r>
                <m:t xml:space="preserve">f</m:t>
              </m:r>
              <m:r>
                <m:t xml:space="preserve">f</m:t>
              </m:r>
            </m:sub>
          </m:sSub>
          <m:r>
            <m:rPr>
              <m:sty m:val="p"/>
            </m:rPr>
            <m:t xml:space="preserve">)</m:t>
          </m:r>
          <m:r>
            <m:rPr>
              <m:sty m:val="p"/>
            </m:rPr>
            <m:t xml:space="preserve"> </m:t>
          </m:r>
          <m:r>
            <m:t xml:space="preserve">M</m:t>
          </m:r>
          <m:r>
            <m:rPr>
              <m:sty m:val="p"/>
            </m:rPr>
            <m:t xml:space="preserve">(</m:t>
          </m:r>
          <m:sSub>
            <m:e>
              <m:r>
                <m:t xml:space="preserve">G</m:t>
              </m:r>
            </m:e>
            <m:sub>
              <m:r>
                <m:t xml:space="preserve">U</m:t>
              </m:r>
              <m:r>
                <m:t xml:space="preserve">P</m:t>
              </m:r>
            </m:sub>
          </m:sSub>
          <m:r>
            <m:rPr>
              <m:sty m:val="p"/>
            </m:rPr>
            <m:t xml:space="preserve">(</m:t>
          </m:r>
          <m:r>
            <m:t xml:space="preserve">t</m:t>
          </m:r>
          <m:r>
            <m:rPr>
              <m:sty m:val="p"/>
            </m:rPr>
            <m:t xml:space="preserve">)</m:t>
          </m:r>
          <m:r>
            <m:rPr>
              <m:sty m:val="p"/>
            </m:rPr>
            <m:t xml:space="preserve">)</m:t>
          </m:r>
          <m:r>
            <m:rPr>
              <m:sty m:val="p"/>
            </m:rPr>
            <m:t xml:space="preserve">,</m:t>
          </m:r>
          <m:r>
            <m:rPr>
              <m:sty m:val="p"/>
            </m:rPr>
            <m:t xml:space="preserve"> </m:t>
          </m:r>
          <m:r>
            <m:t xml:space="preserve">M</m:t>
          </m:r>
          <m:r>
            <m:rPr>
              <m:sty m:val="p"/>
            </m:rPr>
            <m:t xml:space="preserve">(</m:t>
          </m:r>
          <m:r>
            <m:t xml:space="preserve">g</m:t>
          </m:r>
          <m:r>
            <m:rPr>
              <m:sty m:val="p"/>
            </m:rPr>
            <m:t xml:space="preserve">)</m:t>
          </m:r>
          <m:r>
            <m:t xml:space="preserve">≜</m:t>
          </m:r>
          <m:r>
            <m:rPr>
              <m:sty m:val="p"/>
            </m:rPr>
            <m:t xml:space="preserve">clip</m:t>
          </m:r>
          <m:sSup>
            <m:e>
              <m:d>
                <m:dPr>
                  <m:begChr m:val="("/>
                  <m:endChr m:val=")"/>
                  <m:grow/>
                </m:dPr>
                <m:e>
                  <m:f>
                    <m:num>
                      <m:r>
                        <m:t xml:space="preserve">g</m:t>
                      </m:r>
                      <m:r>
                        <m:rPr>
                          <m:sty m:val="p"/>
                        </m:rPr>
                        <m:t xml:space="preserve">−</m:t>
                      </m:r>
                      <m:sSub>
                        <m:e>
                          <m:r>
                            <m:t xml:space="preserve">v</m:t>
                          </m:r>
                        </m:e>
                        <m:sub>
                          <m:r>
                            <m:t xml:space="preserve">t</m:t>
                          </m:r>
                          <m:r>
                            <m:rPr>
                              <m:sty m:val="p"/>
                            </m:rPr>
                            <m:t xml:space="preserve">,</m:t>
                          </m:r>
                          <m:r>
                            <m:t xml:space="preserve">m</m:t>
                          </m:r>
                          <m:r>
                            <m:t xml:space="preserve">a</m:t>
                          </m:r>
                          <m:r>
                            <m:t xml:space="preserve">p</m:t>
                          </m:r>
                        </m:sub>
                      </m:sSub>
                    </m:num>
                    <m:den>
                      <m:sSub>
                        <m:e>
                          <m:r>
                            <m:t xml:space="preserve">g</m:t>
                          </m:r>
                        </m:e>
                        <m:sub>
                          <m:r>
                            <m:t xml:space="preserve">s</m:t>
                          </m:r>
                        </m:sub>
                      </m:sSub>
                      <m:r>
                        <m:rPr>
                          <m:sty m:val="p"/>
                        </m:rPr>
                        <m:t xml:space="preserve">−</m:t>
                      </m:r>
                      <m:sSub>
                        <m:e>
                          <m:r>
                            <m:t xml:space="preserve">v</m:t>
                          </m:r>
                        </m:e>
                        <m:sub>
                          <m:r>
                            <m:t xml:space="preserve">t</m:t>
                          </m:r>
                          <m:r>
                            <m:rPr>
                              <m:sty m:val="p"/>
                            </m:rPr>
                            <m:t xml:space="preserve">,</m:t>
                          </m:r>
                          <m:r>
                            <m:t xml:space="preserve">m</m:t>
                          </m:r>
                          <m:r>
                            <m:t xml:space="preserve">a</m:t>
                          </m:r>
                          <m:r>
                            <m:t xml:space="preserve">p</m:t>
                          </m:r>
                        </m:sub>
                      </m:sSub>
                    </m:den>
                  </m:f>
                  <m:r>
                    <m:rPr>
                      <m:sty m:val="p"/>
                    </m:rPr>
                    <m:t xml:space="preserve">,</m:t>
                  </m:r>
                  <m:r>
                    <m:rPr>
                      <m:sty m:val="p"/>
                    </m:rPr>
                    <m:t xml:space="preserve">0</m:t>
                  </m:r>
                  <m:r>
                    <m:rPr>
                      <m:sty m:val="p"/>
                    </m:rPr>
                    <m:t xml:space="preserve">,</m:t>
                  </m:r>
                  <m:r>
                    <m:rPr>
                      <m:sty m:val="p"/>
                    </m:rPr>
                    <m:t xml:space="preserve">1</m:t>
                  </m:r>
                </m:e>
              </m:d>
            </m:e>
            <m:sup>
              <m:r>
                <m:t xml:space="preserve">a</m:t>
              </m:r>
            </m:sup>
          </m:sSup>
          <m:r>
            <m:rPr>
              <m:sty m:val="p"/>
            </m:rPr>
            <m:t xml:space="preserve">  (22)</m:t>
          </m:r>
        </m:oMath>
      </m:oMathPara>
    </w:p>
    <w:p>
      <w:pPr>
        <w:pStyle w:val="BodyText"/>
      </w:pPr>
      <m:oMathPara>
        <m:oMathParaPr>
          <m:jc m:val="center"/>
        </m:oMathParaPr>
        <m:oMath>
          <m:sSub>
            <m:e>
              <m:r>
                <m:t xml:space="preserve">K</m:t>
              </m:r>
            </m:e>
            <m:sub>
              <m:r>
                <m:t xml:space="preserve">d</m:t>
              </m:r>
            </m:sub>
          </m:sSub>
          <m:r>
            <m:rPr>
              <m:sty m:val="p"/>
            </m:rPr>
            <m:t xml:space="preserve">(</m:t>
          </m:r>
          <m:r>
            <m:t xml:space="preserve">t</m:t>
          </m:r>
          <m:r>
            <m:rPr>
              <m:sty m:val="p"/>
            </m:rPr>
            <m:t xml:space="preserve">)</m:t>
          </m:r>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m:t>
          </m:r>
          <m:sSub>
            <m:e>
              <m:r>
                <m:t xml:space="preserve">d</m:t>
              </m:r>
            </m:e>
            <m:sub>
              <m:r>
                <m:t xml:space="preserve">o</m:t>
              </m:r>
              <m:r>
                <m:t xml:space="preserve">n</m:t>
              </m:r>
            </m:sub>
          </m:sSub>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 </m:t>
          </m:r>
          <m:r>
            <m:t xml:space="preserve">M</m:t>
          </m:r>
          <m:r>
            <m:rPr>
              <m:sty m:val="p"/>
            </m:rPr>
            <m:t xml:space="preserve">(</m:t>
          </m:r>
          <m:sSub>
            <m:e>
              <m:r>
                <m:t xml:space="preserve">G</m:t>
              </m:r>
            </m:e>
            <m:sub>
              <m:r>
                <m:t xml:space="preserve">D</m:t>
              </m:r>
              <m:r>
                <m:t xml:space="preserve">N</m:t>
              </m:r>
            </m:sub>
          </m:sSub>
          <m:r>
            <m:rPr>
              <m:sty m:val="p"/>
            </m:rPr>
            <m:t xml:space="preserve">(</m:t>
          </m:r>
          <m:r>
            <m:t xml:space="preserve">t</m:t>
          </m:r>
          <m:r>
            <m:rPr>
              <m:sty m:val="p"/>
            </m:rPr>
            <m:t xml:space="preserve">)</m:t>
          </m:r>
          <m:r>
            <m:rPr>
              <m:sty m:val="p"/>
            </m:rPr>
            <m:t xml:space="preserve">)</m:t>
          </m:r>
          <m:r>
            <m:rPr>
              <m:sty m:val="p"/>
            </m:rPr>
            <m:t xml:space="preserve">  (23)</m:t>
          </m:r>
        </m:oMath>
      </m:oMathPara>
    </w:p>
    <w:p>
      <w:pPr>
        <w:pStyle w:val="FirstParagraph"/>
      </w:pPr>
      <m:oMath>
        <m:sSub>
          <m:e>
            <m:r>
              <m:t xml:space="preserve">v</m:t>
            </m:r>
          </m:e>
          <m:sub>
            <m:r>
              <m:t xml:space="preserve">t</m:t>
            </m:r>
            <m:r>
              <m:rPr>
                <m:sty m:val="p"/>
              </m:rPr>
              <m:t xml:space="preserve">,</m:t>
            </m:r>
            <m:r>
              <m:t xml:space="preserve">m</m:t>
            </m:r>
            <m:r>
              <m:t xml:space="preserve">a</m:t>
            </m:r>
            <m:r>
              <m:t xml:space="preserve">p</m:t>
            </m:r>
          </m:sub>
        </m:sSub>
      </m:oMath>
      <w:r>
        <w:t xml:space="preserve"> is the gate level at which the output device starts to conduct, </w:t>
      </w:r>
      <m:oMath>
        <m:r>
          <m:t xml:space="preserve">a</m:t>
        </m:r>
      </m:oMath>
      <w:r>
        <w:t xml:space="preserve"> bends the curve between that point and </w:t>
      </w:r>
      <m:oMath>
        <m:sSub>
          <m:e>
            <m:r>
              <m:t xml:space="preserve">g</m:t>
            </m:r>
          </m:e>
          <m:sub>
            <m:r>
              <m:t xml:space="preserve">s</m:t>
            </m:r>
          </m:sub>
        </m:sSub>
        <m:r>
          <m:rPr>
            <m:sty m:val="p"/>
          </m:rPr>
          <m:t xml:space="preserve">=</m:t>
        </m:r>
        <m:r>
          <m:rPr>
            <m:sty m:val="p"/>
          </m:rPr>
          <m:t xml:space="preserve">1</m:t>
        </m:r>
      </m:oMath>
      <w:r>
        <w:t xml:space="preserve"> where the table is fully on (below 1, the curve rises steeply and then flattens), and </w:t>
      </w:r>
      <m:oMath>
        <m:sSub>
          <m:e>
            <m:r>
              <m:t xml:space="preserve">k</m:t>
            </m:r>
          </m:e>
          <m:sub>
            <m:r>
              <m:t xml:space="preserve">o</m:t>
            </m:r>
            <m:r>
              <m:t xml:space="preserve">f</m:t>
            </m:r>
            <m:r>
              <m:t xml:space="preserve">f</m:t>
            </m:r>
          </m:sub>
        </m:sSub>
      </m:oMath>
      <w:r>
        <w:t xml:space="preserve">, </w:t>
      </w:r>
      <m:oMath>
        <m:sSub>
          <m:e>
            <m:r>
              <m:t xml:space="preserve">k</m:t>
            </m:r>
          </m:e>
          <m:sub>
            <m:r>
              <m:t xml:space="preserve">o</m:t>
            </m:r>
            <m:r>
              <m:t xml:space="preserve">n</m:t>
            </m:r>
          </m:sub>
        </m:sSub>
      </m:oMath>
      <w:r>
        <w:t xml:space="preserve">, </w:t>
      </w:r>
      <m:oMath>
        <m:sSub>
          <m:e>
            <m:r>
              <m:t xml:space="preserve">d</m:t>
            </m:r>
          </m:e>
          <m:sub>
            <m:r>
              <m:t xml:space="preserve">o</m:t>
            </m:r>
            <m:r>
              <m:t xml:space="preserve">f</m:t>
            </m:r>
            <m:r>
              <m:t xml:space="preserve">f</m:t>
            </m:r>
          </m:sub>
        </m:sSub>
      </m:oMath>
      <w:r>
        <w:t xml:space="preserve">, </w:t>
      </w:r>
      <m:oMath>
        <m:sSub>
          <m:e>
            <m:r>
              <m:t xml:space="preserve">d</m:t>
            </m:r>
          </m:e>
          <m:sub>
            <m:r>
              <m:t xml:space="preserve">o</m:t>
            </m:r>
            <m:r>
              <m:t xml:space="preserve">n</m:t>
            </m:r>
          </m:sub>
        </m:sSub>
      </m:oMath>
      <w:r>
        <w:t xml:space="preserve"> are the settled levels, close to 0 and 1. The form is borrowed from the gate factor (5), because the map describes how the output transistor turns on, but its parameters are empirical: fitted to the measured maps they are (0.57, 0.64) on ex2, (0.49, 0.60) on inv_chain and (0.50, 0.78) on io_buf, and they are distinct from the stage parameters </w:t>
      </w:r>
      <m:oMath>
        <m:sSub>
          <m:e>
            <m:r>
              <m:t xml:space="preserve">v</m:t>
            </m:r>
          </m:e>
          <m:sub>
            <m:r>
              <m:t xml:space="preserve">t</m:t>
            </m:r>
          </m:sub>
        </m:sSub>
      </m:oMath>
      <w:r>
        <w:t xml:space="preserve"> and </w:t>
      </w:r>
      <m:oMath>
        <m:r>
          <m:t xml:space="preserve">p</m:t>
        </m:r>
      </m:oMath>
      <w:r>
        <w:t xml:space="preserve">, which describe the predriver.</w:t>
      </w:r>
    </w:p>
    <w:p>
      <w:pPr>
        <w:pStyle w:val="BodyText"/>
      </w:pPr>
      <w:r>
        <w:t xml:space="preserve">The file does not contain the map. It gives </w:t>
      </w:r>
      <m:oMath>
        <m:sSub>
          <m:e>
            <m:r>
              <m:t xml:space="preserve">K</m:t>
            </m:r>
          </m:e>
          <m:sub>
            <m:r>
              <m:t xml:space="preserve">u</m:t>
            </m:r>
          </m:sub>
        </m:sSub>
      </m:oMath>
      <w:r>
        <w:t xml:space="preserve"> against time; the map is </w:t>
      </w:r>
      <m:oMath>
        <m:sSub>
          <m:e>
            <m:r>
              <m:t xml:space="preserve">K</m:t>
            </m:r>
          </m:e>
          <m:sub>
            <m:r>
              <m:t xml:space="preserve">u</m:t>
            </m:r>
          </m:sub>
        </m:sSub>
      </m:oMath>
      <w:r>
        <w:t xml:space="preserve"> against the gate; converting one into the other needs the gate against time, the one waveform an IBIS file does not have. The method therefore does not obtain the map from the file: it offers three fixed shapes (Fig. 5(c)) and leaves the choice among them to the stressed measurement (Section IV-E). The three are built-in constants: (0.50, 0.70) lies near the middle of the three measured maps; (0.40, 0.60) and (0.40, 0.90) were retained from an earlier search scored on the same twelve test buffers. Their generality is untested, and this is the least well founded element of the method.</w:t>
      </w:r>
    </w:p>
    <w:p>
      <w:pPr>
        <w:pStyle w:val="CaptionedFigure"/>
        <w:jc w:val="center"/>
      </w:pPr>
      <w:r>
        <w:drawing>
          <wp:inline distT="0" distB="0" distL="0" distR="0">
            <wp:extent cx="5852160" cy="2729614"/>
            <wp:docPr id="105" name="Figure 5"/>
            <wp:cNvGraphicFramePr>
              <a:graphicFrameLocks noChangeAspect="1"/>
            </wp:cNvGraphicFramePr>
            <a:graphic>
              <a:graphicData uri="http://schemas.openxmlformats.org/drawingml/2006/picture">
                <pic:pic>
                  <pic:nvPicPr>
                    <pic:cNvPr id="105" name="fig5.png"/>
                    <pic:cNvPicPr/>
                  </pic:nvPicPr>
                  <pic:blipFill>
                    <a:blip r:embed="rIdFig5"/>
                    <a:stretch>
                      <a:fillRect/>
                    </a:stretch>
                  </pic:blipFill>
                  <pic:spPr>
                    <a:xfrm>
                      <a:off x="0" y="0"/>
                      <a:ext cx="5852160" cy="2729614"/>
                    </a:xfrm>
                    <a:prstGeom prst="rect">
                      <a:avLst/>
                    </a:prstGeom>
                  </pic:spPr>
                </pic:pic>
              </a:graphicData>
            </a:graphic>
          </wp:inline>
        </w:drawing>
      </w:r>
    </w:p>
    <w:p>
      <w:pPr>
        <w:pStyle w:val="ImageCaption"/>
      </w:pPr>
      <w:r>
        <w:t xml:space="preserve">Fig. 5. The map. (a) With the gate of ex2 probed, the gate level (squares) and the file's </w:t>
      </w:r>
      <m:oMath>
        <m:sSub>
          <m:e>
            <m:r>
              <m:t xml:space="preserve">K</m:t>
            </m:r>
          </m:e>
          <m:sub>
            <m:r>
              <m:t xml:space="preserve">u</m:t>
            </m:r>
          </m:sub>
        </m:sSub>
      </m:oMath>
      <w:r>
        <w:t xml:space="preserve"> (circles) are read at the same instants of a full transition. (b) </w:t>
      </w:r>
      <m:oMath>
        <m:sSub>
          <m:e>
            <m:r>
              <m:t xml:space="preserve">K</m:t>
            </m:r>
          </m:e>
          <m:sub>
            <m:r>
              <m:t xml:space="preserve">u</m:t>
            </m:r>
          </m:sub>
        </m:sSub>
      </m:oMath>
      <w:r>
        <w:t xml:space="preserve"> against the gate: the measured map, and the formula (22) fitted to it,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r>
          <m:rPr>
            <m:sty m:val="p"/>
          </m:rPr>
          <m:t xml:space="preserve">=</m:t>
        </m:r>
        <m:r>
          <m:rPr>
            <m:sty m:val="p"/>
          </m:rPr>
          <m:t xml:space="preserve">(</m:t>
        </m:r>
        <m:r>
          <m:rPr>
            <m:sty m:val="p"/>
          </m:rPr>
          <m:t xml:space="preserve">0</m:t>
        </m:r>
        <m:r>
          <m:rPr>
            <m:sty m:val="p"/>
          </m:rPr>
          <m:t xml:space="preserve">.</m:t>
        </m:r>
        <m:r>
          <m:rPr>
            <m:sty m:val="p"/>
          </m:rPr>
          <m:t xml:space="preserve">5</m:t>
        </m:r>
        <m:r>
          <m:rPr>
            <m:sty m:val="p"/>
          </m:rPr>
          <m:t xml:space="preserve">7</m:t>
        </m:r>
        <m:r>
          <m:rPr>
            <m:sty m:val="p"/>
          </m:rPr>
          <m:t xml:space="preserve">,</m:t>
        </m:r>
        <m:r>
          <m:rPr>
            <m:sty m:val="p"/>
          </m:rPr>
          <m:t xml:space="preserve">0</m:t>
        </m:r>
        <m:r>
          <m:rPr>
            <m:sty m:val="p"/>
          </m:rPr>
          <m:t xml:space="preserve">.</m:t>
        </m:r>
        <m:r>
          <m:rPr>
            <m:sty m:val="p"/>
          </m:rPr>
          <m:t xml:space="preserve">6</m:t>
        </m:r>
        <m:r>
          <m:rPr>
            <m:sty m:val="p"/>
          </m:rPr>
          <m:t xml:space="preserve">4</m:t>
        </m:r>
        <m:r>
          <m:rPr>
            <m:sty m:val="p"/>
          </m:rPr>
          <m:t xml:space="preserve">)</m:t>
        </m:r>
      </m:oMath>
      <w:r>
        <w:t xml:space="preserve">. (c) The three shapes offered when the gate cannot be probed, with the measured map of ex2 for reference.</w:t>
      </w:r>
    </w:p>
    <w:p>
      <w:pPr>
        <w:pStyle w:val="FirstParagraph"/>
      </w:pPr>
      <w:r>
        <w:t xml:space="preserve">Fig. 6 shows the two relations evaluated one after the other on ex2: (19)–(21) give the gate, and (22) is applied to each of its values. For a full transition (top row) the gate sweeps its full range, the whole map is read, and the result can be compared with the file; this comparison is the fit of Section IV-C. For an 810 ps pulse (bottom row) the gate turns back at 0.74, only the lower part of the map is read, and </w:t>
      </w:r>
      <m:oMath>
        <m:sSub>
          <m:e>
            <m:r>
              <m:t xml:space="preserve">K</m:t>
            </m:r>
          </m:e>
          <m:sub>
            <m:r>
              <m:t xml:space="preserve">u</m:t>
            </m:r>
          </m:sub>
        </m:sSub>
      </m:oMath>
      <w:r>
        <w:t xml:space="preserve"> rises to 0.56 and returns to zero: a waveform no table of the file contains, produced by the same two relations with no additional parameter.</w:t>
      </w:r>
    </w:p>
    <w:p>
      <w:pPr>
        <w:pStyle w:val="CaptionedFigure"/>
        <w:jc w:val="center"/>
      </w:pPr>
      <w:r>
        <w:drawing>
          <wp:inline distT="0" distB="0" distL="0" distR="0">
            <wp:extent cx="5760720" cy="4371492"/>
            <wp:docPr id="106" name="Figure 6"/>
            <wp:cNvGraphicFramePr>
              <a:graphicFrameLocks noChangeAspect="1"/>
            </wp:cNvGraphicFramePr>
            <a:graphic>
              <a:graphicData uri="http://schemas.openxmlformats.org/drawingml/2006/picture">
                <pic:pic>
                  <pic:nvPicPr>
                    <pic:cNvPr id="106" name="fig6.png"/>
                    <pic:cNvPicPr/>
                  </pic:nvPicPr>
                  <pic:blipFill>
                    <a:blip r:embed="rIdFig6"/>
                    <a:stretch>
                      <a:fillRect/>
                    </a:stretch>
                  </pic:blipFill>
                  <pic:spPr>
                    <a:xfrm>
                      <a:off x="0" y="0"/>
                      <a:ext cx="5760720" cy="4371492"/>
                    </a:xfrm>
                    <a:prstGeom prst="rect">
                      <a:avLst/>
                    </a:prstGeom>
                  </pic:spPr>
                </pic:pic>
              </a:graphicData>
            </a:graphic>
          </wp:inline>
        </w:drawing>
      </w:r>
    </w:p>
    <w:p>
      <w:pPr>
        <w:pStyle w:val="ImageCaption"/>
      </w:pPr>
      <w:r>
        <w:t xml:space="preserve">Fig. 6. From the gate to the conducting fraction on ex2 (</w:t>
      </w:r>
      <m:oMath>
        <m:r>
          <m:t xml:space="preserve">K</m:t>
        </m:r>
        <m:r>
          <m:rPr>
            <m:sty m:val="p"/>
          </m:rPr>
          <m:t xml:space="preserve">=</m:t>
        </m:r>
        <m:r>
          <m:rPr>
            <m:sty m:val="p"/>
          </m:rPr>
          <m:t xml:space="preserve">3</m:t>
        </m:r>
      </m:oMath>
      <w:r>
        <w:t xml:space="preserve">, map (0.57, 0.64)). Left: the gate from the stage law. Middle: the map (22), with the gate values at six instants. Right: the resulting </w:t>
      </w:r>
      <m:oMath>
        <m:sSub>
          <m:e>
            <m:r>
              <m:t xml:space="preserve">K</m:t>
            </m:r>
          </m:e>
          <m:sub>
            <m:r>
              <m:t xml:space="preserve">u</m:t>
            </m:r>
          </m:sub>
        </m:sSub>
        <m:r>
          <m:rPr>
            <m:sty m:val="p"/>
          </m:rPr>
          <m:t xml:space="preserve">(</m:t>
        </m:r>
        <m:r>
          <m:t xml:space="preserve">t</m:t>
        </m:r>
        <m:r>
          <m:rPr>
            <m:sty m:val="p"/>
          </m:rPr>
          <m:t xml:space="preserve">)</m:t>
        </m:r>
      </m:oMath>
      <w:r>
        <w:t xml:space="preserve">. (a)–(c) Full transition, against the file's </w:t>
      </w:r>
      <m:oMath>
        <m:sSub>
          <m:e>
            <m:r>
              <m:t xml:space="preserve">K</m:t>
            </m:r>
          </m:e>
          <m:sub>
            <m:r>
              <m:t xml:space="preserve">u</m:t>
            </m:r>
          </m:sub>
        </m:sSub>
        <m:r>
          <m:rPr>
            <m:sty m:val="p"/>
          </m:rPr>
          <m:t xml:space="preserve">(</m:t>
        </m:r>
        <m:r>
          <m:t xml:space="preserve">t</m:t>
        </m:r>
        <m:r>
          <m:rPr>
            <m:sty m:val="p"/>
          </m:rPr>
          <m:t xml:space="preserve">)</m:t>
        </m:r>
      </m:oMath>
      <w:r>
        <w:t xml:space="preserve">. (d)–(f) An 810 ps pulse after calibration.</w:t>
      </w:r>
    </w:p>
    <w:p>
      <w:pPr>
        <w:pStyle w:val="Heading2"/>
      </w:pPr>
      <w:r>
        <w:t xml:space="preserve">D. The pad current</w:t>
      </w:r>
    </w:p>
    <w:p>
      <w:pPr>
        <w:pStyle w:val="FirstParagraph"/>
      </w:pPr>
      <w:r>
        <w:t xml:space="preserve">The current delivered to the die node is that of the existing model,</w:t>
      </w:r>
    </w:p>
    <w:p>
      <w:pPr>
        <w:pStyle w:val="BodyText"/>
      </w:pPr>
      <m:oMathPara>
        <m:oMathParaPr>
          <m:jc m:val="center"/>
        </m:oMathParaPr>
        <m:oMath>
          <m:sSub>
            <m:e>
              <m:r>
                <m:t xml:space="preserve">I</m:t>
              </m:r>
            </m:e>
            <m:sub>
              <m:r>
                <m:t xml:space="preserve">d</m:t>
              </m:r>
              <m:r>
                <m:t xml:space="preserve">i</m:t>
              </m:r>
              <m:r>
                <m:t xml:space="preserve">e</m:t>
              </m:r>
            </m:sub>
          </m:sSub>
          <m:r>
            <m:rPr>
              <m:sty m:val="p"/>
            </m:rPr>
            <m:t xml:space="preserve">(</m:t>
          </m:r>
          <m:r>
            <m:t xml:space="preserve">t</m:t>
          </m:r>
          <m:r>
            <m:rPr>
              <m:sty m:val="p"/>
            </m:rPr>
            <m:t xml:space="preserve">)</m:t>
          </m:r>
          <m:r>
            <m:rPr>
              <m:sty m:val="p"/>
            </m:rPr>
            <m:t xml:space="preserve">=</m:t>
          </m:r>
          <m:sSub>
            <m:e>
              <m:r>
                <m:t xml:space="preserve">K</m:t>
              </m:r>
            </m:e>
            <m:sub>
              <m:r>
                <m:t xml:space="preserve">u</m:t>
              </m:r>
            </m:sub>
          </m:sSub>
          <m:r>
            <m:rPr>
              <m:sty m:val="p"/>
            </m:rPr>
            <m:t xml:space="preserve">(</m:t>
          </m:r>
          <m:r>
            <m:t xml:space="preserve">t</m:t>
          </m:r>
          <m:r>
            <m:rPr>
              <m:sty m:val="p"/>
            </m:rPr>
            <m:t xml:space="preserve">)</m:t>
          </m:r>
          <m:r>
            <m:rPr>
              <m:sty m:val="p"/>
            </m:rPr>
            <m:t xml:space="preserve"> </m:t>
          </m:r>
          <m:sSub>
            <m:e>
              <m:r>
                <m:t xml:space="preserve">I</m:t>
              </m:r>
            </m:e>
            <m:sub>
              <m:r>
                <m:t xml:space="preserve">P</m:t>
              </m:r>
              <m:r>
                <m:t xml:space="preserve">U</m:t>
              </m:r>
            </m:sub>
          </m:sSub>
          <m:r>
            <m:rPr>
              <m:sty m:val="p"/>
            </m:rPr>
            <m:t xml:space="preserve">(</m:t>
          </m:r>
          <m:sSub>
            <m:e>
              <m:r>
                <m:t xml:space="preserve">V</m:t>
              </m:r>
            </m:e>
            <m:sub>
              <m:r>
                <m:t xml:space="preserve">d</m:t>
              </m:r>
              <m:r>
                <m:t xml:space="preserve">i</m:t>
              </m:r>
              <m:r>
                <m:t xml:space="preserve">e</m:t>
              </m:r>
            </m:sub>
          </m:sSub>
          <m:r>
            <m:rPr>
              <m:sty m:val="p"/>
            </m:rPr>
            <m:t xml:space="preserve">)</m:t>
          </m:r>
          <m:r>
            <m:rPr>
              <m:sty m:val="p"/>
            </m:rPr>
            <m:t xml:space="preserve">+</m:t>
          </m:r>
          <m:sSub>
            <m:e>
              <m:r>
                <m:t xml:space="preserve">K</m:t>
              </m:r>
            </m:e>
            <m:sub>
              <m:r>
                <m:t xml:space="preserve">d</m:t>
              </m:r>
            </m:sub>
          </m:sSub>
          <m:r>
            <m:rPr>
              <m:sty m:val="p"/>
            </m:rPr>
            <m:t xml:space="preserve">(</m:t>
          </m:r>
          <m:r>
            <m:t xml:space="preserve">t</m:t>
          </m:r>
          <m:r>
            <m:rPr>
              <m:sty m:val="p"/>
            </m:rPr>
            <m:t xml:space="preserve">)</m:t>
          </m:r>
          <m:r>
            <m:rPr>
              <m:sty m:val="p"/>
            </m:rPr>
            <m:t xml:space="preserve"> </m:t>
          </m:r>
          <m:sSub>
            <m:e>
              <m:r>
                <m:t xml:space="preserve">I</m:t>
              </m:r>
            </m:e>
            <m:sub>
              <m:r>
                <m:t xml:space="preserve">P</m:t>
              </m:r>
              <m:r>
                <m:t xml:space="preserve">D</m:t>
              </m:r>
            </m:sub>
          </m:sSub>
          <m:r>
            <m:rPr>
              <m:sty m:val="p"/>
            </m:rPr>
            <m:t xml:space="preserve">(</m:t>
          </m:r>
          <m:sSub>
            <m:e>
              <m:r>
                <m:t xml:space="preserve">V</m:t>
              </m:r>
            </m:e>
            <m:sub>
              <m:r>
                <m:t xml:space="preserve">d</m:t>
              </m:r>
              <m:r>
                <m:t xml:space="preserve">i</m:t>
              </m:r>
              <m:r>
                <m:t xml:space="preserve">e</m:t>
              </m:r>
            </m:sub>
          </m:sSub>
          <m:r>
            <m:rPr>
              <m:sty m:val="p"/>
            </m:rPr>
            <m:t xml:space="preserve">)</m:t>
          </m:r>
          <m:r>
            <m:rPr>
              <m:sty m:val="p"/>
            </m:rPr>
            <m:t xml:space="preserve">+</m:t>
          </m:r>
          <m:sSub>
            <m:e>
              <m:r>
                <m:t xml:space="preserve">I</m:t>
              </m:r>
            </m:e>
            <m:sub>
              <m:r>
                <m:t xml:space="preserve">P</m:t>
              </m:r>
              <m:r>
                <m:t xml:space="preserve">C</m:t>
              </m:r>
            </m:sub>
          </m:sSub>
          <m:r>
            <m:rPr>
              <m:sty m:val="p"/>
            </m:rPr>
            <m:t xml:space="preserve">(</m:t>
          </m:r>
          <m:sSub>
            <m:e>
              <m:r>
                <m:t xml:space="preserve">V</m:t>
              </m:r>
            </m:e>
            <m:sub>
              <m:r>
                <m:t xml:space="preserve">d</m:t>
              </m:r>
              <m:r>
                <m:t xml:space="preserve">i</m:t>
              </m:r>
              <m:r>
                <m:t xml:space="preserve">e</m:t>
              </m:r>
            </m:sub>
          </m:sSub>
          <m:r>
            <m:rPr>
              <m:sty m:val="p"/>
            </m:rPr>
            <m:t xml:space="preserve">)</m:t>
          </m:r>
          <m:r>
            <m:rPr>
              <m:sty m:val="p"/>
            </m:rPr>
            <m:t xml:space="preserve">+</m:t>
          </m:r>
          <m:sSub>
            <m:e>
              <m:r>
                <m:t xml:space="preserve">I</m:t>
              </m:r>
            </m:e>
            <m:sub>
              <m:r>
                <m:t xml:space="preserve">G</m:t>
              </m:r>
              <m:r>
                <m:t xml:space="preserve">C</m:t>
              </m:r>
            </m:sub>
          </m:sSub>
          <m:r>
            <m:rPr>
              <m:sty m:val="p"/>
            </m:rPr>
            <m:t xml:space="preserve">(</m:t>
          </m:r>
          <m:sSub>
            <m:e>
              <m:r>
                <m:t xml:space="preserve">V</m:t>
              </m:r>
            </m:e>
            <m:sub>
              <m:r>
                <m:t xml:space="preserve">d</m:t>
              </m:r>
              <m:r>
                <m:t xml:space="preserve">i</m:t>
              </m:r>
              <m:r>
                <m:t xml:space="preserve">e</m:t>
              </m:r>
            </m:sub>
          </m:sSub>
          <m:r>
            <m:rPr>
              <m:sty m:val="p"/>
            </m:rPr>
            <m:t xml:space="preserve">)</m:t>
          </m:r>
          <m:r>
            <m:rPr>
              <m:sty m:val="p"/>
            </m:rPr>
            <m:t xml:space="preserve">  (24)</m:t>
          </m:r>
        </m:oMath>
      </m:oMathPara>
    </w:p>
    <w:p>
      <w:pPr>
        <w:pStyle w:val="FirstParagraph"/>
      </w:pPr>
      <w:r>
        <w:t xml:space="preserve">where </w:t>
      </w:r>
      <m:oMath>
        <m:sSub>
          <m:e>
            <m:r>
              <m:t xml:space="preserve">I</m:t>
            </m:r>
          </m:e>
          <m:sub>
            <m:r>
              <m:t xml:space="preserve">P</m:t>
            </m:r>
            <m:r>
              <m:t xml:space="preserve">U</m:t>
            </m:r>
          </m:sub>
        </m:sSub>
      </m:oMath>
      <w:r>
        <w:t xml:space="preserve">, </w:t>
      </w:r>
      <m:oMath>
        <m:sSub>
          <m:e>
            <m:r>
              <m:t xml:space="preserve">I</m:t>
            </m:r>
          </m:e>
          <m:sub>
            <m:r>
              <m:t xml:space="preserve">P</m:t>
            </m:r>
            <m:r>
              <m:t xml:space="preserve">D</m:t>
            </m:r>
          </m:sub>
        </m:sSub>
      </m:oMath>
      <w:r>
        <w:t xml:space="preserve"> are the pull-up and pull-down tables of the file, held at their end values outside the tabulated range, and </w:t>
      </w:r>
      <m:oMath>
        <m:sSub>
          <m:e>
            <m:r>
              <m:t xml:space="preserve">I</m:t>
            </m:r>
          </m:e>
          <m:sub>
            <m:r>
              <m:t xml:space="preserve">P</m:t>
            </m:r>
            <m:r>
              <m:t xml:space="preserve">C</m:t>
            </m:r>
          </m:sub>
        </m:sSub>
      </m:oMath>
      <w:r>
        <w:t xml:space="preserve">, </w:t>
      </w:r>
      <m:oMath>
        <m:sSub>
          <m:e>
            <m:r>
              <m:t xml:space="preserve">I</m:t>
            </m:r>
          </m:e>
          <m:sub>
            <m:r>
              <m:t xml:space="preserve">G</m:t>
            </m:r>
            <m:r>
              <m:t xml:space="preserve">C</m:t>
            </m:r>
          </m:sub>
        </m:sSub>
      </m:oMath>
      <w:r>
        <w:t xml:space="preserve"> are the clamp tables, present only when the file contains them (io_buf does; ex2 and inv_chain do not). </w:t>
      </w:r>
      <m:oMath>
        <m:sSub>
          <m:e>
            <m:r>
              <m:t xml:space="preserve">C</m:t>
            </m:r>
          </m:e>
          <m:sub>
            <m:r>
              <m:t xml:space="preserve">c</m:t>
            </m:r>
            <m:r>
              <m:t xml:space="preserve">o</m:t>
            </m:r>
            <m:r>
              <m:t xml:space="preserve">m</m:t>
            </m:r>
            <m:r>
              <m:t xml:space="preserve">p</m:t>
            </m:r>
          </m:sub>
        </m:sSub>
      </m:oMath>
      <w:r>
        <w:t xml:space="preserve"> loads the die node and the package </w:t>
      </w:r>
      <m:oMath>
        <m:r>
          <m:t xml:space="preserve">R</m:t>
        </m:r>
      </m:oMath>
      <w:r>
        <w:t xml:space="preserve">, </w:t>
      </w:r>
      <m:oMath>
        <m:r>
          <m:t xml:space="preserve">L</m:t>
        </m:r>
      </m:oMath>
      <w:r>
        <w:t xml:space="preserve">, </w:t>
      </w:r>
      <m:oMath>
        <m:r>
          <m:t xml:space="preserve">C</m:t>
        </m:r>
      </m:oMath>
      <w:r>
        <w:t xml:space="preserve"> connect it to the pad. The converter's short first-order lag on the fractions (5 ps) and its residual correction term are retained as they are.</w:t>
      </w:r>
    </w:p>
    <w:p>
      <w:pPr>
        <w:pStyle w:val="Heading1"/>
      </w:pPr>
      <w:r>
        <w:t xml:space="preserve">IV. Identification from the File and One Measurement</w:t>
      </w:r>
    </w:p>
    <w:p>
      <w:pPr>
        <w:pStyle w:val="Heading2"/>
      </w:pPr>
      <w:r>
        <w:t xml:space="preserve">A. Overview</w:t>
      </w:r>
    </w:p>
    <w:p>
      <w:pPr>
        <w:pStyle w:val="FirstParagraph"/>
      </w:pPr>
      <w:r>
        <w:t xml:space="preserve">Fig. 7 draws the procedure and Table III lists it; the steps are numbered 0 to 4 throughout. The quantities of the model have four origins. The I–V tables, </w:t>
      </w:r>
      <m:oMath>
        <m:sSub>
          <m:e>
            <m:r>
              <m:t xml:space="preserve">C</m:t>
            </m:r>
          </m:e>
          <m:sub>
            <m:r>
              <m:t xml:space="preserve">c</m:t>
            </m:r>
            <m:r>
              <m:t xml:space="preserve">o</m:t>
            </m:r>
            <m:r>
              <m:t xml:space="preserve">m</m:t>
            </m:r>
            <m:r>
              <m:t xml:space="preserve">p</m:t>
            </m:r>
          </m:sub>
        </m:sSub>
      </m:oMath>
      <w:r>
        <w:t xml:space="preserve">, the package and the full-swing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come from the file and are never changed. The constants </w:t>
      </w:r>
      <m:oMath>
        <m:sSub>
          <m:e>
            <m:r>
              <m:t xml:space="preserve">x</m:t>
            </m:r>
          </m:e>
          <m:sub>
            <m:r>
              <m:t xml:space="preserve">l</m:t>
            </m:r>
            <m:r>
              <m:t xml:space="preserve">i</m:t>
            </m:r>
            <m:r>
              <m:t xml:space="preserve">n</m:t>
            </m:r>
          </m:sub>
        </m:sSub>
      </m:oMath>
      <w:r>
        <w:t xml:space="preserve"> and </w:t>
      </w:r>
      <m:oMath>
        <m:r>
          <m:t xml:space="preserve">p</m:t>
        </m:r>
      </m:oMath>
      <w:r>
        <w:t xml:space="preserve"> of the stage law and the three candidate map shapes are built in: their values were chosen during development with knowledge of the test buffers' transistors, and they are the method's assumptions. The stage rates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a first value of the threshold </w:t>
      </w:r>
      <m:oMath>
        <m:sSub>
          <m:e>
            <m:r>
              <m:t xml:space="preserve">v</m:t>
            </m:r>
          </m:e>
          <m:sub>
            <m:r>
              <m:t xml:space="preserve">t</m:t>
            </m:r>
          </m:sub>
        </m:sSub>
      </m:oMath>
      <w:r>
        <w:t xml:space="preserve"> are fitted to the file (step 1). The stage count </w:t>
      </w:r>
      <m:oMath>
        <m:r>
          <m:t xml:space="preserve">K</m:t>
        </m:r>
      </m:oMath>
      <w:r>
        <w:t xml:space="preserve">, the map shape and the final </w:t>
      </w:r>
      <m:oMath>
        <m:sSub>
          <m:e>
            <m:r>
              <m:t xml:space="preserve">v</m:t>
            </m:r>
          </m:e>
          <m:sub>
            <m:r>
              <m:t xml:space="preserve">t</m:t>
            </m:r>
          </m:sub>
        </m:sSub>
      </m:oMath>
      <w:r>
        <w:t xml:space="preserve"> are settled by one measurement (steps 3 and 4). Applying the method to a new buffer therefore needs no transistor-level information, but the method is not derived from the file alone.</w:t>
      </w:r>
    </w:p>
    <w:p>
      <w:pPr>
        <w:pStyle w:val="CaptionedFigure"/>
        <w:jc w:val="center"/>
      </w:pPr>
      <w:r>
        <w:drawing>
          <wp:inline distT="0" distB="0" distL="0" distR="0">
            <wp:extent cx="5760720" cy="3469986"/>
            <wp:docPr id="107" name="Figure 7"/>
            <wp:cNvGraphicFramePr>
              <a:graphicFrameLocks noChangeAspect="1"/>
            </wp:cNvGraphicFramePr>
            <a:graphic>
              <a:graphicData uri="http://schemas.openxmlformats.org/drawingml/2006/picture">
                <pic:pic>
                  <pic:nvPicPr>
                    <pic:cNvPr id="107" name="fig7.png"/>
                    <pic:cNvPicPr/>
                  </pic:nvPicPr>
                  <pic:blipFill>
                    <a:blip r:embed="rIdFig7"/>
                    <a:stretch>
                      <a:fillRect/>
                    </a:stretch>
                  </pic:blipFill>
                  <pic:spPr>
                    <a:xfrm>
                      <a:off x="0" y="0"/>
                      <a:ext cx="5760720" cy="3469986"/>
                    </a:xfrm>
                    <a:prstGeom prst="rect">
                      <a:avLst/>
                    </a:prstGeom>
                  </pic:spPr>
                </pic:pic>
              </a:graphicData>
            </a:graphic>
          </wp:inline>
        </w:drawing>
      </w:r>
    </w:p>
    <w:p>
      <w:pPr>
        <w:pStyle w:val="ImageCaption"/>
      </w:pPr>
      <w:r>
        <w:t xml:space="preserve">Fig. 7. The procedure as a flow. Grey: from the IBIS file. Orange: assumed, built into the method. Teal: fitted or computed. Red: the one measurement.</w:t>
      </w:r>
    </w:p>
    <w:p>
      <w:pPr>
        <w:pStyle w:val="TableCaption"/>
        <w:keepNext/>
      </w:pPr>
      <w:r>
        <w:t xml:space="preserve">Table III: The procedure. </w:t>
      </w:r>
      <m:oMath>
        <m:r>
          <m:t xml:space="preserve">p</m:t>
        </m:r>
        <m:r>
          <m:rPr>
            <m:sty m:val="p"/>
          </m:rPr>
          <m:t xml:space="preserve">=</m:t>
        </m:r>
        <m:r>
          <m:rPr>
            <m:sty m:val="p"/>
          </m:rPr>
          <m:t xml:space="preserve">1</m:t>
        </m:r>
      </m:oMath>
      <w:r>
        <w:t xml:space="preserve"> is fixed;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is fixed on ten of the twelve test buffers and fitted in step 1 on the other two.</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700"/>
        <w:gridCol w:w="4300"/>
        <w:gridCol w:w="3300"/>
        <w:gridCol w:w="1300"/>
      </w:tblGrid>
      <w:tr>
        <w:trPr>
          <w:cantSplit/>
          <w:tblHeader/>
        </w:trPr>
        <w:tc>
          <w:tcPr>
            <w:tcW w:w="700" w:type="dxa"/>
          </w:tcPr>
          <w:p>
            <w:pPr>
              <w:pStyle w:val="Compact"/>
              <w:keepNext/>
              <w:jc w:val="left"/>
            </w:pPr>
            <w:r>
              <w:rPr>
                <w:b/>
                <w:sz w:val="18"/>
              </w:rPr>
              <w:t xml:space="preserve">Step</w:t>
            </w:r>
          </w:p>
        </w:tc>
        <w:tc>
          <w:tcPr>
            <w:tcW w:w="4300" w:type="dxa"/>
          </w:tcPr>
          <w:p>
            <w:pPr>
              <w:pStyle w:val="Compact"/>
              <w:keepNext/>
              <w:jc w:val="left"/>
            </w:pPr>
            <w:r>
              <w:rPr>
                <w:b/>
                <w:sz w:val="18"/>
              </w:rPr>
              <w:t xml:space="preserve">What is determined</w:t>
            </w:r>
          </w:p>
        </w:tc>
        <w:tc>
          <w:tcPr>
            <w:tcW w:w="3300" w:type="dxa"/>
          </w:tcPr>
          <w:p>
            <w:pPr>
              <w:pStyle w:val="Compact"/>
              <w:keepNext/>
              <w:jc w:val="left"/>
            </w:pPr>
            <w:r>
              <w:rPr>
                <w:b/>
                <w:sz w:val="18"/>
              </w:rPr>
              <w:t xml:space="preserve">Data used</w:t>
            </w:r>
          </w:p>
        </w:tc>
        <w:tc>
          <w:tcPr>
            <w:tcW w:w="1300" w:type="dxa"/>
          </w:tcPr>
          <w:p>
            <w:pPr>
              <w:pStyle w:val="Compact"/>
              <w:keepNext/>
              <w:jc w:val="left"/>
            </w:pPr>
            <w:r>
              <w:rPr>
                <w:b/>
                <w:sz w:val="18"/>
              </w:rPr>
              <w:t xml:space="preserve">Eq.</w:t>
            </w:r>
          </w:p>
        </w:tc>
      </w:tr>
      <w:tr>
        <w:trPr>
          <w:cantSplit/>
        </w:trPr>
        <w:tc>
          <w:tcPr>
            <w:tcW w:w="700" w:type="dxa"/>
          </w:tcPr>
          <w:p>
            <w:pPr>
              <w:pStyle w:val="Compact"/>
              <w:jc w:val="left"/>
            </w:pPr>
            <w:r>
              <w:rPr>
                <w:sz w:val="18"/>
              </w:rPr>
              <w:t xml:space="preserve">0</w:t>
            </w:r>
          </w:p>
        </w:tc>
        <w:tc>
          <w:tcPr>
            <w:tcW w:w="4300" w:type="dxa"/>
          </w:tcPr>
          <w:p>
            <w:pPr>
              <w:pStyle w:val="Compact"/>
              <w:jc w:val="left"/>
            </w:pPr>
            <w:r>
              <w:rPr>
                <w:sz w:val="18"/>
              </w:rPr>
              <w:t xml:space="preserve">I–V tables, </w:t>
            </w:r>
            <m:oMath>
              <m:sSub>
                <m:e>
                  <m:r>
                    <m:t xml:space="preserve">C</m:t>
                  </m:r>
                </m:e>
                <m:sub>
                  <m:r>
                    <m:t xml:space="preserve">c</m:t>
                  </m:r>
                  <m:r>
                    <m:t xml:space="preserve">o</m:t>
                  </m:r>
                  <m:r>
                    <m:t xml:space="preserve">m</m:t>
                  </m:r>
                  <m:r>
                    <m:t xml:space="preserve">p</m:t>
                  </m:r>
                </m:sub>
              </m:sSub>
            </m:oMath>
            <w:r>
              <w:rPr>
                <w:sz w:val="18"/>
              </w:rPr>
              <w:t xml:space="preserve">, full-swing </w:t>
            </w:r>
            <m:oMath>
              <m:sSub>
                <m:e>
                  <m:r>
                    <m:t xml:space="preserve">K</m:t>
                  </m:r>
                </m:e>
                <m:sub>
                  <m:r>
                    <m:t xml:space="preserve">u</m:t>
                  </m:r>
                </m:sub>
              </m:sSub>
              <m:r>
                <m:rPr>
                  <m:sty m:val="p"/>
                </m:rPr>
                <m:t xml:space="preserve">(</m:t>
              </m:r>
              <m:r>
                <m:t xml:space="preserve">t</m:t>
              </m:r>
              <m:r>
                <m:rPr>
                  <m:sty m:val="p"/>
                </m:rPr>
                <m:t xml:space="preserve">)</m:t>
              </m:r>
            </m:oMath>
            <w:r>
              <w:rPr>
                <w:sz w:val="18"/>
              </w:rPr>
              <w:t xml:space="preserve"> and </w:t>
            </w:r>
            <m:oMath>
              <m:sSub>
                <m:e>
                  <m:r>
                    <m:t xml:space="preserve">K</m:t>
                  </m:r>
                </m:e>
                <m:sub>
                  <m:r>
                    <m:t xml:space="preserve">d</m:t>
                  </m:r>
                </m:sub>
              </m:sSub>
              <m:r>
                <m:rPr>
                  <m:sty m:val="p"/>
                </m:rPr>
                <m:t xml:space="preserve">(</m:t>
              </m:r>
              <m:r>
                <m:t xml:space="preserve">t</m:t>
              </m:r>
              <m:r>
                <m:rPr>
                  <m:sty m:val="p"/>
                </m:rPr>
                <m:t xml:space="preserve">)</m:t>
              </m:r>
            </m:oMath>
            <w:r>
              <w:rPr>
                <w:sz w:val="18"/>
              </w:rPr>
              <w:t xml:space="preserve">; the normalized target</w:t>
            </w:r>
          </w:p>
        </w:tc>
        <w:tc>
          <w:tcPr>
            <w:tcW w:w="3300" w:type="dxa"/>
          </w:tcPr>
          <w:p>
            <w:pPr>
              <w:pStyle w:val="Compact"/>
              <w:jc w:val="left"/>
            </w:pPr>
            <w:r>
              <w:rPr>
                <w:sz w:val="18"/>
              </w:rPr>
              <w:t xml:space="preserve">IBIS file, existing converter</w:t>
            </w:r>
          </w:p>
        </w:tc>
        <w:tc>
          <w:tcPr>
            <w:tcW w:w="1300" w:type="dxa"/>
          </w:tcPr>
          <w:p>
            <w:pPr>
              <w:pStyle w:val="Compact"/>
              <w:jc w:val="left"/>
            </w:pPr>
            <w:r>
              <w:rPr>
                <w:sz w:val="18"/>
              </w:rPr>
              <w:t xml:space="preserve">(24), (25)</w:t>
            </w:r>
          </w:p>
        </w:tc>
      </w:tr>
      <w:tr>
        <w:trPr>
          <w:cantSplit/>
        </w:trPr>
        <w:tc>
          <w:tcPr>
            <w:tcW w:w="700" w:type="dxa"/>
          </w:tcPr>
          <w:p>
            <w:pPr>
              <w:pStyle w:val="Compact"/>
              <w:jc w:val="left"/>
            </w:pPr>
            <w:r>
              <w:rPr>
                <w:sz w:val="18"/>
              </w:rPr>
              <w:t xml:space="preserve">1</w:t>
            </w:r>
          </w:p>
        </w:tc>
        <w:tc>
          <w:tcPr>
            <w:tcW w:w="4300" w:type="dxa"/>
          </w:tcPr>
          <w:p>
            <w:pPr>
              <w:pStyle w:val="Compact"/>
              <w:jc w:val="left"/>
            </w:pPr>
            <m:oMath>
              <m:sSub>
                <m:e>
                  <m:r>
                    <m:t xml:space="preserve">s</m:t>
                  </m:r>
                </m:e>
                <m:sub>
                  <m:r>
                    <m:t xml:space="preserve">u</m:t>
                  </m:r>
                  <m:r>
                    <m:t xml:space="preserve">p</m:t>
                  </m:r>
                </m:sub>
              </m:sSub>
            </m:oMath>
            <w:r>
              <w:rPr>
                <w:sz w:val="18"/>
              </w:rPr>
              <w:t xml:space="preserve">, </w:t>
            </w:r>
            <m:oMath>
              <m:sSub>
                <m:e>
                  <m:r>
                    <m:t xml:space="preserve">s</m:t>
                  </m:r>
                </m:e>
                <m:sub>
                  <m:r>
                    <m:t xml:space="preserve">d</m:t>
                  </m:r>
                  <m:r>
                    <m:t xml:space="preserve">n</m:t>
                  </m:r>
                </m:sub>
              </m:sSub>
            </m:oMath>
            <w:r>
              <w:rPr>
                <w:sz w:val="18"/>
              </w:rPr>
              <w:t xml:space="preserve"> and an initial </w:t>
            </w:r>
            <m:oMath>
              <m:sSub>
                <m:e>
                  <m:r>
                    <m:t xml:space="preserve">v</m:t>
                  </m:r>
                </m:e>
                <m:sub>
                  <m:r>
                    <m:t xml:space="preserve">t</m:t>
                  </m:r>
                </m:sub>
              </m:sSub>
            </m:oMath>
            <w:r>
              <w:rPr>
                <w:sz w:val="18"/>
              </w:rPr>
              <w:t xml:space="preserve">, for each candidate stage count and map shape</w:t>
            </w:r>
          </w:p>
        </w:tc>
        <w:tc>
          <w:tcPr>
            <w:tcW w:w="3300" w:type="dxa"/>
          </w:tcPr>
          <w:p>
            <w:pPr>
              <w:pStyle w:val="Compact"/>
              <w:jc w:val="left"/>
            </w:pPr>
            <w:r>
              <w:rPr>
                <w:sz w:val="18"/>
              </w:rPr>
              <w:t xml:space="preserve">full-swing </w:t>
            </w:r>
            <m:oMath>
              <m:sSub>
                <m:e>
                  <m:r>
                    <m:t xml:space="preserve">K</m:t>
                  </m:r>
                </m:e>
                <m:sub>
                  <m:r>
                    <m:t xml:space="preserve">u</m:t>
                  </m:r>
                </m:sub>
              </m:sSub>
              <m:r>
                <m:rPr>
                  <m:sty m:val="p"/>
                </m:rPr>
                <m:t xml:space="preserve">(</m:t>
              </m:r>
              <m:r>
                <m:t xml:space="preserve">t</m:t>
              </m:r>
              <m:r>
                <m:rPr>
                  <m:sty m:val="p"/>
                </m:rPr>
                <m:t xml:space="preserve">)</m:t>
              </m:r>
            </m:oMath>
            <w:r>
              <w:rPr>
                <w:sz w:val="18"/>
              </w:rPr>
              <w:t xml:space="preserve"> of the file</w:t>
            </w:r>
          </w:p>
        </w:tc>
        <w:tc>
          <w:tcPr>
            <w:tcW w:w="1300" w:type="dxa"/>
          </w:tcPr>
          <w:p>
            <w:pPr>
              <w:pStyle w:val="Compact"/>
              <w:jc w:val="left"/>
            </w:pPr>
            <w:r>
              <w:rPr>
                <w:sz w:val="18"/>
              </w:rPr>
              <w:t xml:space="preserve">(26)</w:t>
            </w:r>
          </w:p>
        </w:tc>
      </w:tr>
      <w:tr>
        <w:trPr>
          <w:cantSplit/>
        </w:trPr>
        <w:tc>
          <w:tcPr>
            <w:tcW w:w="700" w:type="dxa"/>
          </w:tcPr>
          <w:p>
            <w:pPr>
              <w:pStyle w:val="Compact"/>
              <w:jc w:val="left"/>
            </w:pPr>
            <w:r>
              <w:rPr>
                <w:sz w:val="18"/>
              </w:rPr>
              <w:t xml:space="preserve">2</w:t>
            </w:r>
          </w:p>
        </w:tc>
        <w:tc>
          <w:tcPr>
            <w:tcW w:w="4300" w:type="dxa"/>
          </w:tcPr>
          <w:p>
            <w:pPr>
              <w:pStyle w:val="Compact"/>
              <w:jc w:val="left"/>
            </w:pPr>
            <w:r>
              <w:rPr>
                <w:sz w:val="18"/>
              </w:rPr>
              <w:t xml:space="preserve">Candidate set: three stage counts × three map shapes</w:t>
            </w:r>
          </w:p>
        </w:tc>
        <w:tc>
          <w:tcPr>
            <w:tcW w:w="3300" w:type="dxa"/>
          </w:tcPr>
          <w:p>
            <w:pPr>
              <w:pStyle w:val="Compact"/>
              <w:jc w:val="left"/>
            </w:pPr>
            <w:r>
              <w:rPr>
                <w:sz w:val="18"/>
              </w:rPr>
              <w:t xml:space="preserve">fit residuals of step 1</w:t>
            </w:r>
          </w:p>
        </w:tc>
        <w:tc>
          <w:tcPr>
            <w:tcW w:w="1300" w:type="dxa"/>
          </w:tcPr>
          <w:p>
            <w:pPr>
              <w:pStyle w:val="Compact"/>
              <w:jc w:val="left"/>
            </w:pPr>
            <w:r>
              <w:rPr>
                <w:sz w:val="18"/>
              </w:rPr>
              <w:t xml:space="preserve">(27)</w:t>
            </w:r>
          </w:p>
        </w:tc>
      </w:tr>
      <w:tr>
        <w:trPr>
          <w:cantSplit/>
        </w:trPr>
        <w:tc>
          <w:tcPr>
            <w:tcW w:w="700" w:type="dxa"/>
          </w:tcPr>
          <w:p>
            <w:pPr>
              <w:pStyle w:val="Compact"/>
              <w:jc w:val="left"/>
            </w:pPr>
            <w:r>
              <w:rPr>
                <w:sz w:val="18"/>
              </w:rPr>
              <w:t xml:space="preserve">3</w:t>
            </w:r>
          </w:p>
        </w:tc>
        <w:tc>
          <w:tcPr>
            <w:tcW w:w="4300" w:type="dxa"/>
          </w:tcPr>
          <w:p>
            <w:pPr>
              <w:pStyle w:val="Compact"/>
              <w:jc w:val="left"/>
            </w:pPr>
            <m:oMath>
              <m:sSub>
                <m:e>
                  <m:r>
                    <m:t xml:space="preserve">v</m:t>
                  </m:r>
                </m:e>
                <m:sub>
                  <m:r>
                    <m:t xml:space="preserve">t</m:t>
                  </m:r>
                </m:sub>
              </m:sSub>
            </m:oMath>
            <w:r>
              <w:rPr>
                <w:sz w:val="18"/>
              </w:rPr>
              <w:t xml:space="preserve">, for each candidate</w:t>
            </w:r>
          </w:p>
        </w:tc>
        <w:tc>
          <w:tcPr>
            <w:tcW w:w="3300" w:type="dxa"/>
          </w:tcPr>
          <w:p>
            <w:pPr>
              <w:pStyle w:val="Compact"/>
              <w:jc w:val="left"/>
            </w:pPr>
            <w:r>
              <w:rPr>
                <w:sz w:val="18"/>
              </w:rPr>
              <w:t xml:space="preserve">peak of one stressed pad waveform</w:t>
            </w:r>
          </w:p>
        </w:tc>
        <w:tc>
          <w:tcPr>
            <w:tcW w:w="1300" w:type="dxa"/>
          </w:tcPr>
          <w:p>
            <w:pPr>
              <w:pStyle w:val="Compact"/>
              <w:jc w:val="left"/>
            </w:pPr>
            <w:r>
              <w:rPr>
                <w:sz w:val="18"/>
              </w:rPr>
              <w:t xml:space="preserve">(28)</w:t>
            </w:r>
          </w:p>
        </w:tc>
      </w:tr>
      <w:tr>
        <w:trPr>
          <w:cantSplit/>
        </w:trPr>
        <w:tc>
          <w:tcPr>
            <w:tcW w:w="700" w:type="dxa"/>
          </w:tcPr>
          <w:p>
            <w:pPr>
              <w:pStyle w:val="Compact"/>
              <w:jc w:val="left"/>
            </w:pPr>
            <w:r>
              <w:rPr>
                <w:sz w:val="18"/>
              </w:rPr>
              <w:t xml:space="preserve">4</w:t>
            </w:r>
          </w:p>
        </w:tc>
        <w:tc>
          <w:tcPr>
            <w:tcW w:w="4300" w:type="dxa"/>
          </w:tcPr>
          <w:p>
            <w:pPr>
              <w:pStyle w:val="Compact"/>
              <w:jc w:val="left"/>
            </w:pPr>
            <w:r>
              <w:rPr>
                <w:sz w:val="18"/>
              </w:rPr>
              <w:t xml:space="preserve">Stage count </w:t>
            </w:r>
            <m:oMath>
              <m:r>
                <m:t xml:space="preserve">K</m:t>
              </m:r>
            </m:oMath>
            <w:r>
              <w:rPr>
                <w:sz w:val="18"/>
              </w:rPr>
              <w:t xml:space="preserve"> and map shape</w:t>
            </w:r>
          </w:p>
        </w:tc>
        <w:tc>
          <w:tcPr>
            <w:tcW w:w="3300" w:type="dxa"/>
          </w:tcPr>
          <w:p>
            <w:pPr>
              <w:pStyle w:val="Compact"/>
              <w:jc w:val="left"/>
            </w:pPr>
            <w:r>
              <w:rPr>
                <w:sz w:val="18"/>
              </w:rPr>
              <w:t xml:space="preserve">the same waveform, whole shape</w:t>
            </w:r>
          </w:p>
        </w:tc>
        <w:tc>
          <w:tcPr>
            <w:tcW w:w="1300" w:type="dxa"/>
          </w:tcPr>
          <w:p>
            <w:pPr>
              <w:pStyle w:val="Compact"/>
              <w:jc w:val="left"/>
            </w:pPr>
            <w:r>
              <w:rPr>
                <w:sz w:val="18"/>
              </w:rPr>
              <w:t xml:space="preserve">(29)</w:t>
            </w:r>
          </w:p>
        </w:tc>
      </w:tr>
    </w:tbl>
    <w:p>
      <w:pPr>
        <w:pStyle w:val="Compact"/>
      </w:pPr>
    </w:p>
    <w:p>
      <w:pPr>
        <w:pStyle w:val="FirstParagraph"/>
      </w:pPr>
      <w:r>
        <w:t xml:space="preserve">ex2 is the running example, in two settings. The figures that explain the fit use the map shape and </w:t>
      </w:r>
      <m:oMath>
        <m:sSub>
          <m:e>
            <m:r>
              <m:t xml:space="preserve">C</m:t>
            </m:r>
          </m:e>
          <m:sub>
            <m:r>
              <m:t xml:space="preserve">c</m:t>
            </m:r>
            <m:r>
              <m:t xml:space="preserve">o</m:t>
            </m:r>
            <m:r>
              <m:t xml:space="preserve">m</m:t>
            </m:r>
            <m:r>
              <m:t xml:space="preserve">p</m:t>
            </m:r>
          </m:sub>
        </m:sSub>
      </m:oMath>
      <w:r>
        <w:t xml:space="preserve"> measured on its netlist, (0.57, 0.64) and 1.7 pF, so that the model's gate can be compared with the probed gate; the procedure's own numbers for ex2, in Section IV-F and Section V, use only what the file and one measurement provide: </w:t>
      </w:r>
      <m:oMath>
        <m:sSub>
          <m:e>
            <m:r>
              <m:t xml:space="preserve">C</m:t>
            </m:r>
          </m:e>
          <m:sub>
            <m:r>
              <m:t xml:space="preserve">c</m:t>
            </m:r>
            <m:r>
              <m:t xml:space="preserve">o</m:t>
            </m:r>
            <m:r>
              <m:t xml:space="preserve">m</m:t>
            </m:r>
            <m:r>
              <m:t xml:space="preserve">p</m:t>
            </m:r>
          </m:sub>
        </m:sSub>
      </m:oMath>
      <w:r>
        <w:t xml:space="preserve"> estimated from the file (2.64 pF) and the three candidate shapes. The text says which is in use.</w:t>
      </w:r>
    </w:p>
    <w:p>
      <w:pPr>
        <w:pStyle w:val="Heading2"/>
      </w:pPr>
      <w:r>
        <w:t xml:space="preserve">B. Step 0: the target</w:t>
      </w:r>
    </w:p>
    <w:p>
      <w:pPr>
        <w:pStyle w:val="FirstParagraph"/>
      </w:pPr>
      <w:r>
        <w:t xml:space="preserve">The only curve the stage law is ever fitted to is the file's own conducting fraction through one complete transition. The existing converter obtains it from the two fixtures: at each instant of the rising transition the current into the die node must balance in both, with </w:t>
      </w:r>
      <m:oMath>
        <m:sSub>
          <m:e>
            <m:r>
              <m:t xml:space="preserve">V</m:t>
            </m:r>
          </m:e>
          <m:sub>
            <m:r>
              <m:t xml:space="preserve">i</m:t>
            </m:r>
          </m:sub>
        </m:sSub>
        <m:r>
          <m:rPr>
            <m:sty m:val="p"/>
          </m:rPr>
          <m:t xml:space="preserve">(</m:t>
        </m:r>
        <m:r>
          <m:t xml:space="preserve">t</m:t>
        </m:r>
        <m:r>
          <m:rPr>
            <m:sty m:val="p"/>
          </m:rPr>
          <m:t xml:space="preserve">)</m:t>
        </m:r>
      </m:oMath>
      <w:r>
        <w:t xml:space="preserve"> the pad voltage recorded in fixture </w:t>
      </w:r>
      <m:oMath>
        <m:r>
          <m:t xml:space="preserve">i</m:t>
        </m:r>
      </m:oMath>
      <w:r>
        <w:t xml:space="preserve">,</w:t>
      </w:r>
    </w:p>
    <w:p>
      <w:pPr>
        <w:pStyle w:val="BodyText"/>
      </w:pPr>
      <m:oMathPara>
        <m:oMathParaPr>
          <m:jc m:val="center"/>
        </m:oMathParaPr>
        <m:oMath>
          <m:sSub>
            <m:e>
              <m:r>
                <m:t xml:space="preserve">K</m:t>
              </m:r>
            </m:e>
            <m:sub>
              <m:r>
                <m:t xml:space="preserve">u</m:t>
              </m:r>
            </m:sub>
          </m:sSub>
          <m:r>
            <m:rPr>
              <m:sty m:val="p"/>
            </m:rPr>
            <m:t xml:space="preserve">(</m:t>
          </m:r>
          <m:r>
            <m:t xml:space="preserve">t</m:t>
          </m:r>
          <m:r>
            <m:rPr>
              <m:sty m:val="p"/>
            </m:rPr>
            <m:t xml:space="preserve">)</m:t>
          </m:r>
          <m:r>
            <m:rPr>
              <m:sty m:val="p"/>
            </m:rPr>
            <m:t xml:space="preserve"> </m:t>
          </m:r>
          <m:sSub>
            <m:e>
              <m:r>
                <m:t xml:space="preserve">I</m:t>
              </m:r>
            </m:e>
            <m:sub>
              <m:r>
                <m:t xml:space="preserve">P</m:t>
              </m:r>
              <m:r>
                <m:t xml:space="preserve">U</m:t>
              </m:r>
            </m:sub>
          </m:sSub>
          <m:r>
            <m:rPr>
              <m:sty m:val="p"/>
            </m:rPr>
            <m:t xml:space="preserve">(</m:t>
          </m:r>
          <m:sSub>
            <m:e>
              <m:r>
                <m:t xml:space="preserve">V</m:t>
              </m:r>
            </m:e>
            <m:sub>
              <m:r>
                <m:t xml:space="preserve">i</m:t>
              </m:r>
            </m:sub>
          </m:sSub>
          <m:r>
            <m:rPr>
              <m:sty m:val="p"/>
            </m:rPr>
            <m:t xml:space="preserve">(</m:t>
          </m:r>
          <m:r>
            <m:t xml:space="preserve">t</m:t>
          </m:r>
          <m:r>
            <m:rPr>
              <m:sty m:val="p"/>
            </m:rPr>
            <m:t xml:space="preserve">)</m:t>
          </m:r>
          <m:r>
            <m:rPr>
              <m:sty m:val="p"/>
            </m:rPr>
            <m:t xml:space="preserve">)</m:t>
          </m:r>
          <m:r>
            <m:rPr>
              <m:sty m:val="p"/>
            </m:rPr>
            <m:t xml:space="preserve">+</m:t>
          </m:r>
          <m:sSub>
            <m:e>
              <m:r>
                <m:t xml:space="preserve">K</m:t>
              </m:r>
            </m:e>
            <m:sub>
              <m:r>
                <m:t xml:space="preserve">d</m:t>
              </m:r>
            </m:sub>
          </m:sSub>
          <m:r>
            <m:rPr>
              <m:sty m:val="p"/>
            </m:rPr>
            <m:t xml:space="preserve">(</m:t>
          </m:r>
          <m:r>
            <m:t xml:space="preserve">t</m:t>
          </m:r>
          <m:r>
            <m:rPr>
              <m:sty m:val="p"/>
            </m:rPr>
            <m:t xml:space="preserve">)</m:t>
          </m:r>
          <m:r>
            <m:rPr>
              <m:sty m:val="p"/>
            </m:rPr>
            <m:t xml:space="preserve"> </m:t>
          </m:r>
          <m:sSub>
            <m:e>
              <m:r>
                <m:t xml:space="preserve">I</m:t>
              </m:r>
            </m:e>
            <m:sub>
              <m:r>
                <m:t xml:space="preserve">P</m:t>
              </m:r>
              <m:r>
                <m:t xml:space="preserve">D</m:t>
              </m:r>
            </m:sub>
          </m:sSub>
          <m:r>
            <m:rPr>
              <m:sty m:val="p"/>
            </m:rPr>
            <m:t xml:space="preserve">(</m:t>
          </m:r>
          <m:sSub>
            <m:e>
              <m:r>
                <m:t xml:space="preserve">V</m:t>
              </m:r>
            </m:e>
            <m:sub>
              <m:r>
                <m:t xml:space="preserve">i</m:t>
              </m:r>
            </m:sub>
          </m:sSub>
          <m:r>
            <m:rPr>
              <m:sty m:val="p"/>
            </m:rPr>
            <m:t xml:space="preserve">(</m:t>
          </m:r>
          <m:r>
            <m:t xml:space="preserve">t</m:t>
          </m:r>
          <m:r>
            <m:rPr>
              <m:sty m:val="p"/>
            </m:rPr>
            <m:t xml:space="preserve">)</m:t>
          </m:r>
          <m:r>
            <m:rPr>
              <m:sty m:val="p"/>
            </m:rPr>
            <m:t xml:space="preserve">)</m:t>
          </m:r>
          <m:r>
            <m:rPr>
              <m:sty m:val="p"/>
            </m:rPr>
            <m:t xml:space="preserve">=</m:t>
          </m:r>
          <m:f>
            <m:num>
              <m:sSub>
                <m:e>
                  <m:r>
                    <m:t xml:space="preserve">V</m:t>
                  </m:r>
                </m:e>
                <m:sub>
                  <m:r>
                    <m:t xml:space="preserve">f</m:t>
                  </m:r>
                  <m:r>
                    <m:t xml:space="preserve">i</m:t>
                  </m:r>
                  <m:r>
                    <m:t xml:space="preserve">x</m:t>
                  </m:r>
                  <m:r>
                    <m:rPr>
                      <m:sty m:val="p"/>
                    </m:rPr>
                    <m:t xml:space="preserve">,</m:t>
                  </m:r>
                  <m:r>
                    <m:t xml:space="preserve">i</m:t>
                  </m:r>
                </m:sub>
              </m:sSub>
              <m:r>
                <m:rPr>
                  <m:sty m:val="p"/>
                </m:rPr>
                <m:t xml:space="preserve">−</m:t>
              </m:r>
              <m:sSub>
                <m:e>
                  <m:r>
                    <m:t xml:space="preserve">V</m:t>
                  </m:r>
                </m:e>
                <m:sub>
                  <m:r>
                    <m:t xml:space="preserve">i</m:t>
                  </m:r>
                </m:sub>
              </m:sSub>
              <m:r>
                <m:rPr>
                  <m:sty m:val="p"/>
                </m:rPr>
                <m:t xml:space="preserve">(</m:t>
              </m:r>
              <m:r>
                <m:t xml:space="preserve">t</m:t>
              </m:r>
              <m:r>
                <m:rPr>
                  <m:sty m:val="p"/>
                </m:rPr>
                <m:t xml:space="preserve">)</m:t>
              </m:r>
            </m:num>
            <m:den>
              <m:sSub>
                <m:e>
                  <m:r>
                    <m:t xml:space="preserve">R</m:t>
                  </m:r>
                </m:e>
                <m:sub>
                  <m:r>
                    <m:t xml:space="preserve">f</m:t>
                  </m:r>
                  <m:r>
                    <m:t xml:space="preserve">i</m:t>
                  </m:r>
                  <m:r>
                    <m:t xml:space="preserve">x</m:t>
                  </m:r>
                </m:sub>
              </m:sSub>
            </m:den>
          </m:f>
          <m:r>
            <m:rPr>
              <m:sty m:val="p"/>
            </m:rPr>
            <m:t xml:space="preserve">−</m:t>
          </m:r>
          <m:sSub>
            <m:e>
              <m:r>
                <m:t xml:space="preserve">C</m:t>
              </m:r>
            </m:e>
            <m:sub>
              <m:r>
                <m:t xml:space="preserve">c</m:t>
              </m:r>
              <m:r>
                <m:t xml:space="preserve">o</m:t>
              </m:r>
              <m:r>
                <m:t xml:space="preserve">m</m:t>
              </m:r>
              <m:r>
                <m:t xml:space="preserve">p</m:t>
              </m:r>
            </m:sub>
          </m:sSub>
          <m:f>
            <m:num>
              <m:r>
                <m:t xml:space="preserve">d</m:t>
              </m:r>
              <m:sSub>
                <m:e>
                  <m:r>
                    <m:t xml:space="preserve">V</m:t>
                  </m:r>
                </m:e>
                <m:sub>
                  <m:r>
                    <m:t xml:space="preserve">i</m:t>
                  </m:r>
                </m:sub>
              </m:sSub>
            </m:num>
            <m:den>
              <m:r>
                <m:t xml:space="preserve">d</m:t>
              </m:r>
              <m:r>
                <m:t xml:space="preserve">t</m:t>
              </m:r>
            </m:den>
          </m:f>
          <m:r>
            <m:rPr>
              <m:sty m:val="p"/>
            </m:rPr>
            <m:t xml:space="preserve">,</m:t>
          </m:r>
          <m:r>
            <m:rPr>
              <m:sty m:val="p"/>
            </m:rPr>
            <m:t xml:space="preserve"> </m:t>
          </m:r>
          <m:r>
            <m:t xml:space="preserve">i</m:t>
          </m:r>
          <m:r>
            <m:rPr>
              <m:sty m:val="p"/>
            </m:rPr>
            <m:t xml:space="preserve">=</m:t>
          </m:r>
          <m:r>
            <m:rPr>
              <m:sty m:val="p"/>
            </m:rPr>
            <m:t xml:space="preserve">1</m:t>
          </m:r>
          <m:r>
            <m:rPr>
              <m:sty m:val="p"/>
            </m:rPr>
            <m:t xml:space="preserve">,</m:t>
          </m:r>
          <m:r>
            <m:rPr>
              <m:sty m:val="p"/>
            </m:rPr>
            <m:t xml:space="preserve">2</m:t>
          </m:r>
        </m:oMath>
      </m:oMathPara>
    </w:p>
    <w:p>
      <w:pPr>
        <w:pStyle w:val="FirstParagraph"/>
      </w:pPr>
      <w:r>
        <w:t xml:space="preserve">(the clamp currents join the right-hand side when the file has them). Two equations in two unknowns are solved at every sample, for the rising and for the falling transition (Fig. 8). This is the standard two-waveform solution and is not part of the proposed method. The existing circuit model reproduces it: driven through one 10 ns input pulse, its internal node carrying the table value follows the solved </w:t>
      </w:r>
      <m:oMath>
        <m:sSub>
          <m:e>
            <m:r>
              <m:t xml:space="preserve">K</m:t>
            </m:r>
          </m:e>
          <m:sub>
            <m:r>
              <m:t xml:space="preserve">u</m:t>
            </m:r>
          </m:sub>
        </m:sSub>
        <m:r>
          <m:rPr>
            <m:sty m:val="p"/>
          </m:rPr>
          <m:t xml:space="preserve">(</m:t>
        </m:r>
        <m:r>
          <m:t xml:space="preserve">t</m:t>
        </m:r>
        <m:r>
          <m:rPr>
            <m:sty m:val="p"/>
          </m:rPr>
          <m:t xml:space="preserve">)</m:t>
        </m:r>
      </m:oMath>
      <w:r>
        <w:t xml:space="preserve"> within 0.015 rms on ex2 once aligned on the input edge. The target is that node, normalized between its settled off level at </w:t>
      </w:r>
      <m:oMath>
        <m:sSub>
          <m:e>
            <m:r>
              <m:t xml:space="preserve">t</m:t>
            </m:r>
          </m:e>
          <m:sub>
            <m:r>
              <m:t xml:space="preserve">r</m:t>
            </m:r>
            <m:r>
              <m:t xml:space="preserve">e</m:t>
            </m:r>
            <m:r>
              <m:t xml:space="preserve">s</m:t>
            </m:r>
            <m:r>
              <m:t xml:space="preserve">t</m:t>
            </m:r>
          </m:sub>
        </m:sSub>
      </m:oMath>
      <w:r>
        <w:t xml:space="preserve"> and its settled on level at </w:t>
      </w:r>
      <m:oMath>
        <m:sSub>
          <m:e>
            <m:r>
              <m:t xml:space="preserve">t</m:t>
            </m:r>
          </m:e>
          <m:sub>
            <m:r>
              <m:t xml:space="preserve">o</m:t>
            </m:r>
            <m:r>
              <m:t xml:space="preserve">n</m:t>
            </m:r>
          </m:sub>
        </m:sSub>
      </m:oMath>
      <w:r>
        <w:t xml:space="preserve">:</w:t>
      </w:r>
    </w:p>
    <w:p>
      <w:pPr>
        <w:pStyle w:val="BodyText"/>
      </w:pPr>
      <m:oMathPara>
        <m:oMathParaPr>
          <m:jc m:val="center"/>
        </m:oMathParaPr>
        <m:oMath>
          <m:sSub>
            <m:e>
              <m:acc>
                <m:accPr>
                  <m:chr m:val="̂"/>
                </m:accPr>
                <m:e>
                  <m:r>
                    <m:t xml:space="preserve">K</m:t>
                  </m:r>
                </m:e>
              </m:acc>
            </m:e>
            <m:sub>
              <m:r>
                <m:t xml:space="preserve">u</m:t>
              </m:r>
            </m:sub>
          </m:sSub>
          <m:r>
            <m:rPr>
              <m:sty m:val="p"/>
            </m:rPr>
            <m:t xml:space="preserve">(</m:t>
          </m:r>
          <m:r>
            <m:t xml:space="preserve">t</m:t>
          </m:r>
          <m:r>
            <m:rPr>
              <m:sty m:val="p"/>
            </m:rPr>
            <m:t xml:space="preserve">)</m:t>
          </m:r>
          <m:r>
            <m:rPr>
              <m:sty m:val="p"/>
            </m:rPr>
            <m:t xml:space="preserve">=</m:t>
          </m:r>
          <m:r>
            <m:rPr>
              <m:sty m:val="p"/>
            </m:rPr>
            <m:t xml:space="preserve">clip</m:t>
          </m:r>
          <m:d>
            <m:dPr>
              <m:begChr m:val="("/>
              <m:endChr m:val=")"/>
              <m:grow/>
            </m:dPr>
            <m:e>
              <m:f>
                <m:num>
                  <m:sSub>
                    <m:e>
                      <m:r>
                        <m:t xml:space="preserve">K</m:t>
                      </m:r>
                    </m:e>
                    <m:sub>
                      <m:r>
                        <m:t xml:space="preserve">u</m:t>
                      </m:r>
                    </m:sub>
                  </m:sSub>
                  <m:r>
                    <m:rPr>
                      <m:sty m:val="p"/>
                    </m:rPr>
                    <m:t xml:space="preserve">(</m:t>
                  </m:r>
                  <m:r>
                    <m:t xml:space="preserve">t</m:t>
                  </m:r>
                  <m:r>
                    <m:rPr>
                      <m:sty m:val="p"/>
                    </m:rPr>
                    <m:t xml:space="preserve">)</m:t>
                  </m:r>
                  <m:r>
                    <m:rPr>
                      <m:sty m:val="p"/>
                    </m:rPr>
                    <m:t xml:space="preserve">−</m:t>
                  </m:r>
                  <m:sSub>
                    <m:e>
                      <m:r>
                        <m:t xml:space="preserve">K</m:t>
                      </m:r>
                    </m:e>
                    <m:sub>
                      <m:r>
                        <m:t xml:space="preserve">u</m:t>
                      </m:r>
                    </m:sub>
                  </m:sSub>
                  <m:r>
                    <m:rPr>
                      <m:sty m:val="p"/>
                    </m:rPr>
                    <m:t xml:space="preserve">(</m:t>
                  </m:r>
                  <m:sSub>
                    <m:e>
                      <m:r>
                        <m:t xml:space="preserve">t</m:t>
                      </m:r>
                    </m:e>
                    <m:sub>
                      <m:r>
                        <m:t xml:space="preserve">r</m:t>
                      </m:r>
                      <m:r>
                        <m:t xml:space="preserve">e</m:t>
                      </m:r>
                      <m:r>
                        <m:t xml:space="preserve">s</m:t>
                      </m:r>
                      <m:r>
                        <m:t xml:space="preserve">t</m:t>
                      </m:r>
                    </m:sub>
                  </m:sSub>
                  <m:r>
                    <m:rPr>
                      <m:sty m:val="p"/>
                    </m:rPr>
                    <m:t xml:space="preserve">)</m:t>
                  </m:r>
                </m:num>
                <m:den>
                  <m:sSub>
                    <m:e>
                      <m:r>
                        <m:t xml:space="preserve">K</m:t>
                      </m:r>
                    </m:e>
                    <m:sub>
                      <m:r>
                        <m:t xml:space="preserve">u</m:t>
                      </m:r>
                    </m:sub>
                  </m:sSub>
                  <m:r>
                    <m:rPr>
                      <m:sty m:val="p"/>
                    </m:rPr>
                    <m:t xml:space="preserve">(</m:t>
                  </m:r>
                  <m:sSub>
                    <m:e>
                      <m:r>
                        <m:t xml:space="preserve">t</m:t>
                      </m:r>
                    </m:e>
                    <m:sub>
                      <m:r>
                        <m:t xml:space="preserve">o</m:t>
                      </m:r>
                      <m:r>
                        <m:t xml:space="preserve">n</m:t>
                      </m:r>
                    </m:sub>
                  </m:sSub>
                  <m:r>
                    <m:rPr>
                      <m:sty m:val="p"/>
                    </m:rPr>
                    <m:t xml:space="preserve">)</m:t>
                  </m:r>
                  <m:r>
                    <m:rPr>
                      <m:sty m:val="p"/>
                    </m:rPr>
                    <m:t xml:space="preserve">−</m:t>
                  </m:r>
                  <m:sSub>
                    <m:e>
                      <m:r>
                        <m:t xml:space="preserve">K</m:t>
                      </m:r>
                    </m:e>
                    <m:sub>
                      <m:r>
                        <m:t xml:space="preserve">u</m:t>
                      </m:r>
                    </m:sub>
                  </m:sSub>
                  <m:r>
                    <m:rPr>
                      <m:sty m:val="p"/>
                    </m:rPr>
                    <m:t xml:space="preserve">(</m:t>
                  </m:r>
                  <m:sSub>
                    <m:e>
                      <m:r>
                        <m:t xml:space="preserve">t</m:t>
                      </m:r>
                    </m:e>
                    <m:sub>
                      <m:r>
                        <m:t xml:space="preserve">r</m:t>
                      </m:r>
                      <m:r>
                        <m:t xml:space="preserve">e</m:t>
                      </m:r>
                      <m:r>
                        <m:t xml:space="preserve">s</m:t>
                      </m:r>
                      <m:r>
                        <m:t xml:space="preserve">t</m:t>
                      </m:r>
                    </m:sub>
                  </m:sSub>
                  <m:r>
                    <m:rPr>
                      <m:sty m:val="p"/>
                    </m:rPr>
                    <m:t xml:space="preserve">)</m:t>
                  </m:r>
                </m:den>
              </m:f>
              <m:r>
                <m:rPr>
                  <m:sty m:val="p"/>
                </m:rPr>
                <m:t xml:space="preserve">,</m:t>
              </m:r>
              <m:r>
                <m:rPr>
                  <m:sty m:val="p"/>
                </m:rPr>
                <m:t xml:space="preserve">0</m:t>
              </m:r>
              <m:r>
                <m:rPr>
                  <m:sty m:val="p"/>
                </m:rPr>
                <m:t xml:space="preserve">,</m:t>
              </m:r>
              <m:r>
                <m:rPr>
                  <m:sty m:val="p"/>
                </m:rPr>
                <m:t xml:space="preserve">1</m:t>
              </m:r>
            </m:e>
          </m:d>
          <m:r>
            <m:rPr>
              <m:sty m:val="p"/>
            </m:rPr>
            <m:t xml:space="preserve">,</m:t>
          </m:r>
          <m:r>
            <m:rPr>
              <m:sty m:val="p"/>
            </m:rPr>
            <m:t xml:space="preserve"> </m:t>
          </m:r>
          <m:sSub>
            <m:e>
              <m:r>
                <m:t xml:space="preserve">t</m:t>
              </m:r>
            </m:e>
            <m:sub>
              <m:r>
                <m:t xml:space="preserve">r</m:t>
              </m:r>
              <m:r>
                <m:t xml:space="preserve">e</m:t>
              </m:r>
              <m:r>
                <m:t xml:space="preserve">s</m:t>
              </m:r>
              <m:r>
                <m:t xml:space="preserve">t</m:t>
              </m:r>
            </m:sub>
          </m:sSub>
          <m:r>
            <m:rPr>
              <m:sty m:val="p"/>
            </m:rPr>
            <m:t xml:space="preserve">=</m:t>
          </m:r>
          <m:r>
            <m:rPr>
              <m:sty m:val="p"/>
            </m:rPr>
            <m:t xml:space="preserve">4</m:t>
          </m:r>
          <m:r>
            <m:rPr>
              <m:sty m:val="p"/>
            </m:rPr>
            <m:t xml:space="preserve">.</m:t>
          </m:r>
          <m:r>
            <m:rPr>
              <m:sty m:val="p"/>
            </m:rPr>
            <m:t xml:space="preserve">5</m:t>
          </m:r>
          <m:r>
            <m:rPr>
              <m:sty m:val="p"/>
            </m:rPr>
            <m:t xml:space="preserve"> </m:t>
          </m:r>
          <m:r>
            <m:rPr>
              <m:nor/>
            </m:rPr>
            <m:t xml:space="preserve">ns</m:t>
          </m:r>
          <m:r>
            <m:rPr>
              <m:sty m:val="p"/>
            </m:rPr>
            <m:t xml:space="preserve">,</m:t>
          </m:r>
          <m:r>
            <m:rPr>
              <m:sty m:val="p"/>
            </m:rPr>
            <m:t xml:space="preserve"> </m:t>
          </m:r>
          <m:sSub>
            <m:e>
              <m:r>
                <m:t xml:space="preserve">t</m:t>
              </m:r>
            </m:e>
            <m:sub>
              <m:r>
                <m:t xml:space="preserve">o</m:t>
              </m:r>
              <m:r>
                <m:t xml:space="preserve">n</m:t>
              </m:r>
            </m:sub>
          </m:sSub>
          <m:r>
            <m:rPr>
              <m:sty m:val="p"/>
            </m:rPr>
            <m:t xml:space="preserve">=</m:t>
          </m:r>
          <m:r>
            <m:rPr>
              <m:sty m:val="p"/>
            </m:rPr>
            <m:t xml:space="preserve">1</m:t>
          </m:r>
          <m:r>
            <m:rPr>
              <m:sty m:val="p"/>
            </m:rPr>
            <m:t xml:space="preserve">2</m:t>
          </m:r>
          <m:r>
            <m:rPr>
              <m:sty m:val="p"/>
            </m:rPr>
            <m:t xml:space="preserve"> </m:t>
          </m:r>
          <m:r>
            <m:rPr>
              <m:nor/>
            </m:rPr>
            <m:t xml:space="preserve">ns</m:t>
          </m:r>
          <m:r>
            <m:rPr>
              <m:sty m:val="p"/>
            </m:rPr>
            <m:t xml:space="preserve">  (25)</m:t>
          </m:r>
        </m:oMath>
      </m:oMathPara>
    </w:p>
    <w:p>
      <w:pPr>
        <w:pStyle w:val="FirstParagraph"/>
      </w:pPr>
      <w:r>
        <w:t xml:space="preserve">with the input edge at 5 ns, sampled every 2 ps from 4 to 21 ns. During the fit the chain receives the same 10 ns pulse as an ideal step at the mid-point of the input edge, (20), so that the rising edge of the target constrains </w:t>
      </w:r>
      <m:oMath>
        <m:sSub>
          <m:e>
            <m:r>
              <m:t xml:space="preserve">s</m:t>
            </m:r>
          </m:e>
          <m:sub>
            <m:r>
              <m:t xml:space="preserve">u</m:t>
            </m:r>
            <m:r>
              <m:t xml:space="preserve">p</m:t>
            </m:r>
          </m:sub>
        </m:sSub>
      </m:oMath>
      <w:r>
        <w:t xml:space="preserve"> and the falling edge </w:t>
      </w:r>
      <m:oMath>
        <m:sSub>
          <m:e>
            <m:r>
              <m:t xml:space="preserve">s</m:t>
            </m:r>
          </m:e>
          <m:sub>
            <m:r>
              <m:t xml:space="preserve">d</m:t>
            </m:r>
            <m:r>
              <m:t xml:space="preserve">n</m:t>
            </m:r>
          </m:sub>
        </m:sSub>
      </m:oMath>
      <w:r>
        <w:t xml:space="preserve">. Nothing in this curve says how many stages produced it or where their thresholds lie; that is the subject of Section IV-D.</w:t>
      </w:r>
    </w:p>
    <w:p>
      <w:pPr>
        <w:pStyle w:val="CaptionedFigure"/>
        <w:jc w:val="center"/>
      </w:pPr>
      <w:r>
        <w:drawing>
          <wp:inline distT="0" distB="0" distL="0" distR="0">
            <wp:extent cx="5760720" cy="2591118"/>
            <wp:docPr id="108" name="Figure 8"/>
            <wp:cNvGraphicFramePr>
              <a:graphicFrameLocks noChangeAspect="1"/>
            </wp:cNvGraphicFramePr>
            <a:graphic>
              <a:graphicData uri="http://schemas.openxmlformats.org/drawingml/2006/picture">
                <pic:pic>
                  <pic:nvPicPr>
                    <pic:cNvPr id="108" name="fig8.png"/>
                    <pic:cNvPicPr/>
                  </pic:nvPicPr>
                  <pic:blipFill>
                    <a:blip r:embed="rIdFig8"/>
                    <a:stretch>
                      <a:fillRect/>
                    </a:stretch>
                  </pic:blipFill>
                  <pic:spPr>
                    <a:xfrm>
                      <a:off x="0" y="0"/>
                      <a:ext cx="5760720" cy="2591118"/>
                    </a:xfrm>
                    <a:prstGeom prst="rect">
                      <a:avLst/>
                    </a:prstGeom>
                  </pic:spPr>
                </pic:pic>
              </a:graphicData>
            </a:graphic>
          </wp:inline>
        </w:drawing>
      </w:r>
    </w:p>
    <w:p>
      <w:pPr>
        <w:pStyle w:val="ImageCaption"/>
      </w:pPr>
      <w:r>
        <w:t xml:space="preserve">Fig. 8. The target on ex2 (1.7 pF). (a) The file's V–T waveforms: one rising and one falling transition, each recorded into two fixtures. (b)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solved from (a) by the existing converter (grey), the existing circuit model's </w:t>
      </w:r>
      <m:oMath>
        <m:sSub>
          <m:e>
            <m:r>
              <m:t xml:space="preserve">K</m:t>
            </m:r>
          </m:e>
          <m:sub>
            <m:r>
              <m:t xml:space="preserve">u</m:t>
            </m:r>
          </m:sub>
        </m:sSub>
      </m:oMath>
      <w:r>
        <w:t xml:space="preserve"> through a 10 ns pulse (teal), and the normalized target (25) with the chain input (20).</w:t>
      </w:r>
    </w:p>
    <w:p>
      <w:pPr>
        <w:pStyle w:val="Heading2"/>
      </w:pPr>
      <w:r>
        <w:t xml:space="preserve">C. Step 1: fitting the stage law through an assumed map</w:t>
      </w:r>
    </w:p>
    <w:p>
      <w:pPr>
        <w:pStyle w:val="FirstParagraph"/>
      </w:pPr>
      <w:r>
        <w:t xml:space="preserve">For an assumed stage count </w:t>
      </w:r>
      <m:oMath>
        <m:r>
          <m:t xml:space="preserve">K</m:t>
        </m:r>
      </m:oMath>
      <w:r>
        <w:t xml:space="preserve"> and an assumed map shape, one of the three of Fig. 5(c), the stage parameters minimize the root-mean-square mismatch between the model's conducting fraction and the target:</w:t>
      </w:r>
    </w:p>
    <w:p>
      <w:pPr>
        <w:pStyle w:val="BodyText"/>
      </w:pPr>
      <m:oMathPara>
        <m:oMathParaPr>
          <m:jc m:val="center"/>
        </m:oMathParaPr>
        <m:oMath>
          <m:r>
            <m:t xml:space="preserve">{</m:t>
          </m:r>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sSub>
            <m:e>
              <m:r>
                <m:t xml:space="preserve">v</m:t>
              </m:r>
            </m:e>
            <m:sub>
              <m:r>
                <m:t xml:space="preserve">t</m:t>
              </m:r>
            </m:sub>
          </m:sSub>
          <m:sSup>
            <m:e>
              <m:r>
                <m:t xml:space="preserve">}</m:t>
              </m:r>
            </m:e>
            <m:sup>
              <m:r>
                <m:t xml:space="preserve">⋆</m:t>
              </m:r>
            </m:sup>
          </m:sSup>
          <m:r>
            <m:rPr>
              <m:sty m:val="p"/>
            </m:rPr>
            <m:t xml:space="preserve">=</m:t>
          </m:r>
          <m:r>
            <m:rPr>
              <m:sty m:val="p"/>
            </m:rPr>
            <m:t xml:space="preserve">arg</m:t>
          </m:r>
          <m:r>
            <m:rPr>
              <m:sty m:val="p"/>
            </m:rPr>
            <m:t xml:space="preserve">min</m:t>
          </m:r>
          <m:r>
            <m:rPr>
              <m:sty m:val="p"/>
            </m:rPr>
            <m:t xml:space="preserve"> </m:t>
          </m:r>
          <m:sSub>
            <m:e>
              <m:r>
                <m:rPr>
                  <m:sty m:val="p"/>
                </m:rPr>
                <m:t xml:space="preserve">rms</m:t>
              </m:r>
            </m:e>
            <m:sub>
              <m:r>
                <m:t xml:space="preserve">t</m:t>
              </m:r>
            </m:sub>
          </m:sSub>
          <m:d>
            <m:dPr>
              <m:begChr m:val="["/>
              <m:endChr m:val="]"/>
              <m:grow/>
            </m:dPr>
            <m:e>
              <m:r>
                <m:t xml:space="preserve">M</m:t>
              </m:r>
              <m:r>
                <m:rPr>
                  <m:sty m:val="p"/>
                </m:rPr>
                <m:t xml:space="preserve">(</m:t>
              </m:r>
              <m:sSub>
                <m:e>
                  <m:r>
                    <m:t xml:space="preserve">v</m:t>
                  </m:r>
                </m:e>
                <m:sub>
                  <m:r>
                    <m:t xml:space="preserve">K</m:t>
                  </m:r>
                </m:sub>
              </m:sSub>
              <m:r>
                <m:rPr>
                  <m:sty m:val="p"/>
                </m:rPr>
                <m:t xml:space="preserve">(</m:t>
              </m:r>
              <m:r>
                <m:t xml:space="preserve">t</m:t>
              </m:r>
              <m:r>
                <m:rPr>
                  <m:sty m:val="p"/>
                </m:rPr>
                <m:t xml:space="preserve">)</m:t>
              </m:r>
              <m:r>
                <m:rPr>
                  <m:sty m:val="p"/>
                </m:rPr>
                <m:t xml:space="preserve">)</m:t>
              </m:r>
              <m:r>
                <m:rPr>
                  <m:sty m:val="p"/>
                </m:rPr>
                <m:t xml:space="preserve">−</m:t>
              </m:r>
              <m:sSubSup>
                <m:e>
                  <m:acc>
                    <m:accPr>
                      <m:chr m:val="̂"/>
                    </m:accPr>
                    <m:e>
                      <m:r>
                        <m:t xml:space="preserve">K</m:t>
                      </m:r>
                    </m:e>
                  </m:acc>
                </m:e>
                <m:sub>
                  <m:r>
                    <m:t xml:space="preserve">u</m:t>
                  </m:r>
                </m:sub>
                <m:sup>
                  <m:r>
                    <m:t xml:space="preserve">f</m:t>
                  </m:r>
                  <m:r>
                    <m:t xml:space="preserve">i</m:t>
                  </m:r>
                  <m:r>
                    <m:t xml:space="preserve">l</m:t>
                  </m:r>
                  <m:r>
                    <m:t xml:space="preserve">e</m:t>
                  </m:r>
                </m:sup>
              </m:sSubSup>
              <m:r>
                <m:rPr>
                  <m:sty m:val="p"/>
                </m:rPr>
                <m:t xml:space="preserve">(</m:t>
              </m:r>
              <m:r>
                <m:t xml:space="preserve">t</m:t>
              </m:r>
              <m:r>
                <m:rPr>
                  <m:sty m:val="p"/>
                </m:rPr>
                <m:t xml:space="preserve">)</m:t>
              </m:r>
            </m:e>
          </m:d>
          <m:r>
            <m:rPr>
              <m:sty m:val="p"/>
            </m:rPr>
            <m:t xml:space="preserve">,</m:t>
          </m:r>
          <m:r>
            <m:rPr>
              <m:sty m:val="p"/>
            </m:rPr>
            <m:t xml:space="preserve"> </m:t>
          </m:r>
          <m:sSub>
            <m:e>
              <m:r>
                <m:t xml:space="preserve">x</m:t>
              </m:r>
            </m:e>
            <m:sub>
              <m:r>
                <m:t xml:space="preserve">l</m:t>
              </m:r>
              <m:r>
                <m:t xml:space="preserve">i</m:t>
              </m:r>
              <m:r>
                <m:t xml:space="preserve">n</m:t>
              </m:r>
            </m:sub>
          </m:sSub>
          <m:r>
            <m:rPr>
              <m:sty m:val="p"/>
            </m:rPr>
            <m:t xml:space="preserve">,</m:t>
          </m:r>
          <m:r>
            <m:rPr>
              <m:sty m:val="p"/>
            </m:rPr>
            <m:t xml:space="preserve"> </m:t>
          </m:r>
          <m:r>
            <m:t xml:space="preserve">p</m:t>
          </m:r>
          <m:r>
            <m:rPr>
              <m:sty m:val="p"/>
            </m:rPr>
            <m:t xml:space="preserve"> </m:t>
          </m:r>
          <m:r>
            <m:rPr>
              <m:nor/>
            </m:rPr>
            <m:t xml:space="preserve">fixed</m:t>
          </m:r>
          <m:r>
            <m:rPr>
              <m:sty m:val="p"/>
            </m:rPr>
            <m:t xml:space="preserve">  (26)</m:t>
          </m:r>
        </m:oMath>
      </m:oMathPara>
    </w:p>
    <w:p>
      <w:pPr>
        <w:pStyle w:val="FirstParagraph"/>
      </w:pPr>
      <w:r>
        <w:t xml:space="preserve">with </w:t>
      </w:r>
      <m:oMath>
        <m:r>
          <m:rPr>
            <m:sty m:val="p"/>
          </m:rPr>
          <m:t xml:space="preserve">0</m:t>
        </m:r>
        <m:r>
          <m:t xml:space="preserve">≤</m:t>
        </m:r>
        <m:sSub>
          <m:e>
            <m:r>
              <m:t xml:space="preserve">v</m:t>
            </m:r>
          </m:e>
          <m:sub>
            <m:r>
              <m:t xml:space="preserve">t</m:t>
            </m:r>
          </m:sub>
        </m:sSub>
        <m:r>
          <m:t xml:space="preserve">≤</m:t>
        </m:r>
        <m:r>
          <m:rPr>
            <m:sty m:val="p"/>
          </m:rPr>
          <m:t xml:space="preserve">0</m:t>
        </m:r>
        <m:r>
          <m:rPr>
            <m:sty m:val="p"/>
          </m:rPr>
          <m:t xml:space="preserve">.</m:t>
        </m:r>
        <m:r>
          <m:rPr>
            <m:sty m:val="p"/>
          </m:rPr>
          <m:t xml:space="preserve">7</m:t>
        </m:r>
      </m:oMath>
      <w:r>
        <w:t xml:space="preserve">. The map is an input to the fit and not a result of it. The residual is accumulated almost entirely within the two edges of the target, each about 0.7 ns wide on ex2, because the curve is flat at 0 or 1 elsewhere; a residual of 0.023 means that, averaged over the window, the model is 2.3 % of the full swing away from the file, most of it a small timing and shape difference at the edges. For a buffer with a separate pull-down path, the pull-down chain is fitted in the same way to </w:t>
      </w:r>
      <m:oMath>
        <m:sSub>
          <m:e>
            <m:r>
              <m:t xml:space="preserve">K</m:t>
            </m:r>
          </m:e>
          <m:sub>
            <m:r>
              <m:t xml:space="preserve">d</m:t>
            </m:r>
          </m:sub>
        </m:sSub>
        <m:r>
          <m:rPr>
            <m:sty m:val="p"/>
          </m:rPr>
          <m:t xml:space="preserve">(</m:t>
        </m:r>
        <m:r>
          <m:t xml:space="preserve">t</m:t>
        </m:r>
        <m:r>
          <m:rPr>
            <m:sty m:val="p"/>
          </m:rPr>
          <m:t xml:space="preserve">)</m:t>
        </m:r>
      </m:oMath>
      <w:r>
        <w:t xml:space="preserve"> through its own map.</w:t>
      </w:r>
    </w:p>
    <w:p>
      <w:pPr>
        <w:pStyle w:val="BodyText"/>
      </w:pPr>
      <w:r>
        <w:rPr>
          <w:i/>
        </w:rPr>
        <w:t xml:space="preserve">What each number does.</w:t>
      </w:r>
      <w:r>
        <w:t xml:space="preserve"> Fig. 9(a)–(c) varies one fitted number at a time around the fitted values. </w:t>
      </w:r>
      <m:oMath>
        <m:sSub>
          <m:e>
            <m:r>
              <m:t xml:space="preserve">s</m:t>
            </m:r>
          </m:e>
          <m:sub>
            <m:r>
              <m:t xml:space="preserve">u</m:t>
            </m:r>
            <m:r>
              <m:t xml:space="preserve">p</m:t>
            </m:r>
          </m:sub>
        </m:sSub>
      </m:oMath>
      <w:r>
        <w:t xml:space="preserve"> is the charging rate of every stage: a larger value brings the rising edge earlier and makes it steeper. </w:t>
      </w:r>
      <m:oMath>
        <m:sSub>
          <m:e>
            <m:r>
              <m:t xml:space="preserve">s</m:t>
            </m:r>
          </m:e>
          <m:sub>
            <m:r>
              <m:t xml:space="preserve">d</m:t>
            </m:r>
            <m:r>
              <m:t xml:space="preserve">n</m:t>
            </m:r>
          </m:sub>
        </m:sSub>
      </m:oMath>
      <w:r>
        <w:t xml:space="preserve"> does the same for the falling edge. </w:t>
      </w:r>
      <m:oMath>
        <m:sSub>
          <m:e>
            <m:r>
              <m:t xml:space="preserve">v</m:t>
            </m:r>
          </m:e>
          <m:sub>
            <m:r>
              <m:t xml:space="preserve">t</m:t>
            </m:r>
          </m:sub>
        </m:sSub>
      </m:oMath>
      <w:r>
        <w:t xml:space="preserve"> is the level a stage's input must reach before the stage starts: at fixed rates it moves the edge in time without changing its steepness. Panel (d) builds a fit one number at a time from a poor first guess: adjusting </w:t>
      </w:r>
      <m:oMath>
        <m:sSub>
          <m:e>
            <m:r>
              <m:t xml:space="preserve">s</m:t>
            </m:r>
          </m:e>
          <m:sub>
            <m:r>
              <m:t xml:space="preserve">u</m:t>
            </m:r>
            <m:r>
              <m:t xml:space="preserve">p</m:t>
            </m:r>
          </m:sub>
        </m:sSub>
      </m:oMath>
      <w:r>
        <w:t xml:space="preserve"> takes the residual from 0.296 to 0.201, </w:t>
      </w:r>
      <m:oMath>
        <m:sSub>
          <m:e>
            <m:r>
              <m:t xml:space="preserve">s</m:t>
            </m:r>
          </m:e>
          <m:sub>
            <m:r>
              <m:t xml:space="preserve">d</m:t>
            </m:r>
            <m:r>
              <m:t xml:space="preserve">n</m:t>
            </m:r>
          </m:sub>
        </m:sSub>
      </m:oMath>
      <w:r>
        <w:t xml:space="preserve"> to 0.060, and </w:t>
      </w:r>
      <m:oMath>
        <m:sSub>
          <m:e>
            <m:r>
              <m:t xml:space="preserve">v</m:t>
            </m:r>
          </m:e>
          <m:sub>
            <m:r>
              <m:t xml:space="preserve">t</m:t>
            </m:r>
          </m:sub>
        </m:sSub>
      </m:oMath>
      <w:r>
        <w:t xml:space="preserve"> to 0.023.</w:t>
      </w:r>
    </w:p>
    <w:p>
      <w:pPr>
        <w:pStyle w:val="CaptionedFigure"/>
        <w:jc w:val="center"/>
      </w:pPr>
      <w:r>
        <w:drawing>
          <wp:inline distT="0" distB="0" distL="0" distR="0">
            <wp:extent cx="5669280" cy="4138774"/>
            <wp:docPr id="109" name="Figure 9"/>
            <wp:cNvGraphicFramePr>
              <a:graphicFrameLocks noChangeAspect="1"/>
            </wp:cNvGraphicFramePr>
            <a:graphic>
              <a:graphicData uri="http://schemas.openxmlformats.org/drawingml/2006/picture">
                <pic:pic>
                  <pic:nvPicPr>
                    <pic:cNvPr id="109" name="fig9.png"/>
                    <pic:cNvPicPr/>
                  </pic:nvPicPr>
                  <pic:blipFill>
                    <a:blip r:embed="rIdFig9"/>
                    <a:stretch>
                      <a:fillRect/>
                    </a:stretch>
                  </pic:blipFill>
                  <pic:spPr>
                    <a:xfrm>
                      <a:off x="0" y="0"/>
                      <a:ext cx="5669280" cy="4138774"/>
                    </a:xfrm>
                    <a:prstGeom prst="rect">
                      <a:avLst/>
                    </a:prstGeom>
                  </pic:spPr>
                </pic:pic>
              </a:graphicData>
            </a:graphic>
          </wp:inline>
        </w:drawing>
      </w:r>
    </w:p>
    <w:p>
      <w:pPr>
        <w:pStyle w:val="ImageCaption"/>
      </w:pPr>
      <w:r>
        <w:t xml:space="preserve">Fig. 9. The fit (26) as three knobs, on ex2 (</w:t>
      </w:r>
      <m:oMath>
        <m:r>
          <m:t xml:space="preserve">K</m:t>
        </m:r>
        <m:r>
          <m:rPr>
            <m:sty m:val="p"/>
          </m:rPr>
          <m:t xml:space="preserve">=</m:t>
        </m:r>
        <m:r>
          <m:rPr>
            <m:sty m:val="p"/>
          </m:rPr>
          <m:t xml:space="preserve">3</m:t>
        </m:r>
      </m:oMath>
      <w:r>
        <w:t xml:space="preserve">, map (0.57, 0.64),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(a)–(c) The model's </w:t>
      </w:r>
      <m:oMath>
        <m:sSub>
          <m:e>
            <m:r>
              <m:t xml:space="preserve">K</m:t>
            </m:r>
          </m:e>
          <m:sub>
            <m:r>
              <m:t xml:space="preserve">u</m:t>
            </m:r>
          </m:sub>
        </m:sSub>
        <m:r>
          <m:rPr>
            <m:sty m:val="p"/>
          </m:rPr>
          <m:t xml:space="preserve">(</m:t>
        </m:r>
        <m:r>
          <m:t xml:space="preserve">t</m:t>
        </m:r>
        <m:r>
          <m:rPr>
            <m:sty m:val="p"/>
          </m:rPr>
          <m:t xml:space="preserve">)</m:t>
        </m:r>
      </m:oMath>
      <w:r>
        <w:t xml:space="preserve"> as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w:t>
      </w:r>
      <m:oMath>
        <m:sSub>
          <m:e>
            <m:r>
              <m:t xml:space="preserve">v</m:t>
            </m:r>
          </m:e>
          <m:sub>
            <m:r>
              <m:t xml:space="preserve">t</m:t>
            </m:r>
          </m:sub>
        </m:sSub>
      </m:oMath>
      <w:r>
        <w:t xml:space="preserve"> are varied one at a time around the fitted values; (b) is the falling edge at 10 ns. (d) A fit built one number at a time.</w:t>
      </w:r>
    </w:p>
    <w:p>
      <w:pPr>
        <w:pStyle w:val="FirstParagraph"/>
      </w:pPr>
      <w:r>
        <w:rPr>
          <w:i/>
        </w:rPr>
        <w:t xml:space="preserve">How the minimum is found.</w:t>
      </w:r>
      <w:r>
        <w:t xml:space="preserve"> The residual is not differentiable (the chain is a simulation with thresholds and clips), so (26) is minimized by Nelder–Mead: a simplex of four trial points that is reflected away from its worst corner, extended when that helps, contracted when it does not, and shrunk towards its best corner when nothing helps. The rates are searched on a logarithmic scale, </w:t>
      </w:r>
      <m:oMath>
        <m:sSub>
          <m:e>
            <m:r>
              <m:t xml:space="preserve">v</m:t>
            </m:r>
          </m:e>
          <m:sub>
            <m:r>
              <m:t xml:space="preserve">t</m:t>
            </m:r>
          </m:sub>
        </m:sSub>
      </m:oMath>
      <w:r>
        <w:t xml:space="preserve"> linearly within its bounds; the search stops when the simplex has collapsed or after 800 iterations, and it is run from three starts, </w:t>
      </w:r>
      <m:oMath>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r>
          <m:rPr>
            <m:sty m:val="p"/>
          </m:rPr>
          <m:t xml:space="preserve">2</m:t>
        </m:r>
      </m:oMath>
      <w:r>
        <w:t xml:space="preserve">, 8 and 30 per ns. Fig. 10 shows the search on ex2. The valley is narrow in the rates (a 27 % change in </w:t>
      </w:r>
      <m:oMath>
        <m:sSub>
          <m:e>
            <m:r>
              <m:t xml:space="preserve">s</m:t>
            </m:r>
          </m:e>
          <m:sub>
            <m:r>
              <m:t xml:space="preserve">u</m:t>
            </m:r>
            <m:r>
              <m:t xml:space="preserve">p</m:t>
            </m:r>
          </m:sub>
        </m:sSub>
      </m:oMath>
      <w:r>
        <w:t xml:space="preserve"> triples the residual) and shallow along </w:t>
      </w:r>
      <m:oMath>
        <m:sSub>
          <m:e>
            <m:r>
              <m:t xml:space="preserve">v</m:t>
            </m:r>
          </m:e>
          <m:sub>
            <m:r>
              <m:t xml:space="preserve">t</m:t>
            </m:r>
          </m:sub>
        </m:sSub>
      </m:oMath>
      <w:r>
        <w:t xml:space="preserve"> on the low side (0.128 at </w:t>
      </w:r>
      <m:oMath>
        <m:sSub>
          <m:e>
            <m:r>
              <m:t xml:space="preserve">v</m:t>
            </m:r>
          </m:e>
          <m:sub>
            <m:r>
              <m:t xml:space="preserve">t</m:t>
            </m:r>
          </m:sub>
        </m:sSub>
        <m:r>
          <m:rPr>
            <m:sty m:val="p"/>
          </m:rPr>
          <m:t xml:space="preserve">=</m:t>
        </m:r>
        <m:r>
          <m:rPr>
            <m:sty m:val="p"/>
          </m:rPr>
          <m:t xml:space="preserve">0</m:t>
        </m:r>
      </m:oMath>
      <w:r>
        <w:t xml:space="preserve">, 0.026 at 0.54, 0.091 at the 0.7 bound). The three runs took 100, 132 and 142 evaluations, and only the run from 2 per ns reached the minimum (0.0233); the others stopped in side valleys at 0.066 and 0.22. The procedure keeps the best of the three; the search is local, and one start is not enough.</w:t>
      </w:r>
    </w:p>
    <w:p>
      <w:pPr>
        <w:pStyle w:val="CaptionedFigure"/>
        <w:jc w:val="center"/>
      </w:pPr>
      <w:r>
        <w:drawing>
          <wp:inline distT="0" distB="0" distL="0" distR="0">
            <wp:extent cx="5669280" cy="2959283"/>
            <wp:docPr id="110" name="Figure 10"/>
            <wp:cNvGraphicFramePr>
              <a:graphicFrameLocks noChangeAspect="1"/>
            </wp:cNvGraphicFramePr>
            <a:graphic>
              <a:graphicData uri="http://schemas.openxmlformats.org/drawingml/2006/picture">
                <pic:pic>
                  <pic:nvPicPr>
                    <pic:cNvPr id="110" name="fig10.png"/>
                    <pic:cNvPicPr/>
                  </pic:nvPicPr>
                  <pic:blipFill>
                    <a:blip r:embed="rIdFig10"/>
                    <a:stretch>
                      <a:fillRect/>
                    </a:stretch>
                  </pic:blipFill>
                  <pic:spPr>
                    <a:xfrm>
                      <a:off x="0" y="0"/>
                      <a:ext cx="5669280" cy="2959283"/>
                    </a:xfrm>
                    <a:prstGeom prst="rect">
                      <a:avLst/>
                    </a:prstGeom>
                  </pic:spPr>
                </pic:pic>
              </a:graphicData>
            </a:graphic>
          </wp:inline>
        </w:drawing>
      </w:r>
    </w:p>
    <w:p>
      <w:pPr>
        <w:pStyle w:val="ImageCaption"/>
      </w:pPr>
      <w:r>
        <w:t xml:space="preserve">Fig. 10. The search on ex2. (a) The residual of (26) over </w:t>
      </w:r>
      <m:oMath>
        <m:sSub>
          <m:e>
            <m:r>
              <m:t xml:space="preserve">s</m:t>
            </m:r>
          </m:e>
          <m:sub>
            <m:r>
              <m:t xml:space="preserve">u</m:t>
            </m:r>
            <m:r>
              <m:t xml:space="preserve">p</m:t>
            </m:r>
          </m:sub>
        </m:sSub>
      </m:oMath>
      <w:r>
        <w:t xml:space="preserve"> and </w:t>
      </w:r>
      <m:oMath>
        <m:sSub>
          <m:e>
            <m:r>
              <m:t xml:space="preserve">v</m:t>
            </m:r>
          </m:e>
          <m:sub>
            <m:r>
              <m:t xml:space="preserve">t</m:t>
            </m:r>
          </m:sub>
        </m:sSub>
      </m:oMath>
      <w:r>
        <w:t xml:space="preserve"> at the fitted </w:t>
      </w:r>
      <m:oMath>
        <m:sSub>
          <m:e>
            <m:r>
              <m:t xml:space="preserve">s</m:t>
            </m:r>
          </m:e>
          <m:sub>
            <m:r>
              <m:t xml:space="preserve">d</m:t>
            </m:r>
            <m:r>
              <m:t xml:space="preserve">n</m:t>
            </m:r>
          </m:sub>
        </m:sSub>
      </m:oMath>
      <w:r>
        <w:t xml:space="preserve"> and (b) over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at the fitted </w:t>
      </w:r>
      <m:oMath>
        <m:sSub>
          <m:e>
            <m:r>
              <m:t xml:space="preserve">v</m:t>
            </m:r>
          </m:e>
          <m:sub>
            <m:r>
              <m:t xml:space="preserve">t</m:t>
            </m:r>
          </m:sub>
        </m:sSub>
      </m:oMath>
      <w:r>
        <w:t xml:space="preserve">; darker is lower. Squares: the three starts; stars: where each run ended; red circle: the fit. (c) The best residual against the number of evaluations.</w:t>
      </w:r>
    </w:p>
    <w:p>
      <w:pPr>
        <w:pStyle w:val="FirstParagraph"/>
      </w:pPr>
      <w:r>
        <w:rPr>
          <w:i/>
        </w:rPr>
        <w:t xml:space="preserve">Why several stages.</w:t>
      </w:r>
      <w:r>
        <w:t xml:space="preserve"> With a single stage, one number sets both the delay and the edge. On ex2 the file's </w:t>
      </w:r>
      <m:oMath>
        <m:sSub>
          <m:e>
            <m:r>
              <m:t xml:space="preserve">K</m:t>
            </m:r>
          </m:e>
          <m:sub>
            <m:r>
              <m:t xml:space="preserve">u</m:t>
            </m:r>
          </m:sub>
        </m:sSub>
        <m:r>
          <m:rPr>
            <m:sty m:val="p"/>
          </m:rPr>
          <m:t xml:space="preserve">(</m:t>
        </m:r>
        <m:r>
          <m:t xml:space="preserve">t</m:t>
        </m:r>
        <m:r>
          <m:rPr>
            <m:sty m:val="p"/>
          </m:rPr>
          <m:t xml:space="preserve">)</m:t>
        </m:r>
      </m:oMath>
      <w:r>
        <w:t xml:space="preserve"> starts 1.1 ns after the input edge and rises in 0.66 ns, which no single value of </w:t>
      </w:r>
      <m:oMath>
        <m:sSub>
          <m:e>
            <m:r>
              <m:t xml:space="preserve">s</m:t>
            </m:r>
          </m:e>
          <m:sub>
            <m:r>
              <m:t xml:space="preserve">u</m:t>
            </m:r>
            <m:r>
              <m:t xml:space="preserve">p</m:t>
            </m:r>
          </m:sub>
        </m:sSub>
      </m:oMath>
      <w:r>
        <w:t xml:space="preserve"> can give: the best one-stage fit has a residual of 0.083 against 0.023 for three stages. With several identical stages the delay is spent in the handovers and the edge belongs to the last stage, so delay and edge are set separately. This is the reason for the chain, and also why the stage count cannot be read from the fit: beyond the minimum number, more stages redistribute the same delay (Section IV-D).</w:t>
      </w:r>
    </w:p>
    <w:p>
      <w:pPr>
        <w:pStyle w:val="FirstParagraph"/>
      </w:pPr>
      <w:r>
        <w:rPr>
          <w:i/>
        </w:rPr>
        <w:t xml:space="preserve">Result.</w:t>
      </w:r>
      <w:r>
        <w:t xml:space="preserve"> On ex2 with </w:t>
      </w:r>
      <m:oMath>
        <m:r>
          <m:t xml:space="preserve">K</m:t>
        </m:r>
        <m:r>
          <m:rPr>
            <m:sty m:val="p"/>
          </m:rPr>
          <m:t xml:space="preserve">=</m:t>
        </m:r>
        <m:r>
          <m:rPr>
            <m:sty m:val="p"/>
          </m:rPr>
          <m:t xml:space="preserve">3</m:t>
        </m:r>
      </m:oMath>
      <w:r>
        <w:t xml:space="preserve"> and the measured shape, (26) gives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1</m:t>
        </m:r>
        <m:r>
          <m:rPr>
            <m:sty m:val="p"/>
          </m:rPr>
          <m:t xml:space="preserve">9</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1</m:t>
        </m:r>
        <m:r>
          <m:rPr>
            <m:sty m:val="p"/>
          </m:rPr>
          <m:t xml:space="preserve">2</m:t>
        </m:r>
      </m:oMath>
      <w:r>
        <w:t xml:space="preserve">/ns and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5</m:t>
        </m:r>
        <m:r>
          <m:rPr>
            <m:sty m:val="p"/>
          </m:rPr>
          <m:t xml:space="preserve">2</m:t>
        </m:r>
        <m:r>
          <m:rPr>
            <m:sty m:val="p"/>
          </m:rPr>
          <m:t xml:space="preserve">8</m:t>
        </m:r>
      </m:oMath>
      <w:r>
        <w:t xml:space="preserve"> at a residual of 0.023 (Fig. 6(c)). Table IV gives the fit on all twelve buffers with the file-only settings, for the stage count and map shape the procedure finally selected: residuals 0.006–0.033. On 8 of the twelve the fitted </w:t>
      </w:r>
      <m:oMath>
        <m:sSub>
          <m:e>
            <m:r>
              <m:t xml:space="preserve">v</m:t>
            </m:r>
          </m:e>
          <m:sub>
            <m:r>
              <m:t xml:space="preserve">t</m:t>
            </m:r>
          </m:sub>
        </m:sSub>
      </m:oMath>
      <w:r>
        <w:t xml:space="preserve"> sits on its upper bound: with these map shapes the fit would place the handovers even later than the bound allows, and the calibration of step 3 then lowers </w:t>
      </w:r>
      <m:oMath>
        <m:sSub>
          <m:e>
            <m:r>
              <m:t xml:space="preserve">v</m:t>
            </m:r>
          </m:e>
          <m:sub>
            <m:r>
              <m:t xml:space="preserve">t</m:t>
            </m:r>
          </m:sub>
        </m:sSub>
      </m:oMath>
      <w:r>
        <w:t xml:space="preserve"> on every buffer calibrated through the threshold (last column). This is the non-identifiability of the threshold seen from the other side (Section IV-D): the file pushes </w:t>
      </w:r>
      <m:oMath>
        <m:sSub>
          <m:e>
            <m:r>
              <m:t xml:space="preserve">v</m:t>
            </m:r>
          </m:e>
          <m:sub>
            <m:r>
              <m:t xml:space="preserve">t</m:t>
            </m:r>
          </m:sub>
        </m:sSub>
      </m:oMath>
      <w:r>
        <w:t xml:space="preserve"> to wherever the assumed map lets the composition match, and the measurement puts it where the short pulse says. io_buf's single-stage chain could not reach the measured peak by its threshold and was calibrated through the rate scale instead (28).</w:t>
      </w:r>
    </w:p>
    <w:p>
      <w:pPr>
        <w:pStyle w:val="TableCaption"/>
        <w:keepNext/>
      </w:pPr>
      <w:r>
        <w:t xml:space="preserve">Table IV: The fit (26) on the twelve test buffers with the file-only settings, for the selected stage count and map shape; </w:t>
      </w:r>
      <m:oMath>
        <m:sSub>
          <m:e>
            <m:r>
              <m:t xml:space="preserve">x</m:t>
            </m:r>
          </m:e>
          <m:sub>
            <m:r>
              <m:t xml:space="preserve">l</m:t>
            </m:r>
            <m:r>
              <m:t xml:space="preserve">i</m:t>
            </m:r>
            <m:r>
              <m:t xml:space="preserve">n</m:t>
            </m:r>
          </m:sub>
        </m:sSub>
      </m:oMath>
      <w:r>
        <w:t xml:space="preserve"> = 0.45 except inv_chain (0.28) and io_buf (0.41), where it was fitted. Last column: after step 3.</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1500"/>
        <w:gridCol w:w="1000"/>
        <w:gridCol w:w="600"/>
        <w:gridCol w:w="1200"/>
        <w:gridCol w:w="1050"/>
        <w:gridCol w:w="1050"/>
        <w:gridCol w:w="1000"/>
        <w:gridCol w:w="1000"/>
        <w:gridCol w:w="1200"/>
      </w:tblGrid>
      <w:tr>
        <w:trPr>
          <w:cantSplit/>
          <w:tblHeader/>
        </w:trPr>
        <w:tc>
          <w:tcPr>
            <w:tcW w:w="1500" w:type="dxa"/>
          </w:tcPr>
          <w:p>
            <w:pPr>
              <w:pStyle w:val="Compact"/>
              <w:keepNext/>
              <w:jc w:val="left"/>
            </w:pPr>
            <w:r>
              <w:rPr>
                <w:b/>
                <w:sz w:val="16"/>
              </w:rPr>
              <w:t xml:space="preserve">Buffer</w:t>
            </w:r>
          </w:p>
        </w:tc>
        <w:tc>
          <w:tcPr>
            <w:tcW w:w="1000" w:type="dxa"/>
          </w:tcPr>
          <w:p>
            <w:pPr>
              <w:pStyle w:val="Compact"/>
              <w:keepNext/>
              <w:jc w:val="left"/>
            </w:pPr>
            <m:oMath>
              <m:sSub>
                <m:e>
                  <m:r>
                    <m:t xml:space="preserve">C</m:t>
                  </m:r>
                </m:e>
                <m:sub>
                  <m:r>
                    <m:t xml:space="preserve">c</m:t>
                  </m:r>
                  <m:r>
                    <m:t xml:space="preserve">o</m:t>
                  </m:r>
                  <m:r>
                    <m:t xml:space="preserve">m</m:t>
                  </m:r>
                  <m:r>
                    <m:t xml:space="preserve">p</m:t>
                  </m:r>
                </m:sub>
              </m:sSub>
            </m:oMath>
            <w:r>
              <w:rPr>
                <w:sz w:val="16"/>
              </w:rPr>
              <w:t xml:space="preserve"> (pF)</w:t>
            </w:r>
          </w:p>
        </w:tc>
        <w:tc>
          <w:tcPr>
            <w:tcW w:w="600" w:type="dxa"/>
          </w:tcPr>
          <w:p>
            <w:pPr>
              <w:pStyle w:val="Compact"/>
              <w:keepNext/>
              <w:jc w:val="left"/>
            </w:pPr>
            <m:oMath>
              <m:r>
                <m:t xml:space="preserve">K</m:t>
              </m:r>
            </m:oMath>
            <w:r>
              <w:rPr>
                <w:sz w:val="16"/>
              </w:rPr>
              <w:t xml:space="preserve">​</w:t>
            </w:r>
          </w:p>
        </w:tc>
        <w:tc>
          <w:tcPr>
            <w:tcW w:w="1200" w:type="dxa"/>
          </w:tcPr>
          <w:p>
            <w:pPr>
              <w:pStyle w:val="Compact"/>
              <w:keepNext/>
              <w:jc w:val="left"/>
            </w:pPr>
            <w:r>
              <w:rPr>
                <w:b/>
                <w:sz w:val="16"/>
              </w:rPr>
              <w:t xml:space="preserve">Map shape</w:t>
            </w:r>
          </w:p>
        </w:tc>
        <w:tc>
          <w:tcPr>
            <w:tcW w:w="1050" w:type="dxa"/>
          </w:tcPr>
          <w:p>
            <w:pPr>
              <w:pStyle w:val="Compact"/>
              <w:keepNext/>
              <w:jc w:val="left"/>
            </w:pPr>
            <m:oMath>
              <m:sSub>
                <m:e>
                  <m:r>
                    <m:t xml:space="preserve">s</m:t>
                  </m:r>
                </m:e>
                <m:sub>
                  <m:r>
                    <m:t xml:space="preserve">u</m:t>
                  </m:r>
                  <m:r>
                    <m:t xml:space="preserve">p</m:t>
                  </m:r>
                </m:sub>
              </m:sSub>
            </m:oMath>
            <w:r>
              <w:rPr>
                <w:sz w:val="16"/>
              </w:rPr>
              <w:t xml:space="preserve"> (/ns)</w:t>
            </w:r>
          </w:p>
        </w:tc>
        <w:tc>
          <w:tcPr>
            <w:tcW w:w="1050" w:type="dxa"/>
          </w:tcPr>
          <w:p>
            <w:pPr>
              <w:pStyle w:val="Compact"/>
              <w:keepNext/>
              <w:jc w:val="left"/>
            </w:pPr>
            <m:oMath>
              <m:sSub>
                <m:e>
                  <m:r>
                    <m:t xml:space="preserve">s</m:t>
                  </m:r>
                </m:e>
                <m:sub>
                  <m:r>
                    <m:t xml:space="preserve">d</m:t>
                  </m:r>
                  <m:r>
                    <m:t xml:space="preserve">n</m:t>
                  </m:r>
                </m:sub>
              </m:sSub>
            </m:oMath>
            <w:r>
              <w:rPr>
                <w:sz w:val="16"/>
              </w:rPr>
              <w:t xml:space="preserve"> (/ns)</w:t>
            </w:r>
          </w:p>
        </w:tc>
        <w:tc>
          <w:tcPr>
            <w:tcW w:w="1000" w:type="dxa"/>
          </w:tcPr>
          <w:p>
            <w:pPr>
              <w:pStyle w:val="Compact"/>
              <w:keepNext/>
              <w:jc w:val="left"/>
            </w:pPr>
            <m:oMath>
              <m:sSub>
                <m:e>
                  <m:r>
                    <m:t xml:space="preserve">v</m:t>
                  </m:r>
                </m:e>
                <m:sub>
                  <m:r>
                    <m:t xml:space="preserve">t</m:t>
                  </m:r>
                </m:sub>
              </m:sSub>
            </m:oMath>
            <w:r>
              <w:rPr>
                <w:sz w:val="16"/>
              </w:rPr>
              <w:t xml:space="preserve"> fitted</w:t>
            </w:r>
          </w:p>
        </w:tc>
        <w:tc>
          <w:tcPr>
            <w:tcW w:w="1000" w:type="dxa"/>
          </w:tcPr>
          <w:p>
            <w:pPr>
              <w:pStyle w:val="Compact"/>
              <w:keepNext/>
              <w:jc w:val="left"/>
            </w:pPr>
            <w:r>
              <w:rPr>
                <w:b/>
                <w:sz w:val="16"/>
              </w:rPr>
              <w:t xml:space="preserve">Residual</w:t>
            </w:r>
          </w:p>
        </w:tc>
        <w:tc>
          <w:tcPr>
            <w:tcW w:w="1200" w:type="dxa"/>
          </w:tcPr>
          <w:p>
            <w:pPr>
              <w:pStyle w:val="Compact"/>
              <w:keepNext/>
              <w:jc w:val="left"/>
            </w:pPr>
            <m:oMath>
              <m:sSub>
                <m:e>
                  <m:r>
                    <m:t xml:space="preserve">v</m:t>
                  </m:r>
                </m:e>
                <m:sub>
                  <m:r>
                    <m:t xml:space="preserve">t</m:t>
                  </m:r>
                </m:sub>
              </m:sSub>
            </m:oMath>
            <w:r>
              <w:rPr>
                <w:sz w:val="16"/>
              </w:rPr>
              <w:t xml:space="preserve"> calibrated</w:t>
            </w:r>
          </w:p>
        </w:tc>
      </w:tr>
      <w:tr>
        <w:trPr>
          <w:cantSplit/>
        </w:trPr>
        <w:tc>
          <w:tcPr>
            <w:tcW w:w="1500" w:type="dxa"/>
          </w:tcPr>
          <w:p>
            <w:pPr>
              <w:pStyle w:val="Compact"/>
              <w:jc w:val="left"/>
            </w:pPr>
            <w:r>
              <w:rPr>
                <w:sz w:val="16"/>
              </w:rPr>
              <w:t xml:space="preserve">ex2</w:t>
            </w:r>
          </w:p>
        </w:tc>
        <w:tc>
          <w:tcPr>
            <w:tcW w:w="1000" w:type="dxa"/>
          </w:tcPr>
          <w:p>
            <w:pPr>
              <w:pStyle w:val="Compact"/>
              <w:jc w:val="left"/>
            </w:pPr>
            <w:r>
              <w:rPr>
                <w:sz w:val="16"/>
              </w:rPr>
              <w:t xml:space="preserve">2.64</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2.55</w:t>
            </w:r>
          </w:p>
        </w:tc>
        <w:tc>
          <w:tcPr>
            <w:tcW w:w="1050" w:type="dxa"/>
          </w:tcPr>
          <w:p>
            <w:pPr>
              <w:pStyle w:val="Compact"/>
              <w:jc w:val="left"/>
            </w:pPr>
            <w:r>
              <w:rPr>
                <w:sz w:val="16"/>
              </w:rPr>
              <w:t xml:space="preserve">2.69</w:t>
            </w:r>
          </w:p>
        </w:tc>
        <w:tc>
          <w:tcPr>
            <w:tcW w:w="1000" w:type="dxa"/>
          </w:tcPr>
          <w:p>
            <w:pPr>
              <w:pStyle w:val="Compact"/>
              <w:jc w:val="left"/>
            </w:pPr>
            <w:r>
              <w:rPr>
                <w:sz w:val="16"/>
              </w:rPr>
              <w:t xml:space="preserve">0.700</w:t>
            </w:r>
          </w:p>
        </w:tc>
        <w:tc>
          <w:tcPr>
            <w:tcW w:w="1000" w:type="dxa"/>
          </w:tcPr>
          <w:p>
            <w:pPr>
              <w:pStyle w:val="Compact"/>
              <w:jc w:val="left"/>
            </w:pPr>
            <w:r>
              <w:rPr>
                <w:sz w:val="16"/>
              </w:rPr>
              <w:t xml:space="preserve">0.0233</w:t>
            </w:r>
          </w:p>
        </w:tc>
        <w:tc>
          <w:tcPr>
            <w:tcW w:w="1200" w:type="dxa"/>
          </w:tcPr>
          <w:p>
            <w:pPr>
              <w:pStyle w:val="Compact"/>
              <w:jc w:val="left"/>
            </w:pPr>
            <w:r>
              <w:rPr>
                <w:sz w:val="16"/>
              </w:rPr>
              <w:t xml:space="preserve">0.632</w:t>
            </w:r>
          </w:p>
        </w:tc>
      </w:tr>
      <w:tr>
        <w:trPr>
          <w:cantSplit/>
        </w:trPr>
        <w:tc>
          <w:tcPr>
            <w:tcW w:w="1500" w:type="dxa"/>
          </w:tcPr>
          <w:p>
            <w:pPr>
              <w:pStyle w:val="Compact"/>
              <w:jc w:val="left"/>
            </w:pPr>
            <w:r>
              <w:rPr>
                <w:sz w:val="16"/>
              </w:rPr>
              <w:t xml:space="preserve">ex2_base</w:t>
            </w:r>
          </w:p>
        </w:tc>
        <w:tc>
          <w:tcPr>
            <w:tcW w:w="1000" w:type="dxa"/>
          </w:tcPr>
          <w:p>
            <w:pPr>
              <w:pStyle w:val="Compact"/>
              <w:jc w:val="left"/>
            </w:pPr>
            <w:r>
              <w:rPr>
                <w:sz w:val="16"/>
              </w:rPr>
              <w:t xml:space="preserve">2.49</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2.54</w:t>
            </w:r>
          </w:p>
        </w:tc>
        <w:tc>
          <w:tcPr>
            <w:tcW w:w="1050" w:type="dxa"/>
          </w:tcPr>
          <w:p>
            <w:pPr>
              <w:pStyle w:val="Compact"/>
              <w:jc w:val="left"/>
            </w:pPr>
            <w:r>
              <w:rPr>
                <w:sz w:val="16"/>
              </w:rPr>
              <w:t xml:space="preserve">2.70</w:t>
            </w:r>
          </w:p>
        </w:tc>
        <w:tc>
          <w:tcPr>
            <w:tcW w:w="1000" w:type="dxa"/>
          </w:tcPr>
          <w:p>
            <w:pPr>
              <w:pStyle w:val="Compact"/>
              <w:jc w:val="left"/>
            </w:pPr>
            <w:r>
              <w:rPr>
                <w:sz w:val="16"/>
              </w:rPr>
              <w:t xml:space="preserve">0.700</w:t>
            </w:r>
          </w:p>
        </w:tc>
        <w:tc>
          <w:tcPr>
            <w:tcW w:w="1000" w:type="dxa"/>
          </w:tcPr>
          <w:p>
            <w:pPr>
              <w:pStyle w:val="Compact"/>
              <w:jc w:val="left"/>
            </w:pPr>
            <w:r>
              <w:rPr>
                <w:sz w:val="16"/>
              </w:rPr>
              <w:t xml:space="preserve">0.0224</w:t>
            </w:r>
          </w:p>
        </w:tc>
        <w:tc>
          <w:tcPr>
            <w:tcW w:w="1200" w:type="dxa"/>
          </w:tcPr>
          <w:p>
            <w:pPr>
              <w:pStyle w:val="Compact"/>
              <w:jc w:val="left"/>
            </w:pPr>
            <w:r>
              <w:rPr>
                <w:sz w:val="16"/>
              </w:rPr>
              <w:t xml:space="preserve">0.632</w:t>
            </w:r>
          </w:p>
        </w:tc>
      </w:tr>
      <w:tr>
        <w:trPr>
          <w:cantSplit/>
        </w:trPr>
        <w:tc>
          <w:tcPr>
            <w:tcW w:w="1500" w:type="dxa"/>
          </w:tcPr>
          <w:p>
            <w:pPr>
              <w:pStyle w:val="Compact"/>
              <w:jc w:val="left"/>
            </w:pPr>
            <w:r>
              <w:rPr>
                <w:sz w:val="16"/>
              </w:rPr>
              <w:t xml:space="preserve">ex2_slowpre</w:t>
            </w:r>
          </w:p>
        </w:tc>
        <w:tc>
          <w:tcPr>
            <w:tcW w:w="1000" w:type="dxa"/>
          </w:tcPr>
          <w:p>
            <w:pPr>
              <w:pStyle w:val="Compact"/>
              <w:jc w:val="left"/>
            </w:pPr>
            <w:r>
              <w:rPr>
                <w:sz w:val="16"/>
              </w:rPr>
              <w:t xml:space="preserve">4.65</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1.63</w:t>
            </w:r>
          </w:p>
        </w:tc>
        <w:tc>
          <w:tcPr>
            <w:tcW w:w="1050" w:type="dxa"/>
          </w:tcPr>
          <w:p>
            <w:pPr>
              <w:pStyle w:val="Compact"/>
              <w:jc w:val="left"/>
            </w:pPr>
            <w:r>
              <w:rPr>
                <w:sz w:val="16"/>
              </w:rPr>
              <w:t xml:space="preserve">1.84</w:t>
            </w:r>
          </w:p>
        </w:tc>
        <w:tc>
          <w:tcPr>
            <w:tcW w:w="1000" w:type="dxa"/>
          </w:tcPr>
          <w:p>
            <w:pPr>
              <w:pStyle w:val="Compact"/>
              <w:jc w:val="left"/>
            </w:pPr>
            <w:r>
              <w:rPr>
                <w:sz w:val="16"/>
              </w:rPr>
              <w:t xml:space="preserve">0.427</w:t>
            </w:r>
          </w:p>
        </w:tc>
        <w:tc>
          <w:tcPr>
            <w:tcW w:w="1000" w:type="dxa"/>
          </w:tcPr>
          <w:p>
            <w:pPr>
              <w:pStyle w:val="Compact"/>
              <w:jc w:val="left"/>
            </w:pPr>
            <w:r>
              <w:rPr>
                <w:sz w:val="16"/>
              </w:rPr>
              <w:t xml:space="preserve">0.0236</w:t>
            </w:r>
          </w:p>
        </w:tc>
        <w:tc>
          <w:tcPr>
            <w:tcW w:w="1200" w:type="dxa"/>
          </w:tcPr>
          <w:p>
            <w:pPr>
              <w:pStyle w:val="Compact"/>
              <w:jc w:val="left"/>
            </w:pPr>
            <w:r>
              <w:rPr>
                <w:sz w:val="16"/>
              </w:rPr>
              <w:t xml:space="preserve">0.413</w:t>
            </w:r>
          </w:p>
        </w:tc>
      </w:tr>
      <w:tr>
        <w:trPr>
          <w:cantSplit/>
        </w:trPr>
        <w:tc>
          <w:tcPr>
            <w:tcW w:w="1500" w:type="dxa"/>
          </w:tcPr>
          <w:p>
            <w:pPr>
              <w:pStyle w:val="Compact"/>
              <w:jc w:val="left"/>
            </w:pPr>
            <w:r>
              <w:rPr>
                <w:sz w:val="16"/>
              </w:rPr>
              <w:t xml:space="preserve">ex2_skewp</w:t>
            </w:r>
          </w:p>
        </w:tc>
        <w:tc>
          <w:tcPr>
            <w:tcW w:w="1000" w:type="dxa"/>
          </w:tcPr>
          <w:p>
            <w:pPr>
              <w:pStyle w:val="Compact"/>
              <w:jc w:val="left"/>
            </w:pPr>
            <w:r>
              <w:rPr>
                <w:sz w:val="16"/>
              </w:rPr>
              <w:t xml:space="preserve">1.44</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2.67</w:t>
            </w:r>
          </w:p>
        </w:tc>
        <w:tc>
          <w:tcPr>
            <w:tcW w:w="1050" w:type="dxa"/>
          </w:tcPr>
          <w:p>
            <w:pPr>
              <w:pStyle w:val="Compact"/>
              <w:jc w:val="left"/>
            </w:pPr>
            <w:r>
              <w:rPr>
                <w:sz w:val="16"/>
              </w:rPr>
              <w:t xml:space="preserve">2.81</w:t>
            </w:r>
          </w:p>
        </w:tc>
        <w:tc>
          <w:tcPr>
            <w:tcW w:w="1000" w:type="dxa"/>
          </w:tcPr>
          <w:p>
            <w:pPr>
              <w:pStyle w:val="Compact"/>
              <w:jc w:val="left"/>
            </w:pPr>
            <w:r>
              <w:rPr>
                <w:sz w:val="16"/>
              </w:rPr>
              <w:t xml:space="preserve">0.700</w:t>
            </w:r>
          </w:p>
        </w:tc>
        <w:tc>
          <w:tcPr>
            <w:tcW w:w="1000" w:type="dxa"/>
          </w:tcPr>
          <w:p>
            <w:pPr>
              <w:pStyle w:val="Compact"/>
              <w:jc w:val="left"/>
            </w:pPr>
            <w:r>
              <w:rPr>
                <w:sz w:val="16"/>
              </w:rPr>
              <w:t xml:space="preserve">0.0329</w:t>
            </w:r>
          </w:p>
        </w:tc>
        <w:tc>
          <w:tcPr>
            <w:tcW w:w="1200" w:type="dxa"/>
          </w:tcPr>
          <w:p>
            <w:pPr>
              <w:pStyle w:val="Compact"/>
              <w:jc w:val="left"/>
            </w:pPr>
            <w:r>
              <w:rPr>
                <w:sz w:val="16"/>
              </w:rPr>
              <w:t xml:space="preserve">0.604</w:t>
            </w:r>
          </w:p>
        </w:tc>
      </w:tr>
      <w:tr>
        <w:trPr>
          <w:cantSplit/>
        </w:trPr>
        <w:tc>
          <w:tcPr>
            <w:tcW w:w="1500" w:type="dxa"/>
          </w:tcPr>
          <w:p>
            <w:pPr>
              <w:pStyle w:val="Compact"/>
              <w:jc w:val="left"/>
            </w:pPr>
            <w:r>
              <w:rPr>
                <w:sz w:val="16"/>
              </w:rPr>
              <w:t xml:space="preserve">ex2_weak</w:t>
            </w:r>
          </w:p>
        </w:tc>
        <w:tc>
          <w:tcPr>
            <w:tcW w:w="1000" w:type="dxa"/>
          </w:tcPr>
          <w:p>
            <w:pPr>
              <w:pStyle w:val="Compact"/>
              <w:jc w:val="left"/>
            </w:pPr>
            <w:r>
              <w:rPr>
                <w:sz w:val="16"/>
              </w:rPr>
              <w:t xml:space="preserve">1.27</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2.88</w:t>
            </w:r>
          </w:p>
        </w:tc>
        <w:tc>
          <w:tcPr>
            <w:tcW w:w="1050" w:type="dxa"/>
          </w:tcPr>
          <w:p>
            <w:pPr>
              <w:pStyle w:val="Compact"/>
              <w:jc w:val="left"/>
            </w:pPr>
            <w:r>
              <w:rPr>
                <w:sz w:val="16"/>
              </w:rPr>
              <w:t xml:space="preserve">2.84</w:t>
            </w:r>
          </w:p>
        </w:tc>
        <w:tc>
          <w:tcPr>
            <w:tcW w:w="1000" w:type="dxa"/>
          </w:tcPr>
          <w:p>
            <w:pPr>
              <w:pStyle w:val="Compact"/>
              <w:jc w:val="left"/>
            </w:pPr>
            <w:r>
              <w:rPr>
                <w:sz w:val="16"/>
              </w:rPr>
              <w:t xml:space="preserve">0.699</w:t>
            </w:r>
          </w:p>
        </w:tc>
        <w:tc>
          <w:tcPr>
            <w:tcW w:w="1000" w:type="dxa"/>
          </w:tcPr>
          <w:p>
            <w:pPr>
              <w:pStyle w:val="Compact"/>
              <w:jc w:val="left"/>
            </w:pPr>
            <w:r>
              <w:rPr>
                <w:sz w:val="16"/>
              </w:rPr>
              <w:t xml:space="preserve">0.0259</w:t>
            </w:r>
          </w:p>
        </w:tc>
        <w:tc>
          <w:tcPr>
            <w:tcW w:w="1200" w:type="dxa"/>
          </w:tcPr>
          <w:p>
            <w:pPr>
              <w:pStyle w:val="Compact"/>
              <w:jc w:val="left"/>
            </w:pPr>
            <w:r>
              <w:rPr>
                <w:sz w:val="16"/>
              </w:rPr>
              <w:t xml:space="preserve">0.626</w:t>
            </w:r>
          </w:p>
        </w:tc>
      </w:tr>
      <w:tr>
        <w:trPr>
          <w:cantSplit/>
        </w:trPr>
        <w:tc>
          <w:tcPr>
            <w:tcW w:w="1500" w:type="dxa"/>
          </w:tcPr>
          <w:p>
            <w:pPr>
              <w:pStyle w:val="Compact"/>
              <w:jc w:val="left"/>
            </w:pPr>
            <w:r>
              <w:rPr>
                <w:sz w:val="16"/>
              </w:rPr>
              <w:t xml:space="preserve">ex2_nomiller</w:t>
            </w:r>
          </w:p>
        </w:tc>
        <w:tc>
          <w:tcPr>
            <w:tcW w:w="1000" w:type="dxa"/>
          </w:tcPr>
          <w:p>
            <w:pPr>
              <w:pStyle w:val="Compact"/>
              <w:jc w:val="left"/>
            </w:pPr>
            <w:r>
              <w:rPr>
                <w:sz w:val="16"/>
              </w:rPr>
              <w:t xml:space="preserve">2.3</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2.54</w:t>
            </w:r>
          </w:p>
        </w:tc>
        <w:tc>
          <w:tcPr>
            <w:tcW w:w="1050" w:type="dxa"/>
          </w:tcPr>
          <w:p>
            <w:pPr>
              <w:pStyle w:val="Compact"/>
              <w:jc w:val="left"/>
            </w:pPr>
            <w:r>
              <w:rPr>
                <w:sz w:val="16"/>
              </w:rPr>
              <w:t xml:space="preserve">2.70</w:t>
            </w:r>
          </w:p>
        </w:tc>
        <w:tc>
          <w:tcPr>
            <w:tcW w:w="1000" w:type="dxa"/>
          </w:tcPr>
          <w:p>
            <w:pPr>
              <w:pStyle w:val="Compact"/>
              <w:jc w:val="left"/>
            </w:pPr>
            <w:r>
              <w:rPr>
                <w:sz w:val="16"/>
              </w:rPr>
              <w:t xml:space="preserve">0.699</w:t>
            </w:r>
          </w:p>
        </w:tc>
        <w:tc>
          <w:tcPr>
            <w:tcW w:w="1000" w:type="dxa"/>
          </w:tcPr>
          <w:p>
            <w:pPr>
              <w:pStyle w:val="Compact"/>
              <w:jc w:val="left"/>
            </w:pPr>
            <w:r>
              <w:rPr>
                <w:sz w:val="16"/>
              </w:rPr>
              <w:t xml:space="preserve">0.0219</w:t>
            </w:r>
          </w:p>
        </w:tc>
        <w:tc>
          <w:tcPr>
            <w:tcW w:w="1200" w:type="dxa"/>
          </w:tcPr>
          <w:p>
            <w:pPr>
              <w:pStyle w:val="Compact"/>
              <w:jc w:val="left"/>
            </w:pPr>
            <w:r>
              <w:rPr>
                <w:sz w:val="16"/>
              </w:rPr>
              <w:t xml:space="preserve">0.632</w:t>
            </w:r>
          </w:p>
        </w:tc>
      </w:tr>
      <w:tr>
        <w:trPr>
          <w:cantSplit/>
        </w:trPr>
        <w:tc>
          <w:tcPr>
            <w:tcW w:w="1500" w:type="dxa"/>
          </w:tcPr>
          <w:p>
            <w:pPr>
              <w:pStyle w:val="Compact"/>
              <w:jc w:val="left"/>
            </w:pPr>
            <w:r>
              <w:rPr>
                <w:sz w:val="16"/>
              </w:rPr>
              <w:t xml:space="preserve">inv_chain</w:t>
            </w:r>
          </w:p>
        </w:tc>
        <w:tc>
          <w:tcPr>
            <w:tcW w:w="1000" w:type="dxa"/>
          </w:tcPr>
          <w:p>
            <w:pPr>
              <w:pStyle w:val="Compact"/>
              <w:jc w:val="left"/>
            </w:pPr>
            <w:r>
              <w:rPr>
                <w:sz w:val="16"/>
              </w:rPr>
              <w:t xml:space="preserve">0.66</w:t>
            </w:r>
          </w:p>
        </w:tc>
        <w:tc>
          <w:tcPr>
            <w:tcW w:w="600" w:type="dxa"/>
          </w:tcPr>
          <w:p>
            <w:pPr>
              <w:pStyle w:val="Compact"/>
              <w:jc w:val="left"/>
            </w:pPr>
            <w:r>
              <w:rPr>
                <w:sz w:val="16"/>
              </w:rPr>
              <w:t xml:space="preserve">6</w:t>
            </w:r>
          </w:p>
        </w:tc>
        <w:tc>
          <w:tcPr>
            <w:tcW w:w="1200" w:type="dxa"/>
          </w:tcPr>
          <w:p>
            <w:pPr>
              <w:pStyle w:val="Compact"/>
              <w:jc w:val="left"/>
            </w:pPr>
            <w:r>
              <w:rPr>
                <w:sz w:val="16"/>
              </w:rPr>
              <w:t xml:space="preserve">(0.4, 0.9)</w:t>
            </w:r>
          </w:p>
        </w:tc>
        <w:tc>
          <w:tcPr>
            <w:tcW w:w="1050" w:type="dxa"/>
          </w:tcPr>
          <w:p>
            <w:pPr>
              <w:pStyle w:val="Compact"/>
              <w:jc w:val="left"/>
            </w:pPr>
            <w:r>
              <w:rPr>
                <w:sz w:val="16"/>
              </w:rPr>
              <w:t xml:space="preserve">19.34</w:t>
            </w:r>
          </w:p>
        </w:tc>
        <w:tc>
          <w:tcPr>
            <w:tcW w:w="1050" w:type="dxa"/>
          </w:tcPr>
          <w:p>
            <w:pPr>
              <w:pStyle w:val="Compact"/>
              <w:jc w:val="left"/>
            </w:pPr>
            <w:r>
              <w:rPr>
                <w:sz w:val="16"/>
              </w:rPr>
              <w:t xml:space="preserve">18.97</w:t>
            </w:r>
          </w:p>
        </w:tc>
        <w:tc>
          <w:tcPr>
            <w:tcW w:w="1000" w:type="dxa"/>
          </w:tcPr>
          <w:p>
            <w:pPr>
              <w:pStyle w:val="Compact"/>
              <w:jc w:val="left"/>
            </w:pPr>
            <w:r>
              <w:rPr>
                <w:sz w:val="16"/>
              </w:rPr>
              <w:t xml:space="preserve">0.700</w:t>
            </w:r>
          </w:p>
        </w:tc>
        <w:tc>
          <w:tcPr>
            <w:tcW w:w="1000" w:type="dxa"/>
          </w:tcPr>
          <w:p>
            <w:pPr>
              <w:pStyle w:val="Compact"/>
              <w:jc w:val="left"/>
            </w:pPr>
            <w:r>
              <w:rPr>
                <w:sz w:val="16"/>
              </w:rPr>
              <w:t xml:space="preserve">0.0078</w:t>
            </w:r>
          </w:p>
        </w:tc>
        <w:tc>
          <w:tcPr>
            <w:tcW w:w="1200" w:type="dxa"/>
          </w:tcPr>
          <w:p>
            <w:pPr>
              <w:pStyle w:val="Compact"/>
              <w:jc w:val="left"/>
            </w:pPr>
            <w:r>
              <w:rPr>
                <w:sz w:val="16"/>
              </w:rPr>
              <w:t xml:space="preserve">0.582</w:t>
            </w:r>
          </w:p>
        </w:tc>
      </w:tr>
      <w:tr>
        <w:trPr>
          <w:cantSplit/>
        </w:trPr>
        <w:tc>
          <w:tcPr>
            <w:tcW w:w="1500" w:type="dxa"/>
          </w:tcPr>
          <w:p>
            <w:pPr>
              <w:pStyle w:val="Compact"/>
              <w:jc w:val="left"/>
            </w:pPr>
            <w:r>
              <w:rPr>
                <w:sz w:val="16"/>
              </w:rPr>
              <w:t xml:space="preserve">inv_base8</w:t>
            </w:r>
          </w:p>
        </w:tc>
        <w:tc>
          <w:tcPr>
            <w:tcW w:w="1000" w:type="dxa"/>
          </w:tcPr>
          <w:p>
            <w:pPr>
              <w:pStyle w:val="Compact"/>
              <w:jc w:val="left"/>
            </w:pPr>
            <w:r>
              <w:rPr>
                <w:sz w:val="16"/>
              </w:rPr>
              <w:t xml:space="preserve">0.37</w:t>
            </w:r>
          </w:p>
        </w:tc>
        <w:tc>
          <w:tcPr>
            <w:tcW w:w="600" w:type="dxa"/>
          </w:tcPr>
          <w:p>
            <w:pPr>
              <w:pStyle w:val="Compact"/>
              <w:jc w:val="left"/>
            </w:pPr>
            <w:r>
              <w:rPr>
                <w:sz w:val="16"/>
              </w:rPr>
              <w:t xml:space="preserve">7</w:t>
            </w:r>
          </w:p>
        </w:tc>
        <w:tc>
          <w:tcPr>
            <w:tcW w:w="1200" w:type="dxa"/>
          </w:tcPr>
          <w:p>
            <w:pPr>
              <w:pStyle w:val="Compact"/>
              <w:jc w:val="left"/>
            </w:pPr>
            <w:r>
              <w:rPr>
                <w:sz w:val="16"/>
              </w:rPr>
              <w:t xml:space="preserve">(0.4, 0.6)</w:t>
            </w:r>
          </w:p>
        </w:tc>
        <w:tc>
          <w:tcPr>
            <w:tcW w:w="1050" w:type="dxa"/>
          </w:tcPr>
          <w:p>
            <w:pPr>
              <w:pStyle w:val="Compact"/>
              <w:jc w:val="left"/>
            </w:pPr>
            <w:r>
              <w:rPr>
                <w:sz w:val="16"/>
              </w:rPr>
              <w:t xml:space="preserve">23.76</w:t>
            </w:r>
          </w:p>
        </w:tc>
        <w:tc>
          <w:tcPr>
            <w:tcW w:w="1050" w:type="dxa"/>
          </w:tcPr>
          <w:p>
            <w:pPr>
              <w:pStyle w:val="Compact"/>
              <w:jc w:val="left"/>
            </w:pPr>
            <w:r>
              <w:rPr>
                <w:sz w:val="16"/>
              </w:rPr>
              <w:t xml:space="preserve">24.00</w:t>
            </w:r>
          </w:p>
        </w:tc>
        <w:tc>
          <w:tcPr>
            <w:tcW w:w="1000" w:type="dxa"/>
          </w:tcPr>
          <w:p>
            <w:pPr>
              <w:pStyle w:val="Compact"/>
              <w:jc w:val="left"/>
            </w:pPr>
            <w:r>
              <w:rPr>
                <w:sz w:val="16"/>
              </w:rPr>
              <w:t xml:space="preserve">0.610</w:t>
            </w:r>
          </w:p>
        </w:tc>
        <w:tc>
          <w:tcPr>
            <w:tcW w:w="1000" w:type="dxa"/>
          </w:tcPr>
          <w:p>
            <w:pPr>
              <w:pStyle w:val="Compact"/>
              <w:jc w:val="left"/>
            </w:pPr>
            <w:r>
              <w:rPr>
                <w:sz w:val="16"/>
              </w:rPr>
              <w:t xml:space="preserve">0.0065</w:t>
            </w:r>
          </w:p>
        </w:tc>
        <w:tc>
          <w:tcPr>
            <w:tcW w:w="1200" w:type="dxa"/>
          </w:tcPr>
          <w:p>
            <w:pPr>
              <w:pStyle w:val="Compact"/>
              <w:jc w:val="left"/>
            </w:pPr>
            <w:r>
              <w:rPr>
                <w:sz w:val="16"/>
              </w:rPr>
              <w:t xml:space="preserve">0.539</w:t>
            </w:r>
          </w:p>
        </w:tc>
      </w:tr>
      <w:tr>
        <w:trPr>
          <w:cantSplit/>
        </w:trPr>
        <w:tc>
          <w:tcPr>
            <w:tcW w:w="1500" w:type="dxa"/>
          </w:tcPr>
          <w:p>
            <w:pPr>
              <w:pStyle w:val="Compact"/>
              <w:jc w:val="left"/>
            </w:pPr>
            <w:r>
              <w:rPr>
                <w:sz w:val="16"/>
              </w:rPr>
              <w:t xml:space="preserve">inv_stage4</w:t>
            </w:r>
          </w:p>
        </w:tc>
        <w:tc>
          <w:tcPr>
            <w:tcW w:w="1000" w:type="dxa"/>
          </w:tcPr>
          <w:p>
            <w:pPr>
              <w:pStyle w:val="Compact"/>
              <w:jc w:val="left"/>
            </w:pPr>
            <w:r>
              <w:rPr>
                <w:sz w:val="16"/>
              </w:rPr>
              <w:t xml:space="preserve">0.43</w:t>
            </w:r>
          </w:p>
        </w:tc>
        <w:tc>
          <w:tcPr>
            <w:tcW w:w="600" w:type="dxa"/>
          </w:tcPr>
          <w:p>
            <w:pPr>
              <w:pStyle w:val="Compact"/>
              <w:jc w:val="left"/>
            </w:pPr>
            <w:r>
              <w:rPr>
                <w:sz w:val="16"/>
              </w:rPr>
              <w:t xml:space="preserve">3</w:t>
            </w:r>
          </w:p>
        </w:tc>
        <w:tc>
          <w:tcPr>
            <w:tcW w:w="1200" w:type="dxa"/>
          </w:tcPr>
          <w:p>
            <w:pPr>
              <w:pStyle w:val="Compact"/>
              <w:jc w:val="left"/>
            </w:pPr>
            <w:r>
              <w:rPr>
                <w:sz w:val="16"/>
              </w:rPr>
              <w:t xml:space="preserve">(0.4, 0.9)</w:t>
            </w:r>
          </w:p>
        </w:tc>
        <w:tc>
          <w:tcPr>
            <w:tcW w:w="1050" w:type="dxa"/>
          </w:tcPr>
          <w:p>
            <w:pPr>
              <w:pStyle w:val="Compact"/>
              <w:jc w:val="left"/>
            </w:pPr>
            <w:r>
              <w:rPr>
                <w:sz w:val="16"/>
              </w:rPr>
              <w:t xml:space="preserve">25.61</w:t>
            </w:r>
          </w:p>
        </w:tc>
        <w:tc>
          <w:tcPr>
            <w:tcW w:w="1050" w:type="dxa"/>
          </w:tcPr>
          <w:p>
            <w:pPr>
              <w:pStyle w:val="Compact"/>
              <w:jc w:val="left"/>
            </w:pPr>
            <w:r>
              <w:rPr>
                <w:sz w:val="16"/>
              </w:rPr>
              <w:t xml:space="preserve">24.67</w:t>
            </w:r>
          </w:p>
        </w:tc>
        <w:tc>
          <w:tcPr>
            <w:tcW w:w="1000" w:type="dxa"/>
          </w:tcPr>
          <w:p>
            <w:pPr>
              <w:pStyle w:val="Compact"/>
              <w:jc w:val="left"/>
            </w:pPr>
            <w:r>
              <w:rPr>
                <w:sz w:val="16"/>
              </w:rPr>
              <w:t xml:space="preserve">0.700</w:t>
            </w:r>
          </w:p>
        </w:tc>
        <w:tc>
          <w:tcPr>
            <w:tcW w:w="1000" w:type="dxa"/>
          </w:tcPr>
          <w:p>
            <w:pPr>
              <w:pStyle w:val="Compact"/>
              <w:jc w:val="left"/>
            </w:pPr>
            <w:r>
              <w:rPr>
                <w:sz w:val="16"/>
              </w:rPr>
              <w:t xml:space="preserve">0.0061</w:t>
            </w:r>
          </w:p>
        </w:tc>
        <w:tc>
          <w:tcPr>
            <w:tcW w:w="1200" w:type="dxa"/>
          </w:tcPr>
          <w:p>
            <w:pPr>
              <w:pStyle w:val="Compact"/>
              <w:jc w:val="left"/>
            </w:pPr>
            <w:r>
              <w:rPr>
                <w:sz w:val="16"/>
              </w:rPr>
              <w:t xml:space="preserve">0.626</w:t>
            </w:r>
          </w:p>
        </w:tc>
      </w:tr>
      <w:tr>
        <w:trPr>
          <w:cantSplit/>
        </w:trPr>
        <w:tc>
          <w:tcPr>
            <w:tcW w:w="1500" w:type="dxa"/>
          </w:tcPr>
          <w:p>
            <w:pPr>
              <w:pStyle w:val="Compact"/>
              <w:jc w:val="left"/>
            </w:pPr>
            <w:r>
              <w:rPr>
                <w:sz w:val="16"/>
              </w:rPr>
              <w:t xml:space="preserve">inv_skewp</w:t>
            </w:r>
          </w:p>
        </w:tc>
        <w:tc>
          <w:tcPr>
            <w:tcW w:w="1000" w:type="dxa"/>
          </w:tcPr>
          <w:p>
            <w:pPr>
              <w:pStyle w:val="Compact"/>
              <w:jc w:val="left"/>
            </w:pPr>
            <w:r>
              <w:rPr>
                <w:sz w:val="16"/>
              </w:rPr>
              <w:t xml:space="preserve">0.24</w:t>
            </w:r>
          </w:p>
        </w:tc>
        <w:tc>
          <w:tcPr>
            <w:tcW w:w="600" w:type="dxa"/>
          </w:tcPr>
          <w:p>
            <w:pPr>
              <w:pStyle w:val="Compact"/>
              <w:jc w:val="left"/>
            </w:pPr>
            <w:r>
              <w:rPr>
                <w:sz w:val="16"/>
              </w:rPr>
              <w:t xml:space="preserve">7</w:t>
            </w:r>
          </w:p>
        </w:tc>
        <w:tc>
          <w:tcPr>
            <w:tcW w:w="1200" w:type="dxa"/>
          </w:tcPr>
          <w:p>
            <w:pPr>
              <w:pStyle w:val="Compact"/>
              <w:jc w:val="left"/>
            </w:pPr>
            <w:r>
              <w:rPr>
                <w:sz w:val="16"/>
              </w:rPr>
              <w:t xml:space="preserve">(0.4, 0.6)</w:t>
            </w:r>
          </w:p>
        </w:tc>
        <w:tc>
          <w:tcPr>
            <w:tcW w:w="1050" w:type="dxa"/>
          </w:tcPr>
          <w:p>
            <w:pPr>
              <w:pStyle w:val="Compact"/>
              <w:jc w:val="left"/>
            </w:pPr>
            <w:r>
              <w:rPr>
                <w:sz w:val="16"/>
              </w:rPr>
              <w:t xml:space="preserve">22.36</w:t>
            </w:r>
          </w:p>
        </w:tc>
        <w:tc>
          <w:tcPr>
            <w:tcW w:w="1050" w:type="dxa"/>
          </w:tcPr>
          <w:p>
            <w:pPr>
              <w:pStyle w:val="Compact"/>
              <w:jc w:val="left"/>
            </w:pPr>
            <w:r>
              <w:rPr>
                <w:sz w:val="16"/>
              </w:rPr>
              <w:t xml:space="preserve">21.20</w:t>
            </w:r>
          </w:p>
        </w:tc>
        <w:tc>
          <w:tcPr>
            <w:tcW w:w="1000" w:type="dxa"/>
          </w:tcPr>
          <w:p>
            <w:pPr>
              <w:pStyle w:val="Compact"/>
              <w:jc w:val="left"/>
            </w:pPr>
            <w:r>
              <w:rPr>
                <w:sz w:val="16"/>
              </w:rPr>
              <w:t xml:space="preserve">0.537</w:t>
            </w:r>
          </w:p>
        </w:tc>
        <w:tc>
          <w:tcPr>
            <w:tcW w:w="1000" w:type="dxa"/>
          </w:tcPr>
          <w:p>
            <w:pPr>
              <w:pStyle w:val="Compact"/>
              <w:jc w:val="left"/>
            </w:pPr>
            <w:r>
              <w:rPr>
                <w:sz w:val="16"/>
              </w:rPr>
              <w:t xml:space="preserve">0.0094</w:t>
            </w:r>
          </w:p>
        </w:tc>
        <w:tc>
          <w:tcPr>
            <w:tcW w:w="1200" w:type="dxa"/>
          </w:tcPr>
          <w:p>
            <w:pPr>
              <w:pStyle w:val="Compact"/>
              <w:jc w:val="left"/>
            </w:pPr>
            <w:r>
              <w:rPr>
                <w:sz w:val="16"/>
              </w:rPr>
              <w:t xml:space="preserve">0.473</w:t>
            </w:r>
          </w:p>
        </w:tc>
      </w:tr>
      <w:tr>
        <w:trPr>
          <w:cantSplit/>
        </w:trPr>
        <w:tc>
          <w:tcPr>
            <w:tcW w:w="1500" w:type="dxa"/>
          </w:tcPr>
          <w:p>
            <w:pPr>
              <w:pStyle w:val="Compact"/>
              <w:jc w:val="left"/>
            </w:pPr>
            <w:r>
              <w:rPr>
                <w:sz w:val="16"/>
              </w:rPr>
              <w:t xml:space="preserve">inv_weak</w:t>
            </w:r>
          </w:p>
        </w:tc>
        <w:tc>
          <w:tcPr>
            <w:tcW w:w="1000" w:type="dxa"/>
          </w:tcPr>
          <w:p>
            <w:pPr>
              <w:pStyle w:val="Compact"/>
              <w:jc w:val="left"/>
            </w:pPr>
            <w:r>
              <w:rPr>
                <w:sz w:val="16"/>
              </w:rPr>
              <w:t xml:space="preserve">0.35</w:t>
            </w:r>
          </w:p>
        </w:tc>
        <w:tc>
          <w:tcPr>
            <w:tcW w:w="600" w:type="dxa"/>
          </w:tcPr>
          <w:p>
            <w:pPr>
              <w:pStyle w:val="Compact"/>
              <w:jc w:val="left"/>
            </w:pPr>
            <w:r>
              <w:rPr>
                <w:sz w:val="16"/>
              </w:rPr>
              <w:t xml:space="preserve">7</w:t>
            </w:r>
          </w:p>
        </w:tc>
        <w:tc>
          <w:tcPr>
            <w:tcW w:w="1200" w:type="dxa"/>
          </w:tcPr>
          <w:p>
            <w:pPr>
              <w:pStyle w:val="Compact"/>
              <w:jc w:val="left"/>
            </w:pPr>
            <w:r>
              <w:rPr>
                <w:sz w:val="16"/>
              </w:rPr>
              <w:t xml:space="preserve">(0.4, 0.6)</w:t>
            </w:r>
          </w:p>
        </w:tc>
        <w:tc>
          <w:tcPr>
            <w:tcW w:w="1050" w:type="dxa"/>
          </w:tcPr>
          <w:p>
            <w:pPr>
              <w:pStyle w:val="Compact"/>
              <w:jc w:val="left"/>
            </w:pPr>
            <w:r>
              <w:rPr>
                <w:sz w:val="16"/>
              </w:rPr>
              <w:t xml:space="preserve">22.96</w:t>
            </w:r>
          </w:p>
        </w:tc>
        <w:tc>
          <w:tcPr>
            <w:tcW w:w="1050" w:type="dxa"/>
          </w:tcPr>
          <w:p>
            <w:pPr>
              <w:pStyle w:val="Compact"/>
              <w:jc w:val="left"/>
            </w:pPr>
            <w:r>
              <w:rPr>
                <w:sz w:val="16"/>
              </w:rPr>
              <w:t xml:space="preserve">23.52</w:t>
            </w:r>
          </w:p>
        </w:tc>
        <w:tc>
          <w:tcPr>
            <w:tcW w:w="1000" w:type="dxa"/>
          </w:tcPr>
          <w:p>
            <w:pPr>
              <w:pStyle w:val="Compact"/>
              <w:jc w:val="left"/>
            </w:pPr>
            <w:r>
              <w:rPr>
                <w:sz w:val="16"/>
              </w:rPr>
              <w:t xml:space="preserve">0.630</w:t>
            </w:r>
          </w:p>
        </w:tc>
        <w:tc>
          <w:tcPr>
            <w:tcW w:w="1000" w:type="dxa"/>
          </w:tcPr>
          <w:p>
            <w:pPr>
              <w:pStyle w:val="Compact"/>
              <w:jc w:val="left"/>
            </w:pPr>
            <w:r>
              <w:rPr>
                <w:sz w:val="16"/>
              </w:rPr>
              <w:t xml:space="preserve">0.0064</w:t>
            </w:r>
          </w:p>
        </w:tc>
        <w:tc>
          <w:tcPr>
            <w:tcW w:w="1200" w:type="dxa"/>
          </w:tcPr>
          <w:p>
            <w:pPr>
              <w:pStyle w:val="Compact"/>
              <w:jc w:val="left"/>
            </w:pPr>
            <w:r>
              <w:rPr>
                <w:sz w:val="16"/>
              </w:rPr>
              <w:t xml:space="preserve">0.571</w:t>
            </w:r>
          </w:p>
        </w:tc>
      </w:tr>
      <w:tr>
        <w:trPr>
          <w:cantSplit/>
        </w:trPr>
        <w:tc>
          <w:tcPr>
            <w:tcW w:w="1500" w:type="dxa"/>
          </w:tcPr>
          <w:p>
            <w:pPr>
              <w:pStyle w:val="Compact"/>
              <w:jc w:val="left"/>
            </w:pPr>
            <w:r>
              <w:rPr>
                <w:sz w:val="16"/>
              </w:rPr>
              <w:t xml:space="preserve">io_buf</w:t>
            </w:r>
          </w:p>
        </w:tc>
        <w:tc>
          <w:tcPr>
            <w:tcW w:w="1000" w:type="dxa"/>
          </w:tcPr>
          <w:p>
            <w:pPr>
              <w:pStyle w:val="Compact"/>
              <w:jc w:val="left"/>
            </w:pPr>
            <w:r>
              <w:rPr>
                <w:sz w:val="16"/>
              </w:rPr>
              <w:t xml:space="preserve">1.68</w:t>
            </w:r>
          </w:p>
        </w:tc>
        <w:tc>
          <w:tcPr>
            <w:tcW w:w="600" w:type="dxa"/>
          </w:tcPr>
          <w:p>
            <w:pPr>
              <w:pStyle w:val="Compact"/>
              <w:jc w:val="left"/>
            </w:pPr>
            <w:r>
              <w:rPr>
                <w:sz w:val="16"/>
              </w:rPr>
              <w:t xml:space="preserve">1</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0.40</w:t>
            </w:r>
          </w:p>
        </w:tc>
        <w:tc>
          <w:tcPr>
            <w:tcW w:w="1050" w:type="dxa"/>
          </w:tcPr>
          <w:p>
            <w:pPr>
              <w:pStyle w:val="Compact"/>
              <w:jc w:val="left"/>
            </w:pPr>
            <w:r>
              <w:rPr>
                <w:sz w:val="16"/>
              </w:rPr>
              <w:t xml:space="preserve">1.99</w:t>
            </w:r>
          </w:p>
        </w:tc>
        <w:tc>
          <w:tcPr>
            <w:tcW w:w="1000" w:type="dxa"/>
          </w:tcPr>
          <w:p>
            <w:pPr>
              <w:pStyle w:val="Compact"/>
              <w:jc w:val="left"/>
            </w:pPr>
            <w:r>
              <w:rPr>
                <w:sz w:val="16"/>
              </w:rPr>
              <w:t xml:space="preserve">0.699</w:t>
            </w:r>
          </w:p>
        </w:tc>
        <w:tc>
          <w:tcPr>
            <w:tcW w:w="1000" w:type="dxa"/>
          </w:tcPr>
          <w:p>
            <w:pPr>
              <w:pStyle w:val="Compact"/>
              <w:jc w:val="left"/>
            </w:pPr>
            <w:r>
              <w:rPr>
                <w:sz w:val="16"/>
              </w:rPr>
              <w:t xml:space="preserve">0.0186</w:t>
            </w:r>
          </w:p>
        </w:tc>
        <w:tc>
          <w:tcPr>
            <w:tcW w:w="1200" w:type="dxa"/>
          </w:tcPr>
          <w:p>
            <w:pPr>
              <w:pStyle w:val="Compact"/>
              <w:jc w:val="left"/>
            </w:pPr>
            <w:r>
              <w:rPr>
                <w:sz w:val="16"/>
              </w:rPr>
              <w:t xml:space="preserve">rates × 1.10</w:t>
            </w:r>
          </w:p>
        </w:tc>
      </w:tr>
    </w:tbl>
    <w:p>
      <w:pPr>
        <w:pStyle w:val="Compact"/>
      </w:pPr>
    </w:p>
    <w:p>
      <w:pPr>
        <w:pStyle w:val="Heading2"/>
      </w:pPr>
      <w:r>
        <w:t xml:space="preserve">D. What the file cannot determine</w:t>
      </w:r>
    </w:p>
    <w:p>
      <w:pPr>
        <w:pStyle w:val="FirstParagraph"/>
      </w:pPr>
      <w:r>
        <w:t xml:space="preserve">A complete transition is two edges. Two edges fix two rates and one delay, and the fit has exactly those three numbers to spend. Anything that acts only when a transition is cut short, how many stages share the delay, where each hands over, how the output transistor turns on in between, leaves no mark on a complete transition. This subsection shows it in numbers.</w:t>
      </w:r>
    </w:p>
    <w:p>
      <w:pPr>
        <w:pStyle w:val="BodyText"/>
      </w:pPr>
      <w:r>
        <w:rPr>
          <w:i/>
        </w:rPr>
        <w:t xml:space="preserve">The map.</w:t>
      </w:r>
      <w:r>
        <w:t xml:space="preserve"> Table V gives the residual of (26) on ex2 and inv_chain for six assumed shapes. It varies by 11 % and 8 % across them, and its small preference does not point at the measured map: on ex2 the shape nearest the measured one, (0.6, 0.6), has the largest residual. Fig. 11 shows why. Through the later-starting map (0.6, 0.6) the fit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r>
          <m:rPr>
            <m:sty m:val="p"/>
          </m:rPr>
          <m:t xml:space="preserve">7</m:t>
        </m:r>
        <m:r>
          <m:rPr>
            <m:sty m:val="p"/>
          </m:rPr>
          <m:t xml:space="preserve">9</m:t>
        </m:r>
      </m:oMath>
      <w:r>
        <w:t xml:space="preserve">; through the earlier-starting map (0.4, 0.6) 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7</m:t>
        </m:r>
        <m:r>
          <m:rPr>
            <m:sty m:val="p"/>
          </m:rPr>
          <m:t xml:space="preserve">8</m:t>
        </m:r>
      </m:oMath>
      <w:r>
        <w:t xml:space="preserve">, a gate that leaves later; for a full transition the two are indistinguishable (residuals 0.0238 and 0.0227). Driven by an 810 ps pulse they are not: the first delivers a conducting fraction of 0.51, the second none at all, because its higher threshold extinguishes the pulse inside the chain. Two models that the file cannot tell apart give opposite answers for the short pulse.</w:t>
      </w:r>
    </w:p>
    <w:p>
      <w:pPr>
        <w:pStyle w:val="TableCaption"/>
        <w:keepNext/>
      </w:pPr>
      <w:r>
        <w:t xml:space="preserve">Table V: Residual of the fit (26) for six assumed map shapes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w:t>
      </w:r>
      <m:oMath>
        <m:r>
          <m:t xml:space="preserve">K</m:t>
        </m:r>
        <m:r>
          <m:rPr>
            <m:sty m:val="p"/>
          </m:rPr>
          <m:t xml:space="preserve">=</m:t>
        </m:r>
        <m:r>
          <m:rPr>
            <m:sty m:val="p"/>
          </m:rPr>
          <m:t xml:space="preserve">3</m:t>
        </m:r>
      </m:oMath>
      <w:r>
        <w:t xml:space="preserve"> for ex2, 7 for inv_chain)</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2400"/>
        <w:gridCol w:w="1200"/>
        <w:gridCol w:w="1200"/>
        <w:gridCol w:w="1200"/>
        <w:gridCol w:w="1200"/>
        <w:gridCol w:w="1200"/>
        <w:gridCol w:w="1200"/>
      </w:tblGrid>
      <w:tr>
        <w:trPr>
          <w:cantSplit/>
          <w:tblHeader/>
        </w:trPr>
        <w:tc>
          <w:tcPr>
            <w:tcW w:w="2400" w:type="dxa"/>
          </w:tcPr>
          <w:p>
            <w:pPr>
              <w:pStyle w:val="Compact"/>
              <w:keepNext/>
              <w:jc w:val="left"/>
            </w:pPr>
            <w:r>
              <w:rPr>
                <w:sz w:val="18"/>
              </w:rPr>
              <w:t xml:space="preserve">Map shape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p>
        </w:tc>
        <w:tc>
          <w:tcPr>
            <w:tcW w:w="1200" w:type="dxa"/>
          </w:tcPr>
          <w:p>
            <w:pPr>
              <w:pStyle w:val="Compact"/>
              <w:keepNext/>
              <w:jc w:val="left"/>
            </w:pPr>
            <w:r>
              <w:rPr>
                <w:b/>
                <w:sz w:val="18"/>
              </w:rPr>
              <w:t xml:space="preserve">(0.3, 0.6)</w:t>
            </w:r>
          </w:p>
        </w:tc>
        <w:tc>
          <w:tcPr>
            <w:tcW w:w="1200" w:type="dxa"/>
          </w:tcPr>
          <w:p>
            <w:pPr>
              <w:pStyle w:val="Compact"/>
              <w:keepNext/>
              <w:jc w:val="left"/>
            </w:pPr>
            <w:r>
              <w:rPr>
                <w:b/>
                <w:sz w:val="18"/>
              </w:rPr>
              <w:t xml:space="preserve">(0.4, 0.6)</w:t>
            </w:r>
          </w:p>
        </w:tc>
        <w:tc>
          <w:tcPr>
            <w:tcW w:w="1200" w:type="dxa"/>
          </w:tcPr>
          <w:p>
            <w:pPr>
              <w:pStyle w:val="Compact"/>
              <w:keepNext/>
              <w:jc w:val="left"/>
            </w:pPr>
            <w:r>
              <w:rPr>
                <w:b/>
                <w:sz w:val="18"/>
              </w:rPr>
              <w:t xml:space="preserve">(0.4, 0.9)</w:t>
            </w:r>
          </w:p>
        </w:tc>
        <w:tc>
          <w:tcPr>
            <w:tcW w:w="1200" w:type="dxa"/>
          </w:tcPr>
          <w:p>
            <w:pPr>
              <w:pStyle w:val="Compact"/>
              <w:keepNext/>
              <w:jc w:val="left"/>
            </w:pPr>
            <w:r>
              <w:rPr>
                <w:b/>
                <w:sz w:val="18"/>
              </w:rPr>
              <w:t xml:space="preserve">(0.5, 0.7)</w:t>
            </w:r>
          </w:p>
        </w:tc>
        <w:tc>
          <w:tcPr>
            <w:tcW w:w="1200" w:type="dxa"/>
          </w:tcPr>
          <w:p>
            <w:pPr>
              <w:pStyle w:val="Compact"/>
              <w:keepNext/>
              <w:jc w:val="left"/>
            </w:pPr>
            <w:r>
              <w:rPr>
                <w:b/>
                <w:sz w:val="18"/>
              </w:rPr>
              <w:t xml:space="preserve">(0.6, 0.6)</w:t>
            </w:r>
          </w:p>
        </w:tc>
        <w:tc>
          <w:tcPr>
            <w:tcW w:w="1200" w:type="dxa"/>
          </w:tcPr>
          <w:p>
            <w:pPr>
              <w:pStyle w:val="Compact"/>
              <w:keepNext/>
              <w:jc w:val="left"/>
            </w:pPr>
            <w:r>
              <w:rPr>
                <w:b/>
                <w:sz w:val="18"/>
              </w:rPr>
              <w:t xml:space="preserve">(0.6, 0.9)</w:t>
            </w:r>
          </w:p>
        </w:tc>
      </w:tr>
      <w:tr>
        <w:trPr>
          <w:cantSplit/>
        </w:trPr>
        <w:tc>
          <w:tcPr>
            <w:tcW w:w="2400" w:type="dxa"/>
          </w:tcPr>
          <w:p>
            <w:pPr>
              <w:pStyle w:val="Compact"/>
              <w:jc w:val="left"/>
            </w:pPr>
            <w:r>
              <w:rPr>
                <w:sz w:val="18"/>
              </w:rPr>
              <w:t xml:space="preserve">ex2</w:t>
            </w:r>
          </w:p>
        </w:tc>
        <w:tc>
          <w:tcPr>
            <w:tcW w:w="1200" w:type="dxa"/>
          </w:tcPr>
          <w:p>
            <w:pPr>
              <w:pStyle w:val="Compact"/>
              <w:jc w:val="left"/>
            </w:pPr>
            <w:r>
              <w:rPr>
                <w:sz w:val="18"/>
              </w:rPr>
              <w:t xml:space="preserve">0.0220</w:t>
            </w:r>
          </w:p>
        </w:tc>
        <w:tc>
          <w:tcPr>
            <w:tcW w:w="1200" w:type="dxa"/>
          </w:tcPr>
          <w:p>
            <w:pPr>
              <w:pStyle w:val="Compact"/>
              <w:jc w:val="left"/>
            </w:pPr>
            <w:r>
              <w:rPr>
                <w:sz w:val="18"/>
              </w:rPr>
              <w:t xml:space="preserve">0.0227</w:t>
            </w:r>
          </w:p>
        </w:tc>
        <w:tc>
          <w:tcPr>
            <w:tcW w:w="1200" w:type="dxa"/>
          </w:tcPr>
          <w:p>
            <w:pPr>
              <w:pStyle w:val="Compact"/>
              <w:jc w:val="left"/>
            </w:pPr>
            <w:r>
              <w:rPr>
                <w:sz w:val="18"/>
              </w:rPr>
              <w:t xml:space="preserve">0.0214</w:t>
            </w:r>
          </w:p>
        </w:tc>
        <w:tc>
          <w:tcPr>
            <w:tcW w:w="1200" w:type="dxa"/>
          </w:tcPr>
          <w:p>
            <w:pPr>
              <w:pStyle w:val="Compact"/>
              <w:jc w:val="left"/>
            </w:pPr>
            <w:r>
              <w:rPr>
                <w:sz w:val="18"/>
              </w:rPr>
              <w:t xml:space="preserve">0.0226</w:t>
            </w:r>
          </w:p>
        </w:tc>
        <w:tc>
          <w:tcPr>
            <w:tcW w:w="1200" w:type="dxa"/>
          </w:tcPr>
          <w:p>
            <w:pPr>
              <w:pStyle w:val="Compact"/>
              <w:jc w:val="left"/>
            </w:pPr>
            <w:r>
              <w:rPr>
                <w:sz w:val="18"/>
              </w:rPr>
              <w:t xml:space="preserve">0.0238</w:t>
            </w:r>
          </w:p>
        </w:tc>
        <w:tc>
          <w:tcPr>
            <w:tcW w:w="1200" w:type="dxa"/>
          </w:tcPr>
          <w:p>
            <w:pPr>
              <w:pStyle w:val="Compact"/>
              <w:jc w:val="left"/>
            </w:pPr>
            <w:r>
              <w:rPr>
                <w:sz w:val="18"/>
              </w:rPr>
              <w:t xml:space="preserve">0.0226</w:t>
            </w:r>
          </w:p>
        </w:tc>
      </w:tr>
      <w:tr>
        <w:trPr>
          <w:cantSplit/>
        </w:trPr>
        <w:tc>
          <w:tcPr>
            <w:tcW w:w="2400" w:type="dxa"/>
          </w:tcPr>
          <w:p>
            <w:pPr>
              <w:pStyle w:val="Compact"/>
              <w:jc w:val="left"/>
            </w:pPr>
            <w:r>
              <w:rPr>
                <w:sz w:val="18"/>
              </w:rPr>
              <w:t xml:space="preserve">inv_chain</w:t>
            </w:r>
          </w:p>
        </w:tc>
        <w:tc>
          <w:tcPr>
            <w:tcW w:w="1200" w:type="dxa"/>
          </w:tcPr>
          <w:p>
            <w:pPr>
              <w:pStyle w:val="Compact"/>
              <w:jc w:val="left"/>
            </w:pPr>
            <w:r>
              <w:rPr>
                <w:sz w:val="18"/>
              </w:rPr>
              <w:t xml:space="preserve">0.0078</w:t>
            </w:r>
          </w:p>
        </w:tc>
        <w:tc>
          <w:tcPr>
            <w:tcW w:w="1200" w:type="dxa"/>
          </w:tcPr>
          <w:p>
            <w:pPr>
              <w:pStyle w:val="Compact"/>
              <w:jc w:val="left"/>
            </w:pPr>
            <w:r>
              <w:rPr>
                <w:sz w:val="18"/>
              </w:rPr>
              <w:t xml:space="preserve">0.0078</w:t>
            </w:r>
          </w:p>
        </w:tc>
        <w:tc>
          <w:tcPr>
            <w:tcW w:w="1200" w:type="dxa"/>
          </w:tcPr>
          <w:p>
            <w:pPr>
              <w:pStyle w:val="Compact"/>
              <w:jc w:val="left"/>
            </w:pPr>
            <w:r>
              <w:rPr>
                <w:sz w:val="18"/>
              </w:rPr>
              <w:t xml:space="preserve">0.0078</w:t>
            </w:r>
          </w:p>
        </w:tc>
        <w:tc>
          <w:tcPr>
            <w:tcW w:w="1200" w:type="dxa"/>
          </w:tcPr>
          <w:p>
            <w:pPr>
              <w:pStyle w:val="Compact"/>
              <w:jc w:val="left"/>
            </w:pPr>
            <w:r>
              <w:rPr>
                <w:sz w:val="18"/>
              </w:rPr>
              <w:t xml:space="preserve">0.0079</w:t>
            </w:r>
          </w:p>
        </w:tc>
        <w:tc>
          <w:tcPr>
            <w:tcW w:w="1200" w:type="dxa"/>
          </w:tcPr>
          <w:p>
            <w:pPr>
              <w:pStyle w:val="Compact"/>
              <w:jc w:val="left"/>
            </w:pPr>
            <w:r>
              <w:rPr>
                <w:sz w:val="18"/>
              </w:rPr>
              <w:t xml:space="preserve">0.0084</w:t>
            </w:r>
          </w:p>
        </w:tc>
        <w:tc>
          <w:tcPr>
            <w:tcW w:w="1200" w:type="dxa"/>
          </w:tcPr>
          <w:p>
            <w:pPr>
              <w:pStyle w:val="Compact"/>
              <w:jc w:val="left"/>
            </w:pPr>
            <w:r>
              <w:rPr>
                <w:sz w:val="18"/>
              </w:rPr>
              <w:t xml:space="preserve">0.0082</w:t>
            </w:r>
          </w:p>
        </w:tc>
      </w:tr>
    </w:tbl>
    <w:p>
      <w:pPr>
        <w:pStyle w:val="Compact"/>
      </w:pPr>
    </w:p>
    <w:p>
      <w:pPr>
        <w:pStyle w:val="CaptionedFigure"/>
        <w:jc w:val="center"/>
      </w:pPr>
      <w:r>
        <w:drawing>
          <wp:inline distT="0" distB="0" distL="0" distR="0">
            <wp:extent cx="5669280" cy="4016076"/>
            <wp:docPr id="111" name="Figure 11"/>
            <wp:cNvGraphicFramePr>
              <a:graphicFrameLocks noChangeAspect="1"/>
            </wp:cNvGraphicFramePr>
            <a:graphic>
              <a:graphicData uri="http://schemas.openxmlformats.org/drawingml/2006/picture">
                <pic:pic>
                  <pic:nvPicPr>
                    <pic:cNvPr id="111" name="fig11.png"/>
                    <pic:cNvPicPr/>
                  </pic:nvPicPr>
                  <pic:blipFill>
                    <a:blip r:embed="rIdFig11"/>
                    <a:stretch>
                      <a:fillRect/>
                    </a:stretch>
                  </pic:blipFill>
                  <pic:spPr>
                    <a:xfrm>
                      <a:off x="0" y="0"/>
                      <a:ext cx="5669280" cy="4016076"/>
                    </a:xfrm>
                    <a:prstGeom prst="rect">
                      <a:avLst/>
                    </a:prstGeom>
                  </pic:spPr>
                </pic:pic>
              </a:graphicData>
            </a:graphic>
          </wp:inline>
        </w:drawing>
      </w:r>
    </w:p>
    <w:p>
      <w:pPr>
        <w:pStyle w:val="ImageCaption"/>
      </w:pPr>
      <w:r>
        <w:t xml:space="preserve">Fig. 11. Two assumed maps on ex2 (</w:t>
      </w:r>
      <m:oMath>
        <m:r>
          <m:t xml:space="preserve">K</m:t>
        </m:r>
        <m:r>
          <m:rPr>
            <m:sty m:val="p"/>
          </m:rPr>
          <m:t xml:space="preserve">=</m:t>
        </m:r>
        <m:r>
          <m:rPr>
            <m:sty m:val="p"/>
          </m:rPr>
          <m:t xml:space="preserve">3</m:t>
        </m:r>
      </m:oMath>
      <w:r>
        <w:t xml:space="preserve">), each with the stage law fitted through it to the same file. (a) The maps. (b) The gate each fit produces. (c) Full transition: both reproduce the file. (d) An 810 ps pulse, before calibration: one passes it, the other extinguishes it.</w:t>
      </w:r>
    </w:p>
    <w:p>
      <w:pPr>
        <w:pStyle w:val="FirstParagraph"/>
      </w:pPr>
      <w:r>
        <w:rPr>
          <w:i/>
        </w:rPr>
        <w:t xml:space="preserve">The stage count.</w:t>
      </w:r>
      <w:r>
        <w:t xml:space="preserve"> Fig. 12 gives the residual of (26) against </w:t>
      </w:r>
      <m:oMath>
        <m:r>
          <m:t xml:space="preserve">K</m:t>
        </m:r>
      </m:oMath>
      <w:r>
        <w:t xml:space="preserve"> for the thirteen predriver chains of the twelve test buffers, each </w:t>
      </w:r>
      <m:oMath>
        <m:r>
          <m:t xml:space="preserve">K</m:t>
        </m:r>
      </m:oMath>
      <w:r>
        <w:t xml:space="preserve"> fitted independently; the netlists are available, so the true count is known. </w:t>
      </w:r>
      <m:oMath>
        <m:r>
          <m:t xml:space="preserve">K</m:t>
        </m:r>
        <m:r>
          <m:rPr>
            <m:sty m:val="p"/>
          </m:rPr>
          <m:t xml:space="preserve">=</m:t>
        </m:r>
        <m:r>
          <m:rPr>
            <m:sty m:val="p"/>
          </m:rPr>
          <m:t xml:space="preserve">1</m:t>
        </m:r>
      </m:oMath>
      <w:r>
        <w:t xml:space="preserve"> fails on ex2 and inv_chain (0.083 and 0.047 against 0.02 and 0.007), so the full swing does constrain the rate. Beyond that the residual is flat: on ex2, </w:t>
      </w:r>
      <m:oMath>
        <m:r>
          <m:t xml:space="preserve">K</m:t>
        </m:r>
        <m:r>
          <m:rPr>
            <m:sty m:val="p"/>
          </m:rPr>
          <m:t xml:space="preserve">=</m:t>
        </m:r>
        <m:r>
          <m:rPr>
            <m:sty m:val="p"/>
          </m:rPr>
          <m:t xml:space="preserve">3</m:t>
        </m:r>
      </m:oMath>
      <w:r>
        <w:t xml:space="preserve"> to 6 lie within 0.002 of each other and the minimum is at </w:t>
      </w:r>
      <m:oMath>
        <m:r>
          <m:t xml:space="preserve">K</m:t>
        </m:r>
        <m:r>
          <m:rPr>
            <m:sty m:val="p"/>
          </m:rPr>
          <m:t xml:space="preserve">=</m:t>
        </m:r>
        <m:r>
          <m:rPr>
            <m:sty m:val="p"/>
          </m:rPr>
          <m:t xml:space="preserve">5</m:t>
        </m:r>
      </m:oMath>
      <w:r>
        <w:t xml:space="preserve"> although the netlist has three stages; on inv_chain, </w:t>
      </w:r>
      <m:oMath>
        <m:r>
          <m:t xml:space="preserve">K</m:t>
        </m:r>
        <m:r>
          <m:rPr>
            <m:sty m:val="p"/>
          </m:rPr>
          <m:t xml:space="preserve">=</m:t>
        </m:r>
        <m:r>
          <m:rPr>
            <m:sty m:val="p"/>
          </m:rPr>
          <m:t xml:space="preserve">6</m:t>
        </m:r>
      </m:oMath>
      <w:r>
        <w:t xml:space="preserve"> to 9 differ in the fourth decimal. The margin between the best and the second-best </w:t>
      </w:r>
      <m:oMath>
        <m:r>
          <m:t xml:space="preserve">K</m:t>
        </m:r>
      </m:oMath>
      <w:r>
        <w:t xml:space="preserve"> is at most 0.0007 on twelve of the thirteen chains; only io_buf's single-stage pull-up has a distinct minimum.</w:t>
      </w:r>
    </w:p>
    <w:p>
      <w:pPr>
        <w:pStyle w:val="CaptionedFigure"/>
        <w:jc w:val="center"/>
      </w:pPr>
      <w:r>
        <w:drawing>
          <wp:inline distT="0" distB="0" distL="0" distR="0">
            <wp:extent cx="5120640" cy="2173215"/>
            <wp:docPr id="112" name="Figure 12"/>
            <wp:cNvGraphicFramePr>
              <a:graphicFrameLocks noChangeAspect="1"/>
            </wp:cNvGraphicFramePr>
            <a:graphic>
              <a:graphicData uri="http://schemas.openxmlformats.org/drawingml/2006/picture">
                <pic:pic>
                  <pic:nvPicPr>
                    <pic:cNvPr id="112" name="fig12.png"/>
                    <pic:cNvPicPr/>
                  </pic:nvPicPr>
                  <pic:blipFill>
                    <a:blip r:embed="rIdFig12"/>
                    <a:stretch>
                      <a:fillRect/>
                    </a:stretch>
                  </pic:blipFill>
                  <pic:spPr>
                    <a:xfrm>
                      <a:off x="0" y="0"/>
                      <a:ext cx="5120640" cy="2173215"/>
                    </a:xfrm>
                    <a:prstGeom prst="rect">
                      <a:avLst/>
                    </a:prstGeom>
                  </pic:spPr>
                </pic:pic>
              </a:graphicData>
            </a:graphic>
          </wp:inline>
        </w:drawing>
      </w:r>
    </w:p>
    <w:p>
      <w:pPr>
        <w:pStyle w:val="ImageCaption"/>
      </w:pPr>
      <w:r>
        <w:t xml:space="preserve">Fig. 12. Residual of (26) against stage count for the thirteen predriver chains of the twelve test buffers (io_buf has two). Circles mark the netlist stage count; the thick segments mark the band (27).</w:t>
      </w:r>
    </w:p>
    <w:p>
      <w:pPr>
        <w:pStyle w:val="FirstParagraph"/>
      </w:pPr>
      <w:r>
        <w:rPr>
          <w:i/>
        </w:rPr>
        <w:t xml:space="preserve">The threshold, the exponent, the boundary.</w:t>
      </w:r>
      <w:r>
        <w:t xml:space="preserve"> The fitted </w:t>
      </w:r>
      <m:oMath>
        <m:sSub>
          <m:e>
            <m:r>
              <m:t xml:space="preserve">v</m:t>
            </m:r>
          </m:e>
          <m:sub>
            <m:r>
              <m:t xml:space="preserve">t</m:t>
            </m:r>
          </m:sub>
        </m:sSub>
      </m:oMath>
      <w:r>
        <w:t xml:space="preserve"> of ex2 is 0.029 in one fitting pass (</w:t>
      </w:r>
      <m:oMath>
        <m:r>
          <m:t xml:space="preserve">K</m:t>
        </m:r>
        <m:r>
          <m:rPr>
            <m:sty m:val="p"/>
          </m:rPr>
          <m:t xml:space="preserve">=</m:t>
        </m:r>
        <m:r>
          <m:rPr>
            <m:sty m:val="p"/>
          </m:rPr>
          <m:t xml:space="preserve">6</m:t>
        </m:r>
      </m:oMath>
      <w:r>
        <w:t xml:space="preserve">) and 0.528 in another (</w:t>
      </w:r>
      <m:oMath>
        <m:r>
          <m:t xml:space="preserve">K</m:t>
        </m:r>
        <m:r>
          <m:rPr>
            <m:sty m:val="p"/>
          </m:rPr>
          <m:t xml:space="preserve">=</m:t>
        </m:r>
        <m:r>
          <m:rPr>
            <m:sty m:val="p"/>
          </m:rPr>
          <m:t xml:space="preserve">3</m:t>
        </m:r>
      </m:oMath>
      <w:r>
        <w:t xml:space="preserve">) that differs in </w:t>
      </w:r>
      <m:oMath>
        <m:sSub>
          <m:e>
            <m:r>
              <m:t xml:space="preserve">C</m:t>
            </m:r>
          </m:e>
          <m:sub>
            <m:r>
              <m:t xml:space="preserve">c</m:t>
            </m:r>
            <m:r>
              <m:t xml:space="preserve">o</m:t>
            </m:r>
            <m:r>
              <m:t xml:space="preserve">m</m:t>
            </m:r>
            <m:r>
              <m:t xml:space="preserve">p</m:t>
            </m:r>
          </m:sub>
        </m:sSub>
      </m:oMath>
      <w:r>
        <w:t xml:space="preserve"> and map shape, at residuals of 0.0202 and 0.0233. At full swing each stage input dwells at the rail, where (17) does not depend on </w:t>
      </w:r>
      <m:oMath>
        <m:r>
          <m:t xml:space="preserve">p</m:t>
        </m:r>
      </m:oMath>
      <w:r>
        <w:t xml:space="preserve">: in fits of the individual probed stages every </w:t>
      </w:r>
      <m:oMath>
        <m:r>
          <m:t xml:space="preserve">p</m:t>
        </m:r>
      </m:oMath>
      <w:r>
        <w:t xml:space="preserve"> between 1 and 2 reaches 0.002–0.007. If </w:t>
      </w:r>
      <m:oMath>
        <m:sSub>
          <m:e>
            <m:r>
              <m:t xml:space="preserve">x</m:t>
            </m:r>
          </m:e>
          <m:sub>
            <m:r>
              <m:t xml:space="preserve">l</m:t>
            </m:r>
            <m:r>
              <m:t xml:space="preserve">i</m:t>
            </m:r>
            <m:r>
              <m:t xml:space="preserve">n</m:t>
            </m:r>
          </m:sub>
        </m:sSub>
      </m:oMath>
      <w:r>
        <w:t xml:space="preserve"> is left free in (26) it settles at 0.206 on ex2 and 0.135 on inv_chain, less than half the measured </w:t>
      </w:r>
      <m:oMath>
        <m:sSub>
          <m:e>
            <m:r>
              <m:t xml:space="preserve">x</m:t>
            </m:r>
          </m:e>
          <m:sub>
            <m:r>
              <m:rPr>
                <m:sty m:val="p"/>
              </m:rPr>
              <m:t xml:space="preserve">0</m:t>
            </m:r>
          </m:sub>
        </m:sSub>
      </m:oMath>
      <w:r>
        <w:t xml:space="preserve"> of Table II, and replacing (18) by the drive-dependent boundary of (15) changes the residual by about 1 % on ex2 and not at all on inv_chain. This is why </w:t>
      </w:r>
      <m:oMath>
        <m:sSub>
          <m:e>
            <m:r>
              <m:t xml:space="preserve">x</m:t>
            </m:r>
          </m:e>
          <m:sub>
            <m:r>
              <m:t xml:space="preserve">l</m:t>
            </m:r>
            <m:r>
              <m:t xml:space="preserve">i</m:t>
            </m:r>
            <m:r>
              <m:t xml:space="preserve">n</m:t>
            </m:r>
          </m:sub>
        </m:sSub>
      </m:oMath>
      <w:r>
        <w:t xml:space="preserve"> and </w:t>
      </w:r>
      <m:oMath>
        <m:r>
          <m:t xml:space="preserve">p</m:t>
        </m:r>
      </m:oMath>
      <w:r>
        <w:t xml:space="preserve"> are held fixed rather than fitted. A fit with every stage free is worse than uninformative: on ex2 with </w:t>
      </w:r>
      <m:oMath>
        <m:r>
          <m:t xml:space="preserve">K</m:t>
        </m:r>
        <m:r>
          <m:rPr>
            <m:sty m:val="p"/>
          </m:rPr>
          <m:t xml:space="preserve">=</m:t>
        </m:r>
        <m:r>
          <m:rPr>
            <m:sty m:val="p"/>
          </m:rPr>
          <m:t xml:space="preserve">2</m:t>
        </m:r>
      </m:oMath>
      <w:r>
        <w:t xml:space="preserve"> and all eight parameters free, the full-swing residual against the probed gate falls below that of the identical-stage fit with the correct </w:t>
      </w:r>
      <m:oMath>
        <m:r>
          <m:t xml:space="preserve">K</m:t>
        </m:r>
        <m:r>
          <m:rPr>
            <m:sty m:val="p"/>
          </m:rPr>
          <m:t xml:space="preserve">=</m:t>
        </m:r>
        <m:r>
          <m:rPr>
            <m:sty m:val="p"/>
          </m:rPr>
          <m:t xml:space="preserve">3</m:t>
        </m:r>
      </m:oMath>
      <w:r>
        <w:t xml:space="preserve">, with one very slow stage and one fast one, and such a chain extinguishes short pulses (stressed gate peak 0.228 where 0.758 is measured). Sharing one parameter set (A3) removes this solution and leaves </w:t>
      </w:r>
      <m:oMath>
        <m:r>
          <m:t xml:space="preserve">K</m:t>
        </m:r>
      </m:oMath>
      <w:r>
        <w:t xml:space="preserve"> as the single structural unknown. The procedure therefore keeps a band of stage counts instead of a point estimate:</w:t>
      </w:r>
    </w:p>
    <w:p>
      <w:pPr>
        <w:pStyle w:val="BodyText"/>
      </w:pPr>
      <m:oMathPara>
        <m:oMathParaPr>
          <m:jc m:val="center"/>
        </m:oMathParaPr>
        <m:oMath>
          <m:r>
            <m:rPr>
              <m:nor/>
            </m:rPr>
            <m:t xml:space="preserve">band</m:t>
          </m:r>
          <m:r>
            <m:rPr>
              <m:sty m:val="p"/>
            </m:rPr>
            <m:t xml:space="preserve">=</m:t>
          </m:r>
          <m:r>
            <m:rPr>
              <m:nor/>
            </m:rPr>
            <m:t xml:space="preserve">the three smallest</m:t>
          </m:r>
          <m:r>
            <m:rPr>
              <m:sty m:val="p"/>
            </m:rPr>
            <m:t xml:space="preserve"> </m:t>
          </m:r>
          <m:r>
            <m:t xml:space="preserve">K</m:t>
          </m:r>
          <m:r>
            <m:rPr>
              <m:sty m:val="p"/>
            </m:rPr>
            <m:t xml:space="preserve"> </m:t>
          </m:r>
          <m:r>
            <m:rPr>
              <m:nor/>
            </m:rPr>
            <m:t xml:space="preserve">with</m:t>
          </m:r>
          <m:r>
            <m:rPr>
              <m:sty m:val="p"/>
            </m:rPr>
            <m:t xml:space="preserve"> </m:t>
          </m:r>
          <m:r>
            <m:rPr>
              <m:sty m:val="p"/>
            </m:rPr>
            <m:t xml:space="preserve">rms</m:t>
          </m:r>
          <m:r>
            <m:rPr>
              <m:sty m:val="p"/>
            </m:rPr>
            <m:t xml:space="preserve">(</m:t>
          </m:r>
          <m:r>
            <m:t xml:space="preserve">K</m:t>
          </m:r>
          <m:r>
            <m:rPr>
              <m:sty m:val="p"/>
            </m:rPr>
            <m:t xml:space="preserve">)</m:t>
          </m:r>
          <m:r>
            <m:t xml:space="preserve">≤</m:t>
          </m:r>
          <m:r>
            <m:rPr>
              <m:sty m:val="p"/>
            </m:rPr>
            <m:t xml:space="preserve">1</m:t>
          </m:r>
          <m:r>
            <m:rPr>
              <m:sty m:val="p"/>
            </m:rPr>
            <m:t xml:space="preserve">.</m:t>
          </m:r>
          <m:r>
            <m:rPr>
              <m:sty m:val="p"/>
            </m:rPr>
            <m:t xml:space="preserve">2</m:t>
          </m:r>
          <m:r>
            <m:rPr>
              <m:sty m:val="p"/>
            </m:rPr>
            <m:t xml:space="preserve">5</m:t>
          </m:r>
          <m:r>
            <m:rPr>
              <m:sty m:val="p"/>
            </m:rPr>
            <m:t xml:space="preserve"> </m:t>
          </m:r>
          <m:sSub>
            <m:e>
              <m:r>
                <m:rPr>
                  <m:sty m:val="p"/>
                </m:rPr>
                <m:t xml:space="preserve">min</m:t>
              </m:r>
            </m:e>
            <m:sub>
              <m:r>
                <m:t xml:space="preserve">K</m:t>
              </m:r>
              <m:r>
                <m:rPr>
                  <m:sty m:val="p"/>
                </m:rPr>
                <m:t xml:space="preserve">'</m:t>
              </m:r>
            </m:sub>
          </m:sSub>
          <m:r>
            <m:rPr>
              <m:sty m:val="p"/>
            </m:rPr>
            <m:t xml:space="preserve"> </m:t>
          </m:r>
          <m:r>
            <m:rPr>
              <m:sty m:val="p"/>
            </m:rPr>
            <m:t xml:space="preserve">rms</m:t>
          </m:r>
          <m:r>
            <m:rPr>
              <m:sty m:val="p"/>
            </m:rPr>
            <m:t xml:space="preserve">(</m:t>
          </m:r>
          <m:r>
            <m:t xml:space="preserve">K</m:t>
          </m:r>
          <m:r>
            <m:rPr>
              <m:sty m:val="p"/>
            </m:rPr>
            <m:t xml:space="preserve">'</m:t>
          </m:r>
          <m:r>
            <m:rPr>
              <m:sty m:val="p"/>
            </m:rPr>
            <m:t xml:space="preserve">)</m:t>
          </m:r>
          <m:r>
            <m:rPr>
              <m:sty m:val="p"/>
            </m:rPr>
            <m:t xml:space="preserve">  (27)</m:t>
          </m:r>
        </m:oMath>
      </m:oMathPara>
    </w:p>
    <w:p>
      <w:pPr>
        <w:pStyle w:val="FirstParagraph"/>
      </w:pPr>
      <w:r>
        <w:t xml:space="preserve">On the twelve test buffers the band contains the netlist stage count in every case. The tolerance and the band width were chosen on these same buffers, so this is a property of the rule as tuned and not an independent validation.</w:t>
      </w:r>
    </w:p>
    <w:p>
      <w:pPr>
        <w:pStyle w:val="Heading2"/>
      </w:pPr>
      <w:r>
        <w:t xml:space="preserve">E. Steps 2–4: the single stressed measurement</w:t>
      </w:r>
    </w:p>
    <w:p>
      <w:pPr>
        <w:pStyle w:val="FirstParagraph"/>
      </w:pPr>
      <w:r>
        <w:t xml:space="preserve">After step 1 there is not one model but several, and all of them reproduce the file. They differ in exactly the quantities that decide what happens when the input is cut short, so one measured short pulse can tell them apart. Fig. 13(b) shows how far they disagree: for ex2 the nine candidates of step 2, three stage counts from the band (27) × three map shapes, each fitted to the same file, driven by the same 810 ps pulse, give pad peaks from 0.01 to 1.28 V against 0.77 V measured. The measurement is the pad voltage for one short input pulse into a known load (Fig. 13(a)); nothing inside the buffer is observed. In the tests below it is the pulse that reaches about 50 % of the settled swing into 50 Ω and 2 pF, taken from a transistor-level simulation; for a user it would be a bench measurement or a waveform supplied by the vendor.</w:t>
      </w:r>
    </w:p>
    <w:p>
      <w:pPr>
        <w:pStyle w:val="FirstParagraph"/>
      </w:pPr>
      <w:r>
        <w:rPr>
          <w:i/>
        </w:rPr>
        <w:t xml:space="preserve">Calibration (step 3).</w:t>
      </w:r>
      <w:r>
        <w:t xml:space="preserve"> The stage threshold decides how much of a short pulse survives each stage and so sets the height of the model's pad pulse; it is also the parameter the file determines worst. For each candidate, with </w:t>
      </w:r>
      <m:oMath>
        <m:acc>
          <m:accPr>
            <m:chr m:val="̂"/>
          </m:accPr>
          <m:e>
            <m:r>
              <m:t xml:space="preserve">V</m:t>
            </m:r>
          </m:e>
        </m:acc>
      </m:oMath>
      <w:r>
        <w:t xml:space="preserve"> the measured peak, the peak error</w:t>
      </w:r>
    </w:p>
    <w:p>
      <w:pPr>
        <w:pStyle w:val="BodyText"/>
      </w:pPr>
      <m:oMathPara>
        <m:oMathParaPr>
          <m:jc m:val="center"/>
        </m:oMathParaPr>
        <m:oMath>
          <m:r>
            <m:t xml:space="preserve">e</m:t>
          </m:r>
          <m:r>
            <m:rPr>
              <m:sty m:val="p"/>
            </m:rPr>
            <m:t xml:space="preserve">(</m:t>
          </m:r>
          <m:sSub>
            <m:e>
              <m:r>
                <m:t xml:space="preserve">v</m:t>
              </m:r>
            </m:e>
            <m:sub>
              <m:r>
                <m:t xml:space="preserve">t</m:t>
              </m:r>
            </m:sub>
          </m:sSub>
          <m:r>
            <m:rPr>
              <m:sty m:val="p"/>
            </m:rPr>
            <m:t xml:space="preserve">)</m:t>
          </m:r>
          <m:r>
            <m:t xml:space="preserve">≜</m:t>
          </m:r>
          <m:f>
            <m:num>
              <m:sSub>
                <m:e>
                  <m:r>
                    <m:rPr>
                      <m:sty m:val="p"/>
                    </m:rPr>
                    <m:t xml:space="preserve">max</m:t>
                  </m:r>
                </m:e>
                <m:sub>
                  <m:r>
                    <m:t xml:space="preserve">t</m:t>
                  </m:r>
                </m:sub>
              </m:sSub>
              <m:sSubSup>
                <m:e>
                  <m:r>
                    <m:t xml:space="preserve">V</m:t>
                  </m:r>
                </m:e>
                <m:sub>
                  <m:r>
                    <m:t xml:space="preserve">p</m:t>
                  </m:r>
                  <m:r>
                    <m:t xml:space="preserve">a</m:t>
                  </m:r>
                  <m:r>
                    <m:t xml:space="preserve">d</m:t>
                  </m:r>
                </m:sub>
                <m:sup>
                  <m:r>
                    <m:t xml:space="preserve">m</m:t>
                  </m:r>
                  <m:r>
                    <m:t xml:space="preserve">o</m:t>
                  </m:r>
                  <m:r>
                    <m:t xml:space="preserve">d</m:t>
                  </m:r>
                  <m:r>
                    <m:t xml:space="preserve">e</m:t>
                  </m:r>
                  <m:r>
                    <m:t xml:space="preserve">l</m:t>
                  </m:r>
                </m:sup>
              </m:sSubSup>
              <m:r>
                <m:rPr>
                  <m:sty m:val="p"/>
                </m:rPr>
                <m:t xml:space="preserve">(</m:t>
              </m:r>
              <m:r>
                <m:t xml:space="preserve">t</m:t>
              </m:r>
              <m:r>
                <m:rPr>
                  <m:sty m:val="p"/>
                </m:rPr>
                <m:t xml:space="preserve">;</m:t>
              </m:r>
              <m:sSub>
                <m:e>
                  <m:r>
                    <m:t xml:space="preserve">v</m:t>
                  </m:r>
                </m:e>
                <m:sub>
                  <m:r>
                    <m:t xml:space="preserve">t</m:t>
                  </m:r>
                </m:sub>
              </m:sSub>
              <m:r>
                <m:rPr>
                  <m:sty m:val="p"/>
                </m:rPr>
                <m:t xml:space="preserve">)</m:t>
              </m:r>
              <m:r>
                <m:rPr>
                  <m:sty m:val="p"/>
                </m:rPr>
                <m:t xml:space="preserve">−</m:t>
              </m:r>
              <m:acc>
                <m:accPr>
                  <m:chr m:val="̂"/>
                </m:accPr>
                <m:e>
                  <m:r>
                    <m:t xml:space="preserve">V</m:t>
                  </m:r>
                </m:e>
              </m:acc>
            </m:num>
            <m:den>
              <m:acc>
                <m:accPr>
                  <m:chr m:val="̂"/>
                </m:accPr>
                <m:e>
                  <m:r>
                    <m:t xml:space="preserve">V</m:t>
                  </m:r>
                </m:e>
              </m:acc>
            </m:den>
          </m:f>
          <m:r>
            <m:rPr>
              <m:sty m:val="p"/>
            </m:rPr>
            <m:t xml:space="preserve">,</m:t>
          </m:r>
          <m:r>
            <m:rPr>
              <m:sty m:val="p"/>
            </m:rPr>
            <m:t xml:space="preserve"> </m:t>
          </m:r>
          <m:r>
            <m:t xml:space="preserve">e</m:t>
          </m:r>
          <m:r>
            <m:rPr>
              <m:sty m:val="p"/>
            </m:rPr>
            <m:t xml:space="preserve">(</m:t>
          </m:r>
          <m:sSubSup>
            <m:e>
              <m:r>
                <m:t xml:space="preserve">v</m:t>
              </m:r>
            </m:e>
            <m:sub>
              <m:r>
                <m:t xml:space="preserve">t</m:t>
              </m:r>
            </m:sub>
            <m:sup>
              <m:r>
                <m:t xml:space="preserve">c</m:t>
              </m:r>
              <m:r>
                <m:t xml:space="preserve">a</m:t>
              </m:r>
              <m:r>
                <m:t xml:space="preserve">l</m:t>
              </m:r>
            </m:sup>
          </m:sSubSup>
          <m:r>
            <m:rPr>
              <m:sty m:val="p"/>
            </m:rPr>
            <m:t xml:space="preserve">)</m:t>
          </m:r>
          <m:r>
            <m:rPr>
              <m:sty m:val="p"/>
            </m:rPr>
            <m:t xml:space="preserve">=</m:t>
          </m:r>
          <m:r>
            <m:rPr>
              <m:sty m:val="p"/>
            </m:rPr>
            <m:t xml:space="preserve">0</m:t>
          </m:r>
          <m:r>
            <m:rPr>
              <m:sty m:val="p"/>
            </m:rPr>
            <m:t xml:space="preserve">  (28)</m:t>
          </m:r>
        </m:oMath>
      </m:oMathPara>
    </w:p>
    <w:p>
      <w:pPr>
        <w:pStyle w:val="FirstParagraph"/>
      </w:pPr>
      <w:r>
        <w:t xml:space="preserve">is driven to zero by bisection of </w:t>
      </w:r>
      <m:oMath>
        <m:sSub>
          <m:e>
            <m:r>
              <m:t xml:space="preserve">v</m:t>
            </m:r>
          </m:e>
          <m:sub>
            <m:r>
              <m:t xml:space="preserve">t</m:t>
            </m:r>
          </m:sub>
        </m:sSub>
      </m:oMath>
      <w:r>
        <w:t xml:space="preserve"> on </w:t>
      </w:r>
      <m:oMath>
        <m:r>
          <m:rPr>
            <m:sty m:val="p"/>
          </m:rPr>
          <m:t xml:space="preserve">[</m:t>
        </m:r>
        <m:r>
          <m:rPr>
            <m:sty m:val="p"/>
          </m:rPr>
          <m:t xml:space="preserve">0</m:t>
        </m:r>
        <m:r>
          <m:rPr>
            <m:sty m:val="p"/>
          </m:rPr>
          <m:t xml:space="preserve">,</m:t>
        </m:r>
        <m:r>
          <m:rPr>
            <m:sty m:val="p"/>
          </m:rPr>
          <m:t xml:space="preserve">0</m:t>
        </m:r>
        <m:r>
          <m:rPr>
            <m:sty m:val="p"/>
          </m:rPr>
          <m:t xml:space="preserve">.</m:t>
        </m:r>
        <m:r>
          <m:rPr>
            <m:sty m:val="p"/>
          </m:rPr>
          <m:t xml:space="preserve">7</m:t>
        </m:r>
        <m:r>
          <m:rPr>
            <m:sty m:val="p"/>
          </m:rPr>
          <m:t xml:space="preserve">]</m:t>
        </m:r>
      </m:oMath>
      <w:r>
        <w:t xml:space="preserve">, all other parameters held at their values from (26); each evaluation is one circuit simulation of the complete model, three bracket the interval and seven bisect it. If the threshold cannot bracket the peak,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are scaled together within </w:t>
      </w:r>
      <m:oMath>
        <m:r>
          <m:rPr>
            <m:sty m:val="p"/>
          </m:rPr>
          <m:t xml:space="preserve">[</m:t>
        </m:r>
        <m:r>
          <m:rPr>
            <m:sty m:val="p"/>
          </m:rPr>
          <m:t xml:space="preserve">0</m:t>
        </m:r>
        <m:r>
          <m:rPr>
            <m:sty m:val="p"/>
          </m:rPr>
          <m:t xml:space="preserve">.</m:t>
        </m:r>
        <m:r>
          <m:rPr>
            <m:sty m:val="p"/>
          </m:rPr>
          <m:t xml:space="preserve">5</m:t>
        </m:r>
        <m:r>
          <m:rPr>
            <m:sty m:val="p"/>
          </m:rPr>
          <m:t xml:space="preserve">,</m:t>
        </m:r>
        <m:r>
          <m:rPr>
            <m:sty m:val="p"/>
          </m:rPr>
          <m:t xml:space="preserve">2</m:t>
        </m:r>
        <m:r>
          <m:rPr>
            <m:sty m:val="p"/>
          </m:rPr>
          <m:t xml:space="preserve">]</m:t>
        </m:r>
      </m:oMath>
      <w:r>
        <w:t xml:space="preserve"> instead. The threshold is used rather than the rates because the rates were fitted to reproduce the full swing and moving them degrades it. Fig. 14 shows the calibration on ex2's selected candidate: the peak error is +40 % at </w:t>
      </w:r>
      <m:oMath>
        <m:sSub>
          <m:e>
            <m:r>
              <m:t xml:space="preserve">v</m:t>
            </m:r>
          </m:e>
          <m:sub>
            <m:r>
              <m:t xml:space="preserve">t</m:t>
            </m:r>
          </m:sub>
        </m:sSub>
        <m:r>
          <m:rPr>
            <m:sty m:val="p"/>
          </m:rPr>
          <m:t xml:space="preserve">=</m:t>
        </m:r>
        <m:r>
          <m:rPr>
            <m:sty m:val="p"/>
          </m:rPr>
          <m:t xml:space="preserve">0</m:t>
        </m:r>
      </m:oMath>
      <w:r>
        <w:t xml:space="preserve">, rises to +59 % near 0.25, and falls steeply above 0.55 to -97 % at the bound, where the chain extinguishes the pulse; the bisection needs only the sign and ends at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3</m:t>
        </m:r>
        <m:r>
          <m:rPr>
            <m:sty m:val="p"/>
          </m:rPr>
          <m:t xml:space="preserve">2</m:t>
        </m:r>
      </m:oMath>
      <w:r>
        <w:t xml:space="preserve">, from a fitted value on the bound (-97 % before).</w:t>
      </w:r>
    </w:p>
    <w:p>
      <w:pPr>
        <w:pStyle w:val="CaptionedFigure"/>
        <w:jc w:val="center"/>
      </w:pPr>
      <w:r>
        <w:drawing>
          <wp:inline distT="0" distB="0" distL="0" distR="0">
            <wp:extent cx="5669280" cy="2544666"/>
            <wp:docPr id="113" name="Figure 13"/>
            <wp:cNvGraphicFramePr>
              <a:graphicFrameLocks noChangeAspect="1"/>
            </wp:cNvGraphicFramePr>
            <a:graphic>
              <a:graphicData uri="http://schemas.openxmlformats.org/drawingml/2006/picture">
                <pic:pic>
                  <pic:nvPicPr>
                    <pic:cNvPr id="113" name="fig13.png"/>
                    <pic:cNvPicPr/>
                  </pic:nvPicPr>
                  <pic:blipFill>
                    <a:blip r:embed="rIdFig13"/>
                    <a:stretch>
                      <a:fillRect/>
                    </a:stretch>
                  </pic:blipFill>
                  <pic:spPr>
                    <a:xfrm>
                      <a:off x="0" y="0"/>
                      <a:ext cx="5669280" cy="2544666"/>
                    </a:xfrm>
                    <a:prstGeom prst="rect">
                      <a:avLst/>
                    </a:prstGeom>
                  </pic:spPr>
                </pic:pic>
              </a:graphicData>
            </a:graphic>
          </wp:inline>
        </w:drawing>
      </w:r>
    </w:p>
    <w:p>
      <w:pPr>
        <w:pStyle w:val="ImageCaption"/>
      </w:pPr>
      <w:r>
        <w:t xml:space="preserve">Fig. 14. The calibration (28) on ex2's selected candidate (</w:t>
      </w:r>
      <m:oMath>
        <m:r>
          <m:t xml:space="preserve">K</m:t>
        </m:r>
        <m:r>
          <m:rPr>
            <m:sty m:val="p"/>
          </m:rPr>
          <m:t xml:space="preserve">=</m:t>
        </m:r>
        <m:r>
          <m:rPr>
            <m:sty m:val="p"/>
          </m:rPr>
          <m:t xml:space="preserve">3</m:t>
        </m:r>
      </m:oMath>
      <w:r>
        <w:t xml:space="preserve">, map (0.5, 0.7), file-only settings), 810 ps pulse. (a) The peak error against </w:t>
      </w:r>
      <m:oMath>
        <m:sSub>
          <m:e>
            <m:r>
              <m:t xml:space="preserve">v</m:t>
            </m:r>
          </m:e>
          <m:sub>
            <m:r>
              <m:t xml:space="preserve">t</m:t>
            </m:r>
          </m:sub>
        </m:sSub>
      </m:oMath>
      <w:r>
        <w:t xml:space="preserve"> from a dense sweep, with the ten runs of the procedure numbered (orange: bracketing; teal: bisection). (b) The pad waveform at four of them against the measurement; dashed: the measured peak.</w:t>
      </w:r>
    </w:p>
    <w:p>
      <w:pPr>
        <w:pStyle w:val="FirstParagraph"/>
      </w:pPr>
      <w:r>
        <w:rPr>
          <w:i/>
        </w:rPr>
        <w:t xml:space="preserve">Selection (step 4).</w:t>
      </w:r>
      <w:r>
        <w:t xml:space="preserve"> After calibration every candidate reproduces the measured peak (Fig. 13(c)), so the peak can no longer distinguish them. They still differ in when the pulse arrives and how it returns, between 0.11 ns early and 0.30 ns late on ex2. The candidate is chosen by the waveform error over the pulse and its return,</w:t>
      </w:r>
    </w:p>
    <w:p>
      <w:pPr>
        <w:pStyle w:val="BodyText"/>
      </w:pPr>
      <m:oMathPara>
        <m:oMathParaPr>
          <m:jc m:val="center"/>
        </m:oMathParaPr>
        <m:oMath>
          <m:r>
            <m:rPr>
              <m:sty m:val="p"/>
            </m:rPr>
            <m:t xml:space="preserve">(</m:t>
          </m:r>
          <m:r>
            <m:t xml:space="preserve">K</m:t>
          </m:r>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sSup>
            <m:e>
              <m:r>
                <m:rPr>
                  <m:sty m:val="p"/>
                </m:rPr>
                <m:t xml:space="preserve">)</m:t>
              </m:r>
            </m:e>
            <m:sup>
              <m:r>
                <m:t xml:space="preserve">⋆</m:t>
              </m:r>
            </m:sup>
          </m:sSup>
          <m:r>
            <m:rPr>
              <m:sty m:val="p"/>
            </m:rPr>
            <m:t xml:space="preserve">=</m:t>
          </m:r>
          <m:r>
            <m:rPr>
              <m:sty m:val="p"/>
            </m:rPr>
            <m:t xml:space="preserve">arg</m:t>
          </m:r>
          <m:r>
            <m:rPr>
              <m:sty m:val="p"/>
            </m:rPr>
            <m:t xml:space="preserve">min</m:t>
          </m:r>
          <m:r>
            <m:rPr>
              <m:sty m:val="p"/>
            </m:rPr>
            <m:t xml:space="preserve"> </m:t>
          </m:r>
          <m:sSub>
            <m:e>
              <m:r>
                <m:rPr>
                  <m:sty m:val="p"/>
                </m:rPr>
                <m:t xml:space="preserve">rms</m:t>
              </m:r>
            </m:e>
            <m:sub>
              <m:r>
                <m:t xml:space="preserve">t</m:t>
              </m:r>
              <m:r>
                <m:t xml:space="preserve">∈</m:t>
              </m:r>
              <m:r>
                <m:rPr>
                  <m:sty m:val="p"/>
                </m:rPr>
                <m:t xml:space="preserve">[</m:t>
              </m:r>
              <m:sSub>
                <m:e>
                  <m:r>
                    <m:t xml:space="preserve">t</m:t>
                  </m:r>
                </m:e>
                <m:sub>
                  <m:r>
                    <m:t xml:space="preserve">f</m:t>
                  </m:r>
                </m:sub>
              </m:sSub>
              <m:r>
                <m:rPr>
                  <m:sty m:val="p"/>
                </m:rPr>
                <m:t xml:space="preserve">−</m:t>
              </m:r>
              <m:r>
                <m:rPr>
                  <m:sty m:val="p"/>
                </m:rPr>
                <m:t xml:space="preserve">0</m:t>
              </m:r>
              <m:r>
                <m:rPr>
                  <m:sty m:val="p"/>
                </m:rPr>
                <m:t xml:space="preserve">.</m:t>
              </m:r>
              <m:r>
                <m:rPr>
                  <m:sty m:val="p"/>
                </m:rPr>
                <m:t xml:space="preserve">3</m:t>
              </m:r>
              <m:r>
                <m:rPr>
                  <m:sty m:val="p"/>
                </m:rPr>
                <m:t xml:space="preserve"> </m:t>
              </m:r>
              <m:r>
                <m:rPr>
                  <m:nor/>
                </m:rPr>
                <m:t xml:space="preserve">ns</m:t>
              </m:r>
              <m:r>
                <m:rPr>
                  <m:sty m:val="p"/>
                </m:rPr>
                <m:t xml:space="preserve">,</m:t>
              </m:r>
              <m:r>
                <m:rPr>
                  <m:sty m:val="p"/>
                </m:rPr>
                <m:t xml:space="preserve"> </m:t>
              </m:r>
              <m:sSub>
                <m:e>
                  <m:r>
                    <m:t xml:space="preserve">t</m:t>
                  </m:r>
                </m:e>
                <m:sub>
                  <m:r>
                    <m:t xml:space="preserve">f</m:t>
                  </m:r>
                </m:sub>
              </m:sSub>
              <m:r>
                <m:rPr>
                  <m:sty m:val="p"/>
                </m:rPr>
                <m:t xml:space="preserve">+</m:t>
              </m:r>
              <m:r>
                <m:rPr>
                  <m:sty m:val="p"/>
                </m:rPr>
                <m:t xml:space="preserve">1</m:t>
              </m:r>
              <m:r>
                <m:rPr>
                  <m:sty m:val="p"/>
                </m:rPr>
                <m:t xml:space="preserve">.</m:t>
              </m:r>
              <m:r>
                <m:rPr>
                  <m:sty m:val="p"/>
                </m:rPr>
                <m:t xml:space="preserve">5</m:t>
              </m:r>
              <m:r>
                <m:rPr>
                  <m:sty m:val="p"/>
                </m:rPr>
                <m:t xml:space="preserve"> </m:t>
              </m:r>
              <m:r>
                <m:rPr>
                  <m:nor/>
                </m:rPr>
                <m:t xml:space="preserve">ns</m:t>
              </m:r>
              <m:r>
                <m:rPr>
                  <m:sty m:val="p"/>
                </m:rPr>
                <m:t xml:space="preserve">]</m:t>
              </m:r>
            </m:sub>
          </m:sSub>
          <m:d>
            <m:dPr>
              <m:begChr m:val="["/>
              <m:endChr m:val="]"/>
              <m:grow/>
            </m:dPr>
            <m:e>
              <m:sSubSup>
                <m:e>
                  <m:r>
                    <m:t xml:space="preserve">V</m:t>
                  </m:r>
                </m:e>
                <m:sub>
                  <m:r>
                    <m:t xml:space="preserve">p</m:t>
                  </m:r>
                  <m:r>
                    <m:t xml:space="preserve">a</m:t>
                  </m:r>
                  <m:r>
                    <m:t xml:space="preserve">d</m:t>
                  </m:r>
                </m:sub>
                <m:sup>
                  <m:r>
                    <m:t xml:space="preserve">m</m:t>
                  </m:r>
                  <m:r>
                    <m:t xml:space="preserve">o</m:t>
                  </m:r>
                  <m:r>
                    <m:t xml:space="preserve">d</m:t>
                  </m:r>
                  <m:r>
                    <m:t xml:space="preserve">e</m:t>
                  </m:r>
                  <m:r>
                    <m:t xml:space="preserve">l</m:t>
                  </m:r>
                </m:sup>
              </m:sSubSup>
              <m:r>
                <m:rPr>
                  <m:sty m:val="p"/>
                </m:rPr>
                <m:t xml:space="preserve">(</m:t>
              </m:r>
              <m:r>
                <m:t xml:space="preserve">t</m:t>
              </m:r>
              <m:r>
                <m:rPr>
                  <m:sty m:val="p"/>
                </m:rPr>
                <m:t xml:space="preserve">)</m:t>
              </m:r>
              <m:r>
                <m:rPr>
                  <m:sty m:val="p"/>
                </m:rPr>
                <m:t xml:space="preserve">−</m:t>
              </m:r>
              <m:sSubSup>
                <m:e>
                  <m:r>
                    <m:t xml:space="preserve">V</m:t>
                  </m:r>
                </m:e>
                <m:sub>
                  <m:r>
                    <m:t xml:space="preserve">p</m:t>
                  </m:r>
                  <m:r>
                    <m:t xml:space="preserve">a</m:t>
                  </m:r>
                  <m:r>
                    <m:t xml:space="preserve">d</m:t>
                  </m:r>
                </m:sub>
                <m:sup>
                  <m:r>
                    <m:t xml:space="preserve">m</m:t>
                  </m:r>
                  <m:r>
                    <m:t xml:space="preserve">e</m:t>
                  </m:r>
                  <m:r>
                    <m:t xml:space="preserve">a</m:t>
                  </m:r>
                  <m:r>
                    <m:t xml:space="preserve">s</m:t>
                  </m:r>
                </m:sup>
              </m:sSubSup>
              <m:r>
                <m:rPr>
                  <m:sty m:val="p"/>
                </m:rPr>
                <m:t xml:space="preserve">(</m:t>
              </m:r>
              <m:r>
                <m:t xml:space="preserve">t</m:t>
              </m:r>
              <m:r>
                <m:rPr>
                  <m:sty m:val="p"/>
                </m:rPr>
                <m:t xml:space="preserve">)</m:t>
              </m:r>
            </m:e>
          </m:d>
          <m:r>
            <m:rPr>
              <m:sty m:val="p"/>
            </m:rPr>
            <m:t xml:space="preserve">  (29)</m:t>
          </m:r>
        </m:oMath>
      </m:oMathPara>
    </w:p>
    <w:p>
      <w:pPr>
        <w:pStyle w:val="FirstParagraph"/>
      </w:pPr>
      <w:r>
        <w:t xml:space="preserve">where </w:t>
      </w:r>
      <m:oMath>
        <m:sSub>
          <m:e>
            <m:r>
              <m:t xml:space="preserve">t</m:t>
            </m:r>
          </m:e>
          <m:sub>
            <m:r>
              <m:t xml:space="preserve">f</m:t>
            </m:r>
          </m:sub>
        </m:sSub>
      </m:oMath>
      <w:r>
        <w:t xml:space="preserve"> is the falling edge of the input pulse (the shaded interval of Fig. 13(c)); the window was chosen once and not tuned. One waveform is thus used for two decisions, read from two features of it: the threshold from its height, the stage count and map shape from its shape. Selecting on the peak instead is markedly worse: averaged over the twelve buffers, the waveform error at all five stressed widths is 52.3 mV for the candidates chosen by (29), against 51.7 mV for the best candidate in each grid and 217.3 mV for the candidates that minimize the worst peak error, which reach their peak by arriving 155–300 ps late. The measurement can only choose among the candidates it is offered: if the true map is unlike all three shapes, or the true stage count lies outside the band, it selects the least wrong candidate.</w:t>
      </w:r>
    </w:p>
    <w:p>
      <w:pPr>
        <w:pStyle w:val="CaptionedFigure"/>
        <w:jc w:val="center"/>
      </w:pPr>
      <w:r>
        <w:drawing>
          <wp:inline distT="0" distB="0" distL="0" distR="0">
            <wp:extent cx="5669280" cy="4051197"/>
            <wp:docPr id="114" name="Figure 14"/>
            <wp:cNvGraphicFramePr>
              <a:graphicFrameLocks noChangeAspect="1"/>
            </wp:cNvGraphicFramePr>
            <a:graphic>
              <a:graphicData uri="http://schemas.openxmlformats.org/drawingml/2006/picture">
                <pic:pic>
                  <pic:nvPicPr>
                    <pic:cNvPr id="114" name="fig14.png"/>
                    <pic:cNvPicPr/>
                  </pic:nvPicPr>
                  <pic:blipFill>
                    <a:blip r:embed="rIdFig14"/>
                    <a:stretch>
                      <a:fillRect/>
                    </a:stretch>
                  </pic:blipFill>
                  <pic:spPr>
                    <a:xfrm>
                      <a:off x="0" y="0"/>
                      <a:ext cx="5669280" cy="4051197"/>
                    </a:xfrm>
                    <a:prstGeom prst="rect">
                      <a:avLst/>
                    </a:prstGeom>
                  </pic:spPr>
                </pic:pic>
              </a:graphicData>
            </a:graphic>
          </wp:inline>
        </w:drawing>
      </w:r>
    </w:p>
    <w:p>
      <w:pPr>
        <w:pStyle w:val="ImageCaption"/>
      </w:pPr>
      <w:r>
        <w:t xml:space="preserve">Fig. 13. Use of the stressed measurement on ex2. (a) The measurement: pad voltage for an 810 ps pulse. (b) The nine candidates as fitted to the file, driven by the same pulse; dashed: the measured peak. (c) After calibration of each threshold on the peak; shaded: the window of (29); teal: the selected candidate. (d) The selected model at the five widths of Section V.</w:t>
      </w:r>
    </w:p>
    <w:p>
      <w:pPr>
        <w:pStyle w:val="Heading2"/>
      </w:pPr>
      <w:r>
        <w:t xml:space="preserve">F. The procedure end to end on ex2</w:t>
      </w:r>
    </w:p>
    <w:p>
      <w:pPr>
        <w:pStyle w:val="FirstParagraph"/>
      </w:pPr>
      <w:r>
        <w:t xml:space="preserve">Table VI collects what the procedure did on ex2 with the file-only settings. Step 0: the file declares </w:t>
      </w:r>
      <m:oMath>
        <m:sSub>
          <m:e>
            <m:r>
              <m:t xml:space="preserve">C</m:t>
            </m:r>
          </m:e>
          <m:sub>
            <m:r>
              <m:t xml:space="preserve">c</m:t>
            </m:r>
            <m:r>
              <m:t xml:space="preserve">o</m:t>
            </m:r>
            <m:r>
              <m:t xml:space="preserve">m</m:t>
            </m:r>
            <m:r>
              <m:t xml:space="preserve">p</m:t>
            </m:r>
          </m:sub>
        </m:sSub>
      </m:oMath>
      <w:r>
        <w:t xml:space="preserve"> = 5.0 pF, with which the converter's solved </w:t>
      </w:r>
      <m:oMath>
        <m:sSub>
          <m:e>
            <m:r>
              <m:t xml:space="preserve">K</m:t>
            </m:r>
          </m:e>
          <m:sub>
            <m:r>
              <m:t xml:space="preserve">u</m:t>
            </m:r>
          </m:sub>
        </m:sSub>
      </m:oMath>
      <w:r>
        <w:t xml:space="preserve"> overshoots 1 (to 1.24); the value at the knee of that overshoot against the assumed </w:t>
      </w:r>
      <m:oMath>
        <m:sSub>
          <m:e>
            <m:r>
              <m:t xml:space="preserve">C</m:t>
            </m:r>
          </m:e>
          <m:sub>
            <m:r>
              <m:t xml:space="preserve">c</m:t>
            </m:r>
            <m:r>
              <m:t xml:space="preserve">o</m:t>
            </m:r>
            <m:r>
              <m:t xml:space="preserve">m</m:t>
            </m:r>
            <m:r>
              <m:t xml:space="preserve">p</m:t>
            </m:r>
          </m:sub>
        </m:sSub>
      </m:oMath>
      <w:r>
        <w:t xml:space="preserve">, 2.64 pF, is used instead (the netlist measurement, not used, gives 1.7 pF). Step 1: the fit at the default shape gives residuals .0920, .0360, .0233, .0229, .0212, .0202 for </w:t>
      </w:r>
      <m:oMath>
        <m:r>
          <m:t xml:space="preserve">K</m:t>
        </m:r>
      </m:oMath>
      <w:r>
        <w:t xml:space="preserve"> = 1 to 6, so the band (27) is </w:t>
      </w:r>
      <m:oMath>
        <m:r>
          <m:t xml:space="preserve">K</m:t>
        </m:r>
      </m:oMath>
      <w:r>
        <w:t xml:space="preserve"> ∈ {3, 4, 5}. Step 2: nine candidates. Step 3: the measured peak is 0.77 V; the candidates' peaks before calibration run from 0.01 to 1.28 V, and after it all are within 2.5 % of the peak. Step 4: the waveform rms (29) runs from 56 to 400 mV across the nine; the selected candidate, </w:t>
      </w:r>
      <m:oMath>
        <m:r>
          <m:t xml:space="preserve">K</m:t>
        </m:r>
      </m:oMath>
      <w:r>
        <w:t xml:space="preserve"> = 3 with shape (0.5, 0.7), has 56 mV and arrives 7 ps early. Its worst peak error over the five stressed widths, which the procedure cannot know, is 8.3 %.</w:t>
      </w:r>
    </w:p>
    <w:p>
      <w:pPr>
        <w:pStyle w:val="TableCaption"/>
        <w:keepNext/>
      </w:pPr>
      <w:r>
        <w:t xml:space="preserve">Table VI: The nine candidates of ex2 through steps 2–4 (file-only settings). Columns 3–4: the fit (26). Peak before: the pad peak of the candidate as fitted, 810 ps pulse (measured 0.77 V). </w:t>
      </w:r>
      <m:oMath>
        <m:sSub>
          <m:e>
            <m:r>
              <m:t xml:space="preserve">v</m:t>
            </m:r>
          </m:e>
          <m:sub>
            <m:r>
              <m:t xml:space="preserve">t</m:t>
            </m:r>
          </m:sub>
        </m:sSub>
      </m:oMath>
      <w:r>
        <w:t xml:space="preserve"> cal., peak error, rms (29) and lag: after calibration, at the calibration width. Worst: peak error over the five stressed widths, not available to the procedure.</w:t>
      </w:r>
    </w:p>
    <w:tbl>
      <w:tblPr>
        <w:tblStyle w:val="Table"/>
        <w:tblW w:type="dxa" w:w="9950"/>
        <w:tblBorders>
          <w:top w:val="single" w:sz="6" w:space="0" w:color="000000"/>
          <w:bottom w:val="single" w:sz="6" w:space="0" w:color="000000"/>
        </w:tblBorders>
        <w:tblLayout w:type="fixed"/>
        <w:tblLook w:firstRow="1" w:lastRow="0" w:firstColumn="0" w:lastColumn="0" w:noHBand="0" w:noVBand="0" w:val="0020"/>
      </w:tblPr>
      <w:tblGrid>
        <w:gridCol w:w="500"/>
        <w:gridCol w:w="1000"/>
        <w:gridCol w:w="850"/>
        <w:gridCol w:w="1050"/>
        <w:gridCol w:w="1050"/>
        <w:gridCol w:w="850"/>
        <w:gridCol w:w="1000"/>
        <w:gridCol w:w="1050"/>
        <w:gridCol w:w="800"/>
        <w:gridCol w:w="900"/>
        <w:gridCol w:w="900"/>
      </w:tblGrid>
      <w:tr>
        <w:trPr>
          <w:cantSplit/>
          <w:tblHeader/>
        </w:trPr>
        <w:tc>
          <w:tcPr>
            <w:tcW w:w="500" w:type="dxa"/>
          </w:tcPr>
          <w:p>
            <w:pPr>
              <w:pStyle w:val="Compact"/>
              <w:keepNext/>
              <w:jc w:val="left"/>
            </w:pPr>
            <m:oMath>
              <m:r>
                <m:t xml:space="preserve">K</m:t>
              </m:r>
            </m:oMath>
            <w:r>
              <w:rPr>
                <w:sz w:val="15"/>
              </w:rPr>
              <w:t xml:space="preserve">​</w:t>
            </w:r>
          </w:p>
        </w:tc>
        <w:tc>
          <w:tcPr>
            <w:tcW w:w="1000" w:type="dxa"/>
          </w:tcPr>
          <w:p>
            <w:pPr>
              <w:pStyle w:val="Compact"/>
              <w:keepNext/>
              <w:jc w:val="left"/>
            </w:pPr>
            <w:r>
              <w:rPr>
                <w:b/>
                <w:sz w:val="15"/>
              </w:rPr>
              <w:t xml:space="preserve">Shape</w:t>
            </w:r>
          </w:p>
        </w:tc>
        <w:tc>
          <w:tcPr>
            <w:tcW w:w="850" w:type="dxa"/>
          </w:tcPr>
          <w:p>
            <w:pPr>
              <w:pStyle w:val="Compact"/>
              <w:keepNext/>
              <w:jc w:val="left"/>
            </w:pPr>
            <m:oMath>
              <m:sSub>
                <m:e>
                  <m:r>
                    <m:t xml:space="preserve">v</m:t>
                  </m:r>
                </m:e>
                <m:sub>
                  <m:r>
                    <m:t xml:space="preserve">t</m:t>
                  </m:r>
                </m:sub>
              </m:sSub>
            </m:oMath>
            <w:r>
              <w:rPr>
                <w:sz w:val="15"/>
              </w:rPr>
              <w:t xml:space="preserve"> fit</w:t>
            </w:r>
          </w:p>
        </w:tc>
        <w:tc>
          <w:tcPr>
            <w:tcW w:w="1050" w:type="dxa"/>
          </w:tcPr>
          <w:p>
            <w:pPr>
              <w:pStyle w:val="Compact"/>
              <w:keepNext/>
              <w:jc w:val="left"/>
            </w:pPr>
            <w:r>
              <w:rPr>
                <w:b/>
                <w:sz w:val="15"/>
              </w:rPr>
              <w:t xml:space="preserve">Residual (26)</w:t>
            </w:r>
          </w:p>
        </w:tc>
        <w:tc>
          <w:tcPr>
            <w:tcW w:w="1050" w:type="dxa"/>
          </w:tcPr>
          <w:p>
            <w:pPr>
              <w:pStyle w:val="Compact"/>
              <w:keepNext/>
              <w:jc w:val="left"/>
            </w:pPr>
            <w:r>
              <w:rPr>
                <w:b/>
                <w:sz w:val="15"/>
              </w:rPr>
              <w:t xml:space="preserve">Peak before (V)</w:t>
            </w:r>
          </w:p>
        </w:tc>
        <w:tc>
          <w:tcPr>
            <w:tcW w:w="850" w:type="dxa"/>
          </w:tcPr>
          <w:p>
            <w:pPr>
              <w:pStyle w:val="Compact"/>
              <w:keepNext/>
              <w:jc w:val="left"/>
            </w:pPr>
            <m:oMath>
              <m:sSub>
                <m:e>
                  <m:r>
                    <m:t xml:space="preserve">v</m:t>
                  </m:r>
                </m:e>
                <m:sub>
                  <m:r>
                    <m:t xml:space="preserve">t</m:t>
                  </m:r>
                </m:sub>
              </m:sSub>
            </m:oMath>
            <w:r>
              <w:rPr>
                <w:sz w:val="15"/>
              </w:rPr>
              <w:t xml:space="preserve"> cal.</w:t>
            </w:r>
          </w:p>
        </w:tc>
        <w:tc>
          <w:tcPr>
            <w:tcW w:w="1000" w:type="dxa"/>
          </w:tcPr>
          <w:p>
            <w:pPr>
              <w:pStyle w:val="Compact"/>
              <w:keepNext/>
              <w:jc w:val="left"/>
            </w:pPr>
            <w:r>
              <w:rPr>
                <w:b/>
                <w:sz w:val="15"/>
              </w:rPr>
              <w:t xml:space="preserve">Peak err. (%)</w:t>
            </w:r>
          </w:p>
        </w:tc>
        <w:tc>
          <w:tcPr>
            <w:tcW w:w="1050" w:type="dxa"/>
          </w:tcPr>
          <w:p>
            <w:pPr>
              <w:pStyle w:val="Compact"/>
              <w:keepNext/>
              <w:jc w:val="left"/>
            </w:pPr>
            <w:r>
              <w:rPr>
                <w:b/>
                <w:sz w:val="15"/>
              </w:rPr>
              <w:t xml:space="preserve">rms (29) (mV)</w:t>
            </w:r>
          </w:p>
        </w:tc>
        <w:tc>
          <w:tcPr>
            <w:tcW w:w="800" w:type="dxa"/>
          </w:tcPr>
          <w:p>
            <w:pPr>
              <w:pStyle w:val="Compact"/>
              <w:keepNext/>
              <w:jc w:val="left"/>
            </w:pPr>
            <w:r>
              <w:rPr>
                <w:b/>
                <w:sz w:val="15"/>
              </w:rPr>
              <w:t xml:space="preserve">Lag (ps)</w:t>
            </w:r>
          </w:p>
        </w:tc>
        <w:tc>
          <w:tcPr>
            <w:tcW w:w="900" w:type="dxa"/>
          </w:tcPr>
          <w:p>
            <w:pPr>
              <w:pStyle w:val="Compact"/>
              <w:keepNext/>
              <w:jc w:val="left"/>
            </w:pPr>
            <w:r>
              <w:rPr>
                <w:b/>
                <w:sz w:val="15"/>
              </w:rPr>
              <w:t xml:space="preserve">Worst (%)</w:t>
            </w:r>
          </w:p>
        </w:tc>
        <w:tc>
          <w:tcPr>
            <w:tcW w:w="900" w:type="dxa"/>
          </w:tcPr>
          <w:p>
            <w:pPr>
              <w:pStyle w:val="Compact"/>
              <w:keepNext/>
              <w:jc w:val="left"/>
            </w:pPr>
          </w:p>
        </w:tc>
      </w:tr>
      <w:tr>
        <w:trPr>
          <w:cantSplit/>
        </w:trPr>
        <w:tc>
          <w:tcPr>
            <w:tcW w:w="500" w:type="dxa"/>
          </w:tcPr>
          <w:p>
            <w:pPr>
              <w:pStyle w:val="Compact"/>
              <w:jc w:val="left"/>
            </w:pPr>
            <w:r>
              <w:rPr>
                <w:sz w:val="15"/>
              </w:rPr>
              <w:t xml:space="preserve">3</w:t>
            </w:r>
          </w:p>
        </w:tc>
        <w:tc>
          <w:tcPr>
            <w:tcW w:w="1000" w:type="dxa"/>
          </w:tcPr>
          <w:p>
            <w:pPr>
              <w:pStyle w:val="Compact"/>
              <w:jc w:val="left"/>
            </w:pPr>
            <w:r>
              <w:rPr>
                <w:sz w:val="15"/>
              </w:rPr>
              <w:t xml:space="preserve">(0.4, 0.6)</w:t>
            </w:r>
          </w:p>
        </w:tc>
        <w:tc>
          <w:tcPr>
            <w:tcW w:w="850" w:type="dxa"/>
          </w:tcPr>
          <w:p>
            <w:pPr>
              <w:pStyle w:val="Compact"/>
              <w:jc w:val="left"/>
            </w:pPr>
            <w:r>
              <w:rPr>
                <w:sz w:val="15"/>
              </w:rPr>
              <w:t xml:space="preserve">0.700</w:t>
            </w:r>
          </w:p>
        </w:tc>
        <w:tc>
          <w:tcPr>
            <w:tcW w:w="1050" w:type="dxa"/>
          </w:tcPr>
          <w:p>
            <w:pPr>
              <w:pStyle w:val="Compact"/>
              <w:jc w:val="left"/>
            </w:pPr>
            <w:r>
              <w:rPr>
                <w:sz w:val="15"/>
              </w:rPr>
              <w:t xml:space="preserve">0.0233</w:t>
            </w:r>
          </w:p>
        </w:tc>
        <w:tc>
          <w:tcPr>
            <w:tcW w:w="1050" w:type="dxa"/>
          </w:tcPr>
          <w:p>
            <w:pPr>
              <w:pStyle w:val="Compact"/>
              <w:jc w:val="left"/>
            </w:pPr>
            <w:r>
              <w:rPr>
                <w:sz w:val="15"/>
              </w:rPr>
              <w:t xml:space="preserve">0.01</w:t>
            </w:r>
          </w:p>
        </w:tc>
        <w:tc>
          <w:tcPr>
            <w:tcW w:w="850" w:type="dxa"/>
          </w:tcPr>
          <w:p>
            <w:pPr>
              <w:pStyle w:val="Compact"/>
              <w:jc w:val="left"/>
            </w:pPr>
            <w:r>
              <w:rPr>
                <w:sz w:val="15"/>
              </w:rPr>
              <w:t xml:space="preserve">0.604</w:t>
            </w:r>
          </w:p>
        </w:tc>
        <w:tc>
          <w:tcPr>
            <w:tcW w:w="1000" w:type="dxa"/>
          </w:tcPr>
          <w:p>
            <w:pPr>
              <w:pStyle w:val="Compact"/>
              <w:jc w:val="left"/>
            </w:pPr>
            <w:r>
              <w:rPr>
                <w:sz w:val="15"/>
              </w:rPr>
              <w:t xml:space="preserve">-0.7</w:t>
            </w:r>
          </w:p>
        </w:tc>
        <w:tc>
          <w:tcPr>
            <w:tcW w:w="1050" w:type="dxa"/>
          </w:tcPr>
          <w:p>
            <w:pPr>
              <w:pStyle w:val="Compact"/>
              <w:jc w:val="left"/>
            </w:pPr>
            <w:r>
              <w:rPr>
                <w:sz w:val="15"/>
              </w:rPr>
              <w:t xml:space="preserve">132</w:t>
            </w:r>
          </w:p>
        </w:tc>
        <w:tc>
          <w:tcPr>
            <w:tcW w:w="800" w:type="dxa"/>
          </w:tcPr>
          <w:p>
            <w:pPr>
              <w:pStyle w:val="Compact"/>
              <w:jc w:val="left"/>
            </w:pPr>
            <w:r>
              <w:rPr>
                <w:sz w:val="15"/>
              </w:rPr>
              <w:t xml:space="preserve">-108</w:t>
            </w:r>
          </w:p>
        </w:tc>
        <w:tc>
          <w:tcPr>
            <w:tcW w:w="900" w:type="dxa"/>
          </w:tcPr>
          <w:p>
            <w:pPr>
              <w:pStyle w:val="Compact"/>
              <w:jc w:val="left"/>
            </w:pPr>
            <w:r>
              <w:rPr>
                <w:sz w:val="15"/>
              </w:rPr>
              <w:t xml:space="preserve">8.0</w:t>
            </w:r>
          </w:p>
        </w:tc>
        <w:tc>
          <w:tcPr>
            <w:tcW w:w="900" w:type="dxa"/>
          </w:tcPr>
          <w:p>
            <w:pPr>
              <w:pStyle w:val="Compact"/>
              <w:jc w:val="left"/>
            </w:pPr>
          </w:p>
        </w:tc>
      </w:tr>
      <w:tr>
        <w:trPr>
          <w:cantSplit/>
        </w:trPr>
        <w:tc>
          <w:tcPr>
            <w:tcW w:w="500" w:type="dxa"/>
          </w:tcPr>
          <w:p>
            <w:pPr>
              <w:pStyle w:val="Compact"/>
              <w:jc w:val="left"/>
            </w:pPr>
            <w:r>
              <w:rPr>
                <w:sz w:val="15"/>
              </w:rPr>
              <w:t xml:space="preserve">4</w:t>
            </w:r>
          </w:p>
        </w:tc>
        <w:tc>
          <w:tcPr>
            <w:tcW w:w="1000" w:type="dxa"/>
          </w:tcPr>
          <w:p>
            <w:pPr>
              <w:pStyle w:val="Compact"/>
              <w:jc w:val="left"/>
            </w:pPr>
            <w:r>
              <w:rPr>
                <w:sz w:val="15"/>
              </w:rPr>
              <w:t xml:space="preserve">(0.4, 0.6)</w:t>
            </w:r>
          </w:p>
        </w:tc>
        <w:tc>
          <w:tcPr>
            <w:tcW w:w="850" w:type="dxa"/>
          </w:tcPr>
          <w:p>
            <w:pPr>
              <w:pStyle w:val="Compact"/>
              <w:jc w:val="left"/>
            </w:pPr>
            <w:r>
              <w:rPr>
                <w:sz w:val="15"/>
              </w:rPr>
              <w:t xml:space="preserve">0.485</w:t>
            </w:r>
          </w:p>
        </w:tc>
        <w:tc>
          <w:tcPr>
            <w:tcW w:w="1050" w:type="dxa"/>
          </w:tcPr>
          <w:p>
            <w:pPr>
              <w:pStyle w:val="Compact"/>
              <w:jc w:val="left"/>
            </w:pPr>
            <w:r>
              <w:rPr>
                <w:sz w:val="15"/>
              </w:rPr>
              <w:t xml:space="preserve">0.0227</w:t>
            </w:r>
          </w:p>
        </w:tc>
        <w:tc>
          <w:tcPr>
            <w:tcW w:w="1050" w:type="dxa"/>
          </w:tcPr>
          <w:p>
            <w:pPr>
              <w:pStyle w:val="Compact"/>
              <w:jc w:val="left"/>
            </w:pPr>
            <w:r>
              <w:rPr>
                <w:sz w:val="15"/>
              </w:rPr>
              <w:t xml:space="preserve">1.12</w:t>
            </w:r>
          </w:p>
        </w:tc>
        <w:tc>
          <w:tcPr>
            <w:tcW w:w="850" w:type="dxa"/>
          </w:tcPr>
          <w:p>
            <w:pPr>
              <w:pStyle w:val="Compact"/>
              <w:jc w:val="left"/>
            </w:pPr>
            <w:r>
              <w:rPr>
                <w:sz w:val="15"/>
              </w:rPr>
              <w:t xml:space="preserve">0.577</w:t>
            </w:r>
          </w:p>
        </w:tc>
        <w:tc>
          <w:tcPr>
            <w:tcW w:w="1000" w:type="dxa"/>
          </w:tcPr>
          <w:p>
            <w:pPr>
              <w:pStyle w:val="Compact"/>
              <w:jc w:val="left"/>
            </w:pPr>
            <w:r>
              <w:rPr>
                <w:sz w:val="15"/>
              </w:rPr>
              <w:t xml:space="preserve">+2.3</w:t>
            </w:r>
          </w:p>
        </w:tc>
        <w:tc>
          <w:tcPr>
            <w:tcW w:w="1050" w:type="dxa"/>
          </w:tcPr>
          <w:p>
            <w:pPr>
              <w:pStyle w:val="Compact"/>
              <w:jc w:val="left"/>
            </w:pPr>
            <w:r>
              <w:rPr>
                <w:sz w:val="15"/>
              </w:rPr>
              <w:t xml:space="preserve">150</w:t>
            </w:r>
          </w:p>
        </w:tc>
        <w:tc>
          <w:tcPr>
            <w:tcW w:w="800" w:type="dxa"/>
          </w:tcPr>
          <w:p>
            <w:pPr>
              <w:pStyle w:val="Compact"/>
              <w:jc w:val="left"/>
            </w:pPr>
            <w:r>
              <w:rPr>
                <w:sz w:val="15"/>
              </w:rPr>
              <w:t xml:space="preserve">+97</w:t>
            </w:r>
          </w:p>
        </w:tc>
        <w:tc>
          <w:tcPr>
            <w:tcW w:w="900" w:type="dxa"/>
          </w:tcPr>
          <w:p>
            <w:pPr>
              <w:pStyle w:val="Compact"/>
              <w:jc w:val="left"/>
            </w:pPr>
            <w:r>
              <w:rPr>
                <w:sz w:val="15"/>
              </w:rPr>
              <w:t xml:space="preserve">3.0</w:t>
            </w:r>
          </w:p>
        </w:tc>
        <w:tc>
          <w:tcPr>
            <w:tcW w:w="900" w:type="dxa"/>
          </w:tcPr>
          <w:p>
            <w:pPr>
              <w:pStyle w:val="Compact"/>
              <w:jc w:val="left"/>
            </w:pPr>
          </w:p>
        </w:tc>
      </w:tr>
      <w:tr>
        <w:trPr>
          <w:cantSplit/>
        </w:trPr>
        <w:tc>
          <w:tcPr>
            <w:tcW w:w="500" w:type="dxa"/>
          </w:tcPr>
          <w:p>
            <w:pPr>
              <w:pStyle w:val="Compact"/>
              <w:jc w:val="left"/>
            </w:pPr>
            <w:r>
              <w:rPr>
                <w:sz w:val="15"/>
              </w:rPr>
              <w:t xml:space="preserve">5</w:t>
            </w:r>
          </w:p>
        </w:tc>
        <w:tc>
          <w:tcPr>
            <w:tcW w:w="1000" w:type="dxa"/>
          </w:tcPr>
          <w:p>
            <w:pPr>
              <w:pStyle w:val="Compact"/>
              <w:jc w:val="left"/>
            </w:pPr>
            <w:r>
              <w:rPr>
                <w:sz w:val="15"/>
              </w:rPr>
              <w:t xml:space="preserve">(0.4, 0.6)</w:t>
            </w:r>
          </w:p>
        </w:tc>
        <w:tc>
          <w:tcPr>
            <w:tcW w:w="850" w:type="dxa"/>
          </w:tcPr>
          <w:p>
            <w:pPr>
              <w:pStyle w:val="Compact"/>
              <w:jc w:val="left"/>
            </w:pPr>
            <w:r>
              <w:rPr>
                <w:sz w:val="15"/>
              </w:rPr>
              <w:t xml:space="preserve">0.265</w:t>
            </w:r>
          </w:p>
        </w:tc>
        <w:tc>
          <w:tcPr>
            <w:tcW w:w="1050" w:type="dxa"/>
          </w:tcPr>
          <w:p>
            <w:pPr>
              <w:pStyle w:val="Compact"/>
              <w:jc w:val="left"/>
            </w:pPr>
            <w:r>
              <w:rPr>
                <w:sz w:val="15"/>
              </w:rPr>
              <w:t xml:space="preserve">0.0225</w:t>
            </w:r>
          </w:p>
        </w:tc>
        <w:tc>
          <w:tcPr>
            <w:tcW w:w="1050" w:type="dxa"/>
          </w:tcPr>
          <w:p>
            <w:pPr>
              <w:pStyle w:val="Compact"/>
              <w:jc w:val="left"/>
            </w:pPr>
            <w:r>
              <w:rPr>
                <w:sz w:val="15"/>
              </w:rPr>
              <w:t xml:space="preserve">1.28</w:t>
            </w:r>
          </w:p>
        </w:tc>
        <w:tc>
          <w:tcPr>
            <w:tcW w:w="850" w:type="dxa"/>
          </w:tcPr>
          <w:p>
            <w:pPr>
              <w:pStyle w:val="Compact"/>
              <w:jc w:val="left"/>
            </w:pPr>
            <w:r>
              <w:rPr>
                <w:sz w:val="15"/>
              </w:rPr>
              <w:t xml:space="preserve">0.544</w:t>
            </w:r>
          </w:p>
        </w:tc>
        <w:tc>
          <w:tcPr>
            <w:tcW w:w="1000" w:type="dxa"/>
          </w:tcPr>
          <w:p>
            <w:pPr>
              <w:pStyle w:val="Compact"/>
              <w:jc w:val="left"/>
            </w:pPr>
            <w:r>
              <w:rPr>
                <w:sz w:val="15"/>
              </w:rPr>
              <w:t xml:space="preserve">-2.5</w:t>
            </w:r>
          </w:p>
        </w:tc>
        <w:tc>
          <w:tcPr>
            <w:tcW w:w="1050" w:type="dxa"/>
          </w:tcPr>
          <w:p>
            <w:pPr>
              <w:pStyle w:val="Compact"/>
              <w:jc w:val="left"/>
            </w:pPr>
            <w:r>
              <w:rPr>
                <w:sz w:val="15"/>
              </w:rPr>
              <w:t xml:space="preserve">319</w:t>
            </w:r>
          </w:p>
        </w:tc>
        <w:tc>
          <w:tcPr>
            <w:tcW w:w="800" w:type="dxa"/>
          </w:tcPr>
          <w:p>
            <w:pPr>
              <w:pStyle w:val="Compact"/>
              <w:jc w:val="left"/>
            </w:pPr>
            <w:r>
              <w:rPr>
                <w:sz w:val="15"/>
              </w:rPr>
              <w:t xml:space="preserve">+257</w:t>
            </w:r>
          </w:p>
        </w:tc>
        <w:tc>
          <w:tcPr>
            <w:tcW w:w="900" w:type="dxa"/>
          </w:tcPr>
          <w:p>
            <w:pPr>
              <w:pStyle w:val="Compact"/>
              <w:jc w:val="left"/>
            </w:pPr>
            <w:r>
              <w:rPr>
                <w:sz w:val="15"/>
              </w:rPr>
              <w:t xml:space="preserve">2.5</w:t>
            </w:r>
          </w:p>
        </w:tc>
        <w:tc>
          <w:tcPr>
            <w:tcW w:w="900" w:type="dxa"/>
          </w:tcPr>
          <w:p>
            <w:pPr>
              <w:pStyle w:val="Compact"/>
              <w:jc w:val="left"/>
            </w:pPr>
          </w:p>
        </w:tc>
      </w:tr>
      <w:tr>
        <w:trPr>
          <w:cantSplit/>
        </w:trPr>
        <w:tc>
          <w:tcPr>
            <w:tcW w:w="500" w:type="dxa"/>
          </w:tcPr>
          <w:p>
            <w:pPr>
              <w:pStyle w:val="Compact"/>
              <w:jc w:val="left"/>
            </w:pPr>
            <w:r>
              <w:rPr>
                <w:sz w:val="15"/>
              </w:rPr>
              <w:t xml:space="preserve">3</w:t>
            </w:r>
          </w:p>
        </w:tc>
        <w:tc>
          <w:tcPr>
            <w:tcW w:w="1000" w:type="dxa"/>
          </w:tcPr>
          <w:p>
            <w:pPr>
              <w:pStyle w:val="Compact"/>
              <w:jc w:val="left"/>
            </w:pPr>
            <w:r>
              <w:rPr>
                <w:sz w:val="15"/>
              </w:rPr>
              <w:t xml:space="preserve">(0.4, 0.9)</w:t>
            </w:r>
          </w:p>
        </w:tc>
        <w:tc>
          <w:tcPr>
            <w:tcW w:w="850" w:type="dxa"/>
          </w:tcPr>
          <w:p>
            <w:pPr>
              <w:pStyle w:val="Compact"/>
              <w:jc w:val="left"/>
            </w:pPr>
            <w:r>
              <w:rPr>
                <w:sz w:val="15"/>
              </w:rPr>
              <w:t xml:space="preserve">0.700</w:t>
            </w:r>
          </w:p>
        </w:tc>
        <w:tc>
          <w:tcPr>
            <w:tcW w:w="1050" w:type="dxa"/>
          </w:tcPr>
          <w:p>
            <w:pPr>
              <w:pStyle w:val="Compact"/>
              <w:jc w:val="left"/>
            </w:pPr>
            <w:r>
              <w:rPr>
                <w:sz w:val="15"/>
              </w:rPr>
              <w:t xml:space="preserve">0.0236</w:t>
            </w:r>
          </w:p>
        </w:tc>
        <w:tc>
          <w:tcPr>
            <w:tcW w:w="1050" w:type="dxa"/>
          </w:tcPr>
          <w:p>
            <w:pPr>
              <w:pStyle w:val="Compact"/>
              <w:jc w:val="left"/>
            </w:pPr>
            <w:r>
              <w:rPr>
                <w:sz w:val="15"/>
              </w:rPr>
              <w:t xml:space="preserve">0.09</w:t>
            </w:r>
          </w:p>
        </w:tc>
        <w:tc>
          <w:tcPr>
            <w:tcW w:w="850" w:type="dxa"/>
          </w:tcPr>
          <w:p>
            <w:pPr>
              <w:pStyle w:val="Compact"/>
              <w:jc w:val="left"/>
            </w:pPr>
            <w:r>
              <w:rPr>
                <w:sz w:val="15"/>
              </w:rPr>
              <w:t xml:space="preserve">0.621</w:t>
            </w:r>
          </w:p>
        </w:tc>
        <w:tc>
          <w:tcPr>
            <w:tcW w:w="1000" w:type="dxa"/>
          </w:tcPr>
          <w:p>
            <w:pPr>
              <w:pStyle w:val="Compact"/>
              <w:jc w:val="left"/>
            </w:pPr>
            <w:r>
              <w:rPr>
                <w:sz w:val="15"/>
              </w:rPr>
              <w:t xml:space="preserve">-0.1</w:t>
            </w:r>
          </w:p>
        </w:tc>
        <w:tc>
          <w:tcPr>
            <w:tcW w:w="1050" w:type="dxa"/>
          </w:tcPr>
          <w:p>
            <w:pPr>
              <w:pStyle w:val="Compact"/>
              <w:jc w:val="left"/>
            </w:pPr>
            <w:r>
              <w:rPr>
                <w:sz w:val="15"/>
              </w:rPr>
              <w:t xml:space="preserve">80</w:t>
            </w:r>
          </w:p>
        </w:tc>
        <w:tc>
          <w:tcPr>
            <w:tcW w:w="800" w:type="dxa"/>
          </w:tcPr>
          <w:p>
            <w:pPr>
              <w:pStyle w:val="Compact"/>
              <w:jc w:val="left"/>
            </w:pPr>
            <w:r>
              <w:rPr>
                <w:sz w:val="15"/>
              </w:rPr>
              <w:t xml:space="preserve">-21</w:t>
            </w:r>
          </w:p>
        </w:tc>
        <w:tc>
          <w:tcPr>
            <w:tcW w:w="900" w:type="dxa"/>
          </w:tcPr>
          <w:p>
            <w:pPr>
              <w:pStyle w:val="Compact"/>
              <w:jc w:val="left"/>
            </w:pPr>
            <w:r>
              <w:rPr>
                <w:sz w:val="15"/>
              </w:rPr>
              <w:t xml:space="preserve">9.8</w:t>
            </w:r>
          </w:p>
        </w:tc>
        <w:tc>
          <w:tcPr>
            <w:tcW w:w="900" w:type="dxa"/>
          </w:tcPr>
          <w:p>
            <w:pPr>
              <w:pStyle w:val="Compact"/>
              <w:jc w:val="left"/>
            </w:pPr>
          </w:p>
        </w:tc>
      </w:tr>
      <w:tr>
        <w:trPr>
          <w:cantSplit/>
        </w:trPr>
        <w:tc>
          <w:tcPr>
            <w:tcW w:w="500" w:type="dxa"/>
          </w:tcPr>
          <w:p>
            <w:pPr>
              <w:pStyle w:val="Compact"/>
              <w:jc w:val="left"/>
            </w:pPr>
            <w:r>
              <w:rPr>
                <w:sz w:val="15"/>
              </w:rPr>
              <w:t xml:space="preserve">4</w:t>
            </w:r>
          </w:p>
        </w:tc>
        <w:tc>
          <w:tcPr>
            <w:tcW w:w="1000" w:type="dxa"/>
          </w:tcPr>
          <w:p>
            <w:pPr>
              <w:pStyle w:val="Compact"/>
              <w:jc w:val="left"/>
            </w:pPr>
            <w:r>
              <w:rPr>
                <w:sz w:val="15"/>
              </w:rPr>
              <w:t xml:space="preserve">(0.4, 0.9)</w:t>
            </w:r>
          </w:p>
        </w:tc>
        <w:tc>
          <w:tcPr>
            <w:tcW w:w="850" w:type="dxa"/>
          </w:tcPr>
          <w:p>
            <w:pPr>
              <w:pStyle w:val="Compact"/>
              <w:jc w:val="left"/>
            </w:pPr>
            <w:r>
              <w:rPr>
                <w:sz w:val="15"/>
              </w:rPr>
              <w:t xml:space="preserve">0.570</w:t>
            </w:r>
          </w:p>
        </w:tc>
        <w:tc>
          <w:tcPr>
            <w:tcW w:w="1050" w:type="dxa"/>
          </w:tcPr>
          <w:p>
            <w:pPr>
              <w:pStyle w:val="Compact"/>
              <w:jc w:val="left"/>
            </w:pPr>
            <w:r>
              <w:rPr>
                <w:sz w:val="15"/>
              </w:rPr>
              <w:t xml:space="preserve">0.0219</w:t>
            </w:r>
          </w:p>
        </w:tc>
        <w:tc>
          <w:tcPr>
            <w:tcW w:w="1050" w:type="dxa"/>
          </w:tcPr>
          <w:p>
            <w:pPr>
              <w:pStyle w:val="Compact"/>
              <w:jc w:val="left"/>
            </w:pPr>
            <w:r>
              <w:rPr>
                <w:sz w:val="15"/>
              </w:rPr>
              <w:t xml:space="preserve">1.19</w:t>
            </w:r>
          </w:p>
        </w:tc>
        <w:tc>
          <w:tcPr>
            <w:tcW w:w="850" w:type="dxa"/>
          </w:tcPr>
          <w:p>
            <w:pPr>
              <w:pStyle w:val="Compact"/>
              <w:jc w:val="left"/>
            </w:pPr>
            <w:r>
              <w:rPr>
                <w:sz w:val="15"/>
              </w:rPr>
              <w:t xml:space="preserve">0.675</w:t>
            </w:r>
          </w:p>
        </w:tc>
        <w:tc>
          <w:tcPr>
            <w:tcW w:w="1000" w:type="dxa"/>
          </w:tcPr>
          <w:p>
            <w:pPr>
              <w:pStyle w:val="Compact"/>
              <w:jc w:val="left"/>
            </w:pPr>
            <w:r>
              <w:rPr>
                <w:sz w:val="15"/>
              </w:rPr>
              <w:t xml:space="preserve">+0.6</w:t>
            </w:r>
          </w:p>
        </w:tc>
        <w:tc>
          <w:tcPr>
            <w:tcW w:w="1050" w:type="dxa"/>
          </w:tcPr>
          <w:p>
            <w:pPr>
              <w:pStyle w:val="Compact"/>
              <w:jc w:val="left"/>
            </w:pPr>
            <w:r>
              <w:rPr>
                <w:sz w:val="15"/>
              </w:rPr>
              <w:t xml:space="preserve">216</w:t>
            </w:r>
          </w:p>
        </w:tc>
        <w:tc>
          <w:tcPr>
            <w:tcW w:w="800" w:type="dxa"/>
          </w:tcPr>
          <w:p>
            <w:pPr>
              <w:pStyle w:val="Compact"/>
              <w:jc w:val="left"/>
            </w:pPr>
            <w:r>
              <w:rPr>
                <w:sz w:val="15"/>
              </w:rPr>
              <w:t xml:space="preserve">+186</w:t>
            </w:r>
          </w:p>
        </w:tc>
        <w:tc>
          <w:tcPr>
            <w:tcW w:w="900" w:type="dxa"/>
          </w:tcPr>
          <w:p>
            <w:pPr>
              <w:pStyle w:val="Compact"/>
              <w:jc w:val="left"/>
            </w:pPr>
            <w:r>
              <w:rPr>
                <w:sz w:val="15"/>
              </w:rPr>
              <w:t xml:space="preserve">3.5</w:t>
            </w:r>
          </w:p>
        </w:tc>
        <w:tc>
          <w:tcPr>
            <w:tcW w:w="900" w:type="dxa"/>
          </w:tcPr>
          <w:p>
            <w:pPr>
              <w:pStyle w:val="Compact"/>
              <w:jc w:val="left"/>
            </w:pPr>
          </w:p>
        </w:tc>
      </w:tr>
      <w:tr>
        <w:trPr>
          <w:cantSplit/>
        </w:trPr>
        <w:tc>
          <w:tcPr>
            <w:tcW w:w="500" w:type="dxa"/>
          </w:tcPr>
          <w:p>
            <w:pPr>
              <w:pStyle w:val="Compact"/>
              <w:jc w:val="left"/>
            </w:pPr>
            <w:r>
              <w:rPr>
                <w:sz w:val="15"/>
              </w:rPr>
              <w:t xml:space="preserve">5</w:t>
            </w:r>
          </w:p>
        </w:tc>
        <w:tc>
          <w:tcPr>
            <w:tcW w:w="1000" w:type="dxa"/>
          </w:tcPr>
          <w:p>
            <w:pPr>
              <w:pStyle w:val="Compact"/>
              <w:jc w:val="left"/>
            </w:pPr>
            <w:r>
              <w:rPr>
                <w:sz w:val="15"/>
              </w:rPr>
              <w:t xml:space="preserve">(0.4, 0.9)</w:t>
            </w:r>
          </w:p>
        </w:tc>
        <w:tc>
          <w:tcPr>
            <w:tcW w:w="850" w:type="dxa"/>
          </w:tcPr>
          <w:p>
            <w:pPr>
              <w:pStyle w:val="Compact"/>
              <w:jc w:val="left"/>
            </w:pPr>
            <w:r>
              <w:rPr>
                <w:sz w:val="15"/>
              </w:rPr>
              <w:t xml:space="preserve">0.098</w:t>
            </w:r>
          </w:p>
        </w:tc>
        <w:tc>
          <w:tcPr>
            <w:tcW w:w="1050" w:type="dxa"/>
          </w:tcPr>
          <w:p>
            <w:pPr>
              <w:pStyle w:val="Compact"/>
              <w:jc w:val="left"/>
            </w:pPr>
            <w:r>
              <w:rPr>
                <w:sz w:val="15"/>
              </w:rPr>
              <w:t xml:space="preserve">0.0211</w:t>
            </w:r>
          </w:p>
        </w:tc>
        <w:tc>
          <w:tcPr>
            <w:tcW w:w="1050" w:type="dxa"/>
          </w:tcPr>
          <w:p>
            <w:pPr>
              <w:pStyle w:val="Compact"/>
              <w:jc w:val="left"/>
            </w:pPr>
            <w:r>
              <w:rPr>
                <w:sz w:val="15"/>
              </w:rPr>
              <w:t xml:space="preserve">1.22</w:t>
            </w:r>
          </w:p>
        </w:tc>
        <w:tc>
          <w:tcPr>
            <w:tcW w:w="850" w:type="dxa"/>
          </w:tcPr>
          <w:p>
            <w:pPr>
              <w:pStyle w:val="Compact"/>
              <w:jc w:val="left"/>
            </w:pPr>
            <w:r>
              <w:rPr>
                <w:sz w:val="15"/>
              </w:rPr>
              <w:t xml:space="preserve">0.544</w:t>
            </w:r>
          </w:p>
        </w:tc>
        <w:tc>
          <w:tcPr>
            <w:tcW w:w="1000" w:type="dxa"/>
          </w:tcPr>
          <w:p>
            <w:pPr>
              <w:pStyle w:val="Compact"/>
              <w:jc w:val="left"/>
            </w:pPr>
            <w:r>
              <w:rPr>
                <w:sz w:val="15"/>
              </w:rPr>
              <w:t xml:space="preserve">-1.9</w:t>
            </w:r>
          </w:p>
        </w:tc>
        <w:tc>
          <w:tcPr>
            <w:tcW w:w="1050" w:type="dxa"/>
          </w:tcPr>
          <w:p>
            <w:pPr>
              <w:pStyle w:val="Compact"/>
              <w:jc w:val="left"/>
            </w:pPr>
            <w:r>
              <w:rPr>
                <w:sz w:val="15"/>
              </w:rPr>
              <w:t xml:space="preserve">383</w:t>
            </w:r>
          </w:p>
        </w:tc>
        <w:tc>
          <w:tcPr>
            <w:tcW w:w="800" w:type="dxa"/>
          </w:tcPr>
          <w:p>
            <w:pPr>
              <w:pStyle w:val="Compact"/>
              <w:jc w:val="left"/>
            </w:pPr>
            <w:r>
              <w:rPr>
                <w:sz w:val="15"/>
              </w:rPr>
              <w:t xml:space="preserve">+300</w:t>
            </w:r>
          </w:p>
        </w:tc>
        <w:tc>
          <w:tcPr>
            <w:tcW w:w="900" w:type="dxa"/>
          </w:tcPr>
          <w:p>
            <w:pPr>
              <w:pStyle w:val="Compact"/>
              <w:jc w:val="left"/>
            </w:pPr>
            <w:r>
              <w:rPr>
                <w:sz w:val="15"/>
              </w:rPr>
              <w:t xml:space="preserve">2.8</w:t>
            </w:r>
          </w:p>
        </w:tc>
        <w:tc>
          <w:tcPr>
            <w:tcW w:w="900" w:type="dxa"/>
          </w:tcPr>
          <w:p>
            <w:pPr>
              <w:pStyle w:val="Compact"/>
              <w:jc w:val="left"/>
            </w:pPr>
          </w:p>
        </w:tc>
      </w:tr>
      <w:tr>
        <w:trPr>
          <w:cantSplit/>
        </w:trPr>
        <w:tc>
          <w:tcPr>
            <w:tcW w:w="500" w:type="dxa"/>
          </w:tcPr>
          <w:p>
            <w:pPr>
              <w:pStyle w:val="Compact"/>
              <w:jc w:val="left"/>
            </w:pPr>
            <w:r>
              <w:rPr>
                <w:sz w:val="15"/>
              </w:rPr>
              <w:t xml:space="preserve">3</w:t>
            </w:r>
          </w:p>
        </w:tc>
        <w:tc>
          <w:tcPr>
            <w:tcW w:w="1000" w:type="dxa"/>
          </w:tcPr>
          <w:p>
            <w:pPr>
              <w:pStyle w:val="Compact"/>
              <w:jc w:val="left"/>
            </w:pPr>
            <w:r>
              <w:rPr>
                <w:sz w:val="15"/>
              </w:rPr>
              <w:t xml:space="preserve">(0.5, 0.7)</w:t>
            </w:r>
          </w:p>
        </w:tc>
        <w:tc>
          <w:tcPr>
            <w:tcW w:w="850" w:type="dxa"/>
          </w:tcPr>
          <w:p>
            <w:pPr>
              <w:pStyle w:val="Compact"/>
              <w:jc w:val="left"/>
            </w:pPr>
            <w:r>
              <w:rPr>
                <w:sz w:val="15"/>
              </w:rPr>
              <w:t xml:space="preserve">0.700</w:t>
            </w:r>
          </w:p>
        </w:tc>
        <w:tc>
          <w:tcPr>
            <w:tcW w:w="1050" w:type="dxa"/>
          </w:tcPr>
          <w:p>
            <w:pPr>
              <w:pStyle w:val="Compact"/>
              <w:jc w:val="left"/>
            </w:pPr>
            <w:r>
              <w:rPr>
                <w:sz w:val="15"/>
              </w:rPr>
              <w:t xml:space="preserve">0.0233</w:t>
            </w:r>
          </w:p>
        </w:tc>
        <w:tc>
          <w:tcPr>
            <w:tcW w:w="1050" w:type="dxa"/>
          </w:tcPr>
          <w:p>
            <w:pPr>
              <w:pStyle w:val="Compact"/>
              <w:jc w:val="left"/>
            </w:pPr>
            <w:r>
              <w:rPr>
                <w:sz w:val="15"/>
              </w:rPr>
              <w:t xml:space="preserve">0.02</w:t>
            </w:r>
          </w:p>
        </w:tc>
        <w:tc>
          <w:tcPr>
            <w:tcW w:w="850" w:type="dxa"/>
          </w:tcPr>
          <w:p>
            <w:pPr>
              <w:pStyle w:val="Compact"/>
              <w:jc w:val="left"/>
            </w:pPr>
            <w:r>
              <w:rPr>
                <w:sz w:val="15"/>
              </w:rPr>
              <w:t xml:space="preserve">0.632</w:t>
            </w:r>
          </w:p>
        </w:tc>
        <w:tc>
          <w:tcPr>
            <w:tcW w:w="1000" w:type="dxa"/>
          </w:tcPr>
          <w:p>
            <w:pPr>
              <w:pStyle w:val="Compact"/>
              <w:jc w:val="left"/>
            </w:pPr>
            <w:r>
              <w:rPr>
                <w:sz w:val="15"/>
              </w:rPr>
              <w:t xml:space="preserve">-1.8</w:t>
            </w:r>
          </w:p>
        </w:tc>
        <w:tc>
          <w:tcPr>
            <w:tcW w:w="1050" w:type="dxa"/>
          </w:tcPr>
          <w:p>
            <w:pPr>
              <w:pStyle w:val="Compact"/>
              <w:jc w:val="left"/>
            </w:pPr>
            <w:r>
              <w:rPr>
                <w:sz w:val="15"/>
              </w:rPr>
              <w:t xml:space="preserve">56</w:t>
            </w:r>
          </w:p>
        </w:tc>
        <w:tc>
          <w:tcPr>
            <w:tcW w:w="800" w:type="dxa"/>
          </w:tcPr>
          <w:p>
            <w:pPr>
              <w:pStyle w:val="Compact"/>
              <w:jc w:val="left"/>
            </w:pPr>
            <w:r>
              <w:rPr>
                <w:sz w:val="15"/>
              </w:rPr>
              <w:t xml:space="preserve">-7</w:t>
            </w:r>
          </w:p>
        </w:tc>
        <w:tc>
          <w:tcPr>
            <w:tcW w:w="900" w:type="dxa"/>
          </w:tcPr>
          <w:p>
            <w:pPr>
              <w:pStyle w:val="Compact"/>
              <w:jc w:val="left"/>
            </w:pPr>
            <w:r>
              <w:rPr>
                <w:sz w:val="15"/>
              </w:rPr>
              <w:t xml:space="preserve">8.3</w:t>
            </w:r>
          </w:p>
        </w:tc>
        <w:tc>
          <w:tcPr>
            <w:tcW w:w="900" w:type="dxa"/>
          </w:tcPr>
          <w:p>
            <w:pPr>
              <w:pStyle w:val="Compact"/>
              <w:jc w:val="left"/>
            </w:pPr>
            <w:r>
              <w:rPr>
                <w:sz w:val="15"/>
              </w:rPr>
              <w:t xml:space="preserve">selected</w:t>
            </w:r>
          </w:p>
        </w:tc>
      </w:tr>
      <w:tr>
        <w:trPr>
          <w:cantSplit/>
        </w:trPr>
        <w:tc>
          <w:tcPr>
            <w:tcW w:w="500" w:type="dxa"/>
          </w:tcPr>
          <w:p>
            <w:pPr>
              <w:pStyle w:val="Compact"/>
              <w:jc w:val="left"/>
            </w:pPr>
            <w:r>
              <w:rPr>
                <w:sz w:val="15"/>
              </w:rPr>
              <w:t xml:space="preserve">4</w:t>
            </w:r>
          </w:p>
        </w:tc>
        <w:tc>
          <w:tcPr>
            <w:tcW w:w="1000" w:type="dxa"/>
          </w:tcPr>
          <w:p>
            <w:pPr>
              <w:pStyle w:val="Compact"/>
              <w:jc w:val="left"/>
            </w:pPr>
            <w:r>
              <w:rPr>
                <w:sz w:val="15"/>
              </w:rPr>
              <w:t xml:space="preserve">(0.5, 0.7)</w:t>
            </w:r>
          </w:p>
        </w:tc>
        <w:tc>
          <w:tcPr>
            <w:tcW w:w="850" w:type="dxa"/>
          </w:tcPr>
          <w:p>
            <w:pPr>
              <w:pStyle w:val="Compact"/>
              <w:jc w:val="left"/>
            </w:pPr>
            <w:r>
              <w:rPr>
                <w:sz w:val="15"/>
              </w:rPr>
              <w:t xml:space="preserve">0.407</w:t>
            </w:r>
          </w:p>
        </w:tc>
        <w:tc>
          <w:tcPr>
            <w:tcW w:w="1050" w:type="dxa"/>
          </w:tcPr>
          <w:p>
            <w:pPr>
              <w:pStyle w:val="Compact"/>
              <w:jc w:val="left"/>
            </w:pPr>
            <w:r>
              <w:rPr>
                <w:sz w:val="15"/>
              </w:rPr>
              <w:t xml:space="preserve">0.0229</w:t>
            </w:r>
          </w:p>
        </w:tc>
        <w:tc>
          <w:tcPr>
            <w:tcW w:w="1050" w:type="dxa"/>
          </w:tcPr>
          <w:p>
            <w:pPr>
              <w:pStyle w:val="Compact"/>
              <w:jc w:val="left"/>
            </w:pPr>
            <w:r>
              <w:rPr>
                <w:sz w:val="15"/>
              </w:rPr>
              <w:t xml:space="preserve">1.19</w:t>
            </w:r>
          </w:p>
        </w:tc>
        <w:tc>
          <w:tcPr>
            <w:tcW w:w="850" w:type="dxa"/>
          </w:tcPr>
          <w:p>
            <w:pPr>
              <w:pStyle w:val="Compact"/>
              <w:jc w:val="left"/>
            </w:pPr>
            <w:r>
              <w:rPr>
                <w:sz w:val="15"/>
              </w:rPr>
              <w:t xml:space="preserve">0.571</w:t>
            </w:r>
          </w:p>
        </w:tc>
        <w:tc>
          <w:tcPr>
            <w:tcW w:w="1000" w:type="dxa"/>
          </w:tcPr>
          <w:p>
            <w:pPr>
              <w:pStyle w:val="Compact"/>
              <w:jc w:val="left"/>
            </w:pPr>
            <w:r>
              <w:rPr>
                <w:sz w:val="15"/>
              </w:rPr>
              <w:t xml:space="preserve">+2.4</w:t>
            </w:r>
          </w:p>
        </w:tc>
        <w:tc>
          <w:tcPr>
            <w:tcW w:w="1050" w:type="dxa"/>
          </w:tcPr>
          <w:p>
            <w:pPr>
              <w:pStyle w:val="Compact"/>
              <w:jc w:val="left"/>
            </w:pPr>
            <w:r>
              <w:rPr>
                <w:sz w:val="15"/>
              </w:rPr>
              <w:t xml:space="preserve">249</w:t>
            </w:r>
          </w:p>
        </w:tc>
        <w:tc>
          <w:tcPr>
            <w:tcW w:w="800" w:type="dxa"/>
          </w:tcPr>
          <w:p>
            <w:pPr>
              <w:pStyle w:val="Compact"/>
              <w:jc w:val="left"/>
            </w:pPr>
            <w:r>
              <w:rPr>
                <w:sz w:val="15"/>
              </w:rPr>
              <w:t xml:space="preserve">+216</w:t>
            </w:r>
          </w:p>
        </w:tc>
        <w:tc>
          <w:tcPr>
            <w:tcW w:w="900" w:type="dxa"/>
          </w:tcPr>
          <w:p>
            <w:pPr>
              <w:pStyle w:val="Compact"/>
              <w:jc w:val="left"/>
            </w:pPr>
            <w:r>
              <w:rPr>
                <w:sz w:val="15"/>
              </w:rPr>
              <w:t xml:space="preserve">2.4</w:t>
            </w:r>
          </w:p>
        </w:tc>
        <w:tc>
          <w:tcPr>
            <w:tcW w:w="900" w:type="dxa"/>
          </w:tcPr>
          <w:p>
            <w:pPr>
              <w:pStyle w:val="Compact"/>
              <w:jc w:val="left"/>
            </w:pPr>
          </w:p>
        </w:tc>
      </w:tr>
      <w:tr>
        <w:trPr>
          <w:cantSplit/>
        </w:trPr>
        <w:tc>
          <w:tcPr>
            <w:tcW w:w="500" w:type="dxa"/>
          </w:tcPr>
          <w:p>
            <w:pPr>
              <w:pStyle w:val="Compact"/>
              <w:jc w:val="left"/>
            </w:pPr>
            <w:r>
              <w:rPr>
                <w:sz w:val="15"/>
              </w:rPr>
              <w:t xml:space="preserve">5</w:t>
            </w:r>
          </w:p>
        </w:tc>
        <w:tc>
          <w:tcPr>
            <w:tcW w:w="1000" w:type="dxa"/>
          </w:tcPr>
          <w:p>
            <w:pPr>
              <w:pStyle w:val="Compact"/>
              <w:jc w:val="left"/>
            </w:pPr>
            <w:r>
              <w:rPr>
                <w:sz w:val="15"/>
              </w:rPr>
              <w:t xml:space="preserve">(0.5, 0.7)</w:t>
            </w:r>
          </w:p>
        </w:tc>
        <w:tc>
          <w:tcPr>
            <w:tcW w:w="850" w:type="dxa"/>
          </w:tcPr>
          <w:p>
            <w:pPr>
              <w:pStyle w:val="Compact"/>
              <w:jc w:val="left"/>
            </w:pPr>
            <w:r>
              <w:rPr>
                <w:sz w:val="15"/>
              </w:rPr>
              <w:t xml:space="preserve">0.065</w:t>
            </w:r>
          </w:p>
        </w:tc>
        <w:tc>
          <w:tcPr>
            <w:tcW w:w="1050" w:type="dxa"/>
          </w:tcPr>
          <w:p>
            <w:pPr>
              <w:pStyle w:val="Compact"/>
              <w:jc w:val="left"/>
            </w:pPr>
            <w:r>
              <w:rPr>
                <w:sz w:val="15"/>
              </w:rPr>
              <w:t xml:space="preserve">0.0212</w:t>
            </w:r>
          </w:p>
        </w:tc>
        <w:tc>
          <w:tcPr>
            <w:tcW w:w="1050" w:type="dxa"/>
          </w:tcPr>
          <w:p>
            <w:pPr>
              <w:pStyle w:val="Compact"/>
              <w:jc w:val="left"/>
            </w:pPr>
            <w:r>
              <w:rPr>
                <w:sz w:val="15"/>
              </w:rPr>
              <w:t xml:space="preserve">1.21</w:t>
            </w:r>
          </w:p>
        </w:tc>
        <w:tc>
          <w:tcPr>
            <w:tcW w:w="850" w:type="dxa"/>
          </w:tcPr>
          <w:p>
            <w:pPr>
              <w:pStyle w:val="Compact"/>
              <w:jc w:val="left"/>
            </w:pPr>
            <w:r>
              <w:rPr>
                <w:sz w:val="15"/>
              </w:rPr>
              <w:t xml:space="preserve">0.561</w:t>
            </w:r>
          </w:p>
        </w:tc>
        <w:tc>
          <w:tcPr>
            <w:tcW w:w="1000" w:type="dxa"/>
          </w:tcPr>
          <w:p>
            <w:pPr>
              <w:pStyle w:val="Compact"/>
              <w:jc w:val="left"/>
            </w:pPr>
            <w:r>
              <w:rPr>
                <w:sz w:val="15"/>
              </w:rPr>
              <w:t xml:space="preserve">-0.8</w:t>
            </w:r>
          </w:p>
        </w:tc>
        <w:tc>
          <w:tcPr>
            <w:tcW w:w="1050" w:type="dxa"/>
          </w:tcPr>
          <w:p>
            <w:pPr>
              <w:pStyle w:val="Compact"/>
              <w:jc w:val="left"/>
            </w:pPr>
            <w:r>
              <w:rPr>
                <w:sz w:val="15"/>
              </w:rPr>
              <w:t xml:space="preserve">400</w:t>
            </w:r>
          </w:p>
        </w:tc>
        <w:tc>
          <w:tcPr>
            <w:tcW w:w="800" w:type="dxa"/>
          </w:tcPr>
          <w:p>
            <w:pPr>
              <w:pStyle w:val="Compact"/>
              <w:jc w:val="left"/>
            </w:pPr>
            <w:r>
              <w:rPr>
                <w:sz w:val="15"/>
              </w:rPr>
              <w:t xml:space="preserve">+300</w:t>
            </w:r>
          </w:p>
        </w:tc>
        <w:tc>
          <w:tcPr>
            <w:tcW w:w="900" w:type="dxa"/>
          </w:tcPr>
          <w:p>
            <w:pPr>
              <w:pStyle w:val="Compact"/>
              <w:jc w:val="left"/>
            </w:pPr>
            <w:r>
              <w:rPr>
                <w:sz w:val="15"/>
              </w:rPr>
              <w:t xml:space="preserve">2.3</w:t>
            </w:r>
          </w:p>
        </w:tc>
        <w:tc>
          <w:tcPr>
            <w:tcW w:w="900" w:type="dxa"/>
          </w:tcPr>
          <w:p>
            <w:pPr>
              <w:pStyle w:val="Compact"/>
              <w:jc w:val="left"/>
            </w:pPr>
          </w:p>
        </w:tc>
      </w:tr>
    </w:tbl>
    <w:p>
      <w:pPr>
        <w:pStyle w:val="Compact"/>
      </w:pPr>
    </w:p>
    <w:p>
      <w:pPr>
        <w:pStyle w:val="FirstParagraph"/>
      </w:pPr>
      <w:r>
        <w:t xml:space="preserve">Three things can be read off Table VI. The fit residuals of the nine candidates lie within 12 % of each other, so the file does not rank them; their peaks before calibration do. After calibration every candidate matches the peak, so the peak no longer ranks them and the waveform must. The </w:t>
      </w:r>
      <m:oMath>
        <m:r>
          <m:t xml:space="preserve">K</m:t>
        </m:r>
      </m:oMath>
      <w:r>
        <w:t xml:space="preserve"> = 4 and 5 candidates would have scored 2.3–3.5 % over the five widths against 8.3 % for the selected one; the selector cannot know this, and the difference is the price of selecting on one width.</w:t>
      </w:r>
    </w:p>
    <w:p>
      <w:pPr>
        <w:pStyle w:val="Heading1"/>
      </w:pPr>
      <w:r>
        <w:t xml:space="preserve">V. Verification</w:t>
      </w:r>
    </w:p>
    <w:p>
      <w:pPr>
        <w:pStyle w:val="FirstParagraph"/>
      </w:pPr>
      <w:r>
        <w:t xml:space="preserve">Two claims are verified separately: that the stage law, fitted to a complete transition only, predicts how the gate responds to a truncated pulse; and that the complete method, built from the file and one measurement, reproduces the pad voltage of stressed pulses.</w:t>
      </w:r>
    </w:p>
    <w:p>
      <w:pPr>
        <w:pStyle w:val="Heading2"/>
      </w:pPr>
      <w:r>
        <w:t xml:space="preserve">A. Gate level: the stage law extrapolates from full swing to truncated pulses</w:t>
      </w:r>
    </w:p>
    <w:p>
      <w:pPr>
        <w:pStyle w:val="FirstParagraph"/>
      </w:pPr>
      <w:r>
        <w:t xml:space="preserve">This test uses the internal gate node of the transistor netlist (n4 of ex2, vout7 of inv_chain) and is therefore not available to a user of the method; its purpose is to test (19). </w:t>
      </w:r>
      <m:oMath>
        <m:r>
          <m:t xml:space="preserve">K</m:t>
        </m:r>
      </m:oMath>
      <w:r>
        <w:t xml:space="preserve"> identical stages are fitted in the gate domain to the probed full-swing gate; the chain is then driven by the stressed input and compared with the probed stressed gate at five pulse widths, which correspond to pad amplitudes of about 50, 60, 70, 80 and 90 % of the settled swing. No stressed data enters the fit. The comparison is linear superposition of the node's own full-swing rise and fall responses, which is what any linear model of the predriver reduces to.</w:t>
      </w:r>
    </w:p>
    <w:p>
      <w:pPr>
        <w:pStyle w:val="TableCaption"/>
        <w:keepNext/>
      </w:pPr>
      <w:r>
        <w:t xml:space="preserve">Table VII: Peak of the stressed gate, measured against the stage law fitted at full swing only, and against linear superposition (pulse widths ex2 810–975 ps, inv_chain 104–135 ps)</w:t>
      </w:r>
    </w:p>
    <w:tbl>
      <w:tblPr>
        <w:tblStyle w:val="Table"/>
        <w:tblW w:type="dxa" w:w="9300"/>
        <w:tblBorders>
          <w:top w:val="single" w:sz="6" w:space="0" w:color="000000"/>
          <w:bottom w:val="single" w:sz="6" w:space="0" w:color="000000"/>
        </w:tblBorders>
        <w:tblLayout w:type="fixed"/>
        <w:tblLook w:firstRow="1" w:lastRow="0" w:firstColumn="0" w:lastColumn="0" w:noHBand="0" w:noVBand="0" w:val="0020"/>
      </w:tblPr>
      <w:tblGrid>
        <w:gridCol w:w="2700"/>
        <w:gridCol w:w="1150"/>
        <w:gridCol w:w="900"/>
        <w:gridCol w:w="900"/>
        <w:gridCol w:w="900"/>
        <w:gridCol w:w="1050"/>
        <w:gridCol w:w="1700"/>
      </w:tblGrid>
      <w:tr>
        <w:trPr>
          <w:cantSplit/>
          <w:tblHeader/>
        </w:trPr>
        <w:tc>
          <w:tcPr>
            <w:tcW w:w="2700" w:type="dxa"/>
          </w:tcPr>
          <w:p>
            <w:pPr>
              <w:pStyle w:val="Compact"/>
              <w:keepNext/>
              <w:jc w:val="left"/>
            </w:pPr>
            <w:r>
              <w:rPr>
                <w:b/>
                <w:sz w:val="18"/>
              </w:rPr>
              <w:t xml:space="preserve">Buffer, model</w:t>
            </w:r>
          </w:p>
        </w:tc>
        <w:tc>
          <w:tcPr>
            <w:tcW w:w="1150" w:type="dxa"/>
          </w:tcPr>
          <w:p>
            <w:pPr>
              <w:pStyle w:val="Compact"/>
              <w:keepNext/>
              <w:jc w:val="left"/>
            </w:pPr>
            <w:r>
              <w:rPr>
                <w:b/>
                <w:sz w:val="18"/>
              </w:rPr>
              <w:t xml:space="preserve">narrowest</w:t>
            </w:r>
          </w:p>
        </w:tc>
        <w:tc>
          <w:tcPr>
            <w:tcW w:w="900" w:type="dxa"/>
          </w:tcPr>
          <w:p>
            <w:pPr>
              <w:pStyle w:val="Compact"/>
              <w:keepNext/>
              <w:jc w:val="left"/>
            </w:pPr>
            <w:r>
              <w:rPr>
                <w:b/>
                <w:sz w:val="18"/>
              </w:rPr>
              <w:t xml:space="preserve">2nd</w:t>
            </w:r>
          </w:p>
        </w:tc>
        <w:tc>
          <w:tcPr>
            <w:tcW w:w="900" w:type="dxa"/>
          </w:tcPr>
          <w:p>
            <w:pPr>
              <w:pStyle w:val="Compact"/>
              <w:keepNext/>
              <w:jc w:val="left"/>
            </w:pPr>
            <w:r>
              <w:rPr>
                <w:b/>
                <w:sz w:val="18"/>
              </w:rPr>
              <w:t xml:space="preserve">3rd</w:t>
            </w:r>
          </w:p>
        </w:tc>
        <w:tc>
          <w:tcPr>
            <w:tcW w:w="900" w:type="dxa"/>
          </w:tcPr>
          <w:p>
            <w:pPr>
              <w:pStyle w:val="Compact"/>
              <w:keepNext/>
              <w:jc w:val="left"/>
            </w:pPr>
            <w:r>
              <w:rPr>
                <w:b/>
                <w:sz w:val="18"/>
              </w:rPr>
              <w:t xml:space="preserve">4th</w:t>
            </w:r>
          </w:p>
        </w:tc>
        <w:tc>
          <w:tcPr>
            <w:tcW w:w="1050" w:type="dxa"/>
          </w:tcPr>
          <w:p>
            <w:pPr>
              <w:pStyle w:val="Compact"/>
              <w:keepNext/>
              <w:jc w:val="left"/>
            </w:pPr>
            <w:r>
              <w:rPr>
                <w:b/>
                <w:sz w:val="18"/>
              </w:rPr>
              <w:t xml:space="preserve">widest</w:t>
            </w:r>
          </w:p>
        </w:tc>
        <w:tc>
          <w:tcPr>
            <w:tcW w:w="1700" w:type="dxa"/>
          </w:tcPr>
          <w:p>
            <w:pPr>
              <w:pStyle w:val="Compact"/>
              <w:keepNext/>
              <w:jc w:val="left"/>
            </w:pPr>
            <w:r>
              <w:rPr>
                <w:b/>
                <w:sz w:val="18"/>
              </w:rPr>
              <w:t xml:space="preserve">Full-swing residual</w:t>
            </w:r>
          </w:p>
        </w:tc>
      </w:tr>
      <w:tr>
        <w:trPr>
          <w:cantSplit/>
        </w:trPr>
        <w:tc>
          <w:tcPr>
            <w:tcW w:w="2700" w:type="dxa"/>
          </w:tcPr>
          <w:p>
            <w:pPr>
              <w:pStyle w:val="Compact"/>
              <w:jc w:val="left"/>
            </w:pPr>
            <w:r>
              <w:rPr>
                <w:sz w:val="18"/>
              </w:rPr>
              <w:t xml:space="preserve">ex2, measured</w:t>
            </w:r>
          </w:p>
        </w:tc>
        <w:tc>
          <w:tcPr>
            <w:tcW w:w="1150" w:type="dxa"/>
          </w:tcPr>
          <w:p>
            <w:pPr>
              <w:pStyle w:val="Compact"/>
              <w:jc w:val="left"/>
            </w:pPr>
            <w:r>
              <w:rPr>
                <w:sz w:val="18"/>
              </w:rPr>
              <w:t xml:space="preserve">0.758</w:t>
            </w:r>
          </w:p>
        </w:tc>
        <w:tc>
          <w:tcPr>
            <w:tcW w:w="900" w:type="dxa"/>
          </w:tcPr>
          <w:p>
            <w:pPr>
              <w:pStyle w:val="Compact"/>
              <w:jc w:val="left"/>
            </w:pPr>
            <w:r>
              <w:rPr>
                <w:sz w:val="18"/>
              </w:rPr>
              <w:t xml:space="preserve">0.797</w:t>
            </w:r>
          </w:p>
        </w:tc>
        <w:tc>
          <w:tcPr>
            <w:tcW w:w="900" w:type="dxa"/>
          </w:tcPr>
          <w:p>
            <w:pPr>
              <w:pStyle w:val="Compact"/>
              <w:jc w:val="left"/>
            </w:pPr>
            <w:r>
              <w:rPr>
                <w:sz w:val="18"/>
              </w:rPr>
              <w:t xml:space="preserve">0.838</w:t>
            </w:r>
          </w:p>
        </w:tc>
        <w:tc>
          <w:tcPr>
            <w:tcW w:w="900" w:type="dxa"/>
          </w:tcPr>
          <w:p>
            <w:pPr>
              <w:pStyle w:val="Compact"/>
              <w:jc w:val="left"/>
            </w:pPr>
            <w:r>
              <w:rPr>
                <w:sz w:val="18"/>
              </w:rPr>
              <w:t xml:space="preserve">0.880</w:t>
            </w:r>
          </w:p>
        </w:tc>
        <w:tc>
          <w:tcPr>
            <w:tcW w:w="1050" w:type="dxa"/>
          </w:tcPr>
          <w:p>
            <w:pPr>
              <w:pStyle w:val="Compact"/>
              <w:jc w:val="left"/>
            </w:pPr>
            <w:r>
              <w:rPr>
                <w:sz w:val="18"/>
              </w:rPr>
              <w:t xml:space="preserve">0.936</w:t>
            </w:r>
          </w:p>
        </w:tc>
        <w:tc>
          <w:tcPr>
            <w:tcW w:w="1700" w:type="dxa"/>
          </w:tcPr>
          <w:p>
            <w:pPr>
              <w:pStyle w:val="Compact"/>
              <w:jc w:val="left"/>
            </w:pPr>
          </w:p>
        </w:tc>
      </w:tr>
      <w:tr>
        <w:trPr>
          <w:cantSplit/>
        </w:trPr>
        <w:tc>
          <w:tcPr>
            <w:tcW w:w="2700" w:type="dxa"/>
          </w:tcPr>
          <w:p>
            <w:pPr>
              <w:pStyle w:val="Compact"/>
              <w:jc w:val="left"/>
            </w:pPr>
            <w:r>
              <w:rPr>
                <w:sz w:val="18"/>
              </w:rPr>
              <w:t xml:space="preserve">ex2, stage law, </w:t>
            </w:r>
            <m:oMath>
              <m:r>
                <m:t xml:space="preserve">K</m:t>
              </m:r>
            </m:oMath>
            <w:r>
              <w:rPr>
                <w:sz w:val="18"/>
              </w:rPr>
              <w:t xml:space="preserve"> = 3</w:t>
            </w:r>
          </w:p>
        </w:tc>
        <w:tc>
          <w:tcPr>
            <w:tcW w:w="1150" w:type="dxa"/>
          </w:tcPr>
          <w:p>
            <w:pPr>
              <w:pStyle w:val="Compact"/>
              <w:jc w:val="left"/>
            </w:pPr>
            <w:r>
              <w:rPr>
                <w:sz w:val="18"/>
              </w:rPr>
              <w:t xml:space="preserve">0.756</w:t>
            </w:r>
          </w:p>
        </w:tc>
        <w:tc>
          <w:tcPr>
            <w:tcW w:w="900" w:type="dxa"/>
          </w:tcPr>
          <w:p>
            <w:pPr>
              <w:pStyle w:val="Compact"/>
              <w:jc w:val="left"/>
            </w:pPr>
            <w:r>
              <w:rPr>
                <w:sz w:val="18"/>
              </w:rPr>
              <w:t xml:space="preserve">0.782</w:t>
            </w:r>
          </w:p>
        </w:tc>
        <w:tc>
          <w:tcPr>
            <w:tcW w:w="900" w:type="dxa"/>
          </w:tcPr>
          <w:p>
            <w:pPr>
              <w:pStyle w:val="Compact"/>
              <w:jc w:val="left"/>
            </w:pPr>
            <w:r>
              <w:rPr>
                <w:sz w:val="18"/>
              </w:rPr>
              <w:t xml:space="preserve">0.813</w:t>
            </w:r>
          </w:p>
        </w:tc>
        <w:tc>
          <w:tcPr>
            <w:tcW w:w="900" w:type="dxa"/>
          </w:tcPr>
          <w:p>
            <w:pPr>
              <w:pStyle w:val="Compact"/>
              <w:jc w:val="left"/>
            </w:pPr>
            <w:r>
              <w:rPr>
                <w:sz w:val="18"/>
              </w:rPr>
              <w:t xml:space="preserve">0.847</w:t>
            </w:r>
          </w:p>
        </w:tc>
        <w:tc>
          <w:tcPr>
            <w:tcW w:w="1050" w:type="dxa"/>
          </w:tcPr>
          <w:p>
            <w:pPr>
              <w:pStyle w:val="Compact"/>
              <w:jc w:val="left"/>
            </w:pPr>
            <w:r>
              <w:rPr>
                <w:sz w:val="18"/>
              </w:rPr>
              <w:t xml:space="preserve">0.898</w:t>
            </w:r>
          </w:p>
        </w:tc>
        <w:tc>
          <w:tcPr>
            <w:tcW w:w="1700" w:type="dxa"/>
          </w:tcPr>
          <w:p>
            <w:pPr>
              <w:pStyle w:val="Compact"/>
              <w:jc w:val="left"/>
            </w:pPr>
            <w:r>
              <w:rPr>
                <w:sz w:val="18"/>
              </w:rPr>
              <w:t xml:space="preserve">0.0066</w:t>
            </w:r>
          </w:p>
        </w:tc>
      </w:tr>
      <w:tr>
        <w:trPr>
          <w:cantSplit/>
        </w:trPr>
        <w:tc>
          <w:tcPr>
            <w:tcW w:w="2700" w:type="dxa"/>
          </w:tcPr>
          <w:p>
            <w:pPr>
              <w:pStyle w:val="Compact"/>
              <w:jc w:val="left"/>
            </w:pPr>
            <w:r>
              <w:rPr>
                <w:sz w:val="18"/>
              </w:rPr>
              <w:t xml:space="preserve">ex2, stage law, </w:t>
            </w:r>
            <m:oMath>
              <m:r>
                <m:t xml:space="preserve">K</m:t>
              </m:r>
            </m:oMath>
            <w:r>
              <w:rPr>
                <w:sz w:val="18"/>
              </w:rPr>
              <w:t xml:space="preserve"> = 2</w:t>
            </w:r>
          </w:p>
        </w:tc>
        <w:tc>
          <w:tcPr>
            <w:tcW w:w="1150" w:type="dxa"/>
          </w:tcPr>
          <w:p>
            <w:pPr>
              <w:pStyle w:val="Compact"/>
              <w:jc w:val="left"/>
            </w:pPr>
            <w:r>
              <w:rPr>
                <w:sz w:val="18"/>
              </w:rPr>
              <w:t xml:space="preserve">0.303</w:t>
            </w:r>
          </w:p>
        </w:tc>
        <w:tc>
          <w:tcPr>
            <w:tcW w:w="900" w:type="dxa"/>
          </w:tcPr>
          <w:p>
            <w:pPr>
              <w:pStyle w:val="Compact"/>
              <w:jc w:val="left"/>
            </w:pPr>
            <w:r>
              <w:rPr>
                <w:sz w:val="18"/>
              </w:rPr>
              <w:t xml:space="preserve">0.332</w:t>
            </w:r>
          </w:p>
        </w:tc>
        <w:tc>
          <w:tcPr>
            <w:tcW w:w="900" w:type="dxa"/>
          </w:tcPr>
          <w:p>
            <w:pPr>
              <w:pStyle w:val="Compact"/>
              <w:jc w:val="left"/>
            </w:pPr>
            <w:r>
              <w:rPr>
                <w:sz w:val="18"/>
              </w:rPr>
              <w:t xml:space="preserve">0.372</w:t>
            </w:r>
          </w:p>
        </w:tc>
        <w:tc>
          <w:tcPr>
            <w:tcW w:w="900" w:type="dxa"/>
          </w:tcPr>
          <w:p>
            <w:pPr>
              <w:pStyle w:val="Compact"/>
              <w:jc w:val="left"/>
            </w:pPr>
            <w:r>
              <w:rPr>
                <w:sz w:val="18"/>
              </w:rPr>
              <w:t xml:space="preserve">0.426</w:t>
            </w:r>
          </w:p>
        </w:tc>
        <w:tc>
          <w:tcPr>
            <w:tcW w:w="1050" w:type="dxa"/>
          </w:tcPr>
          <w:p>
            <w:pPr>
              <w:pStyle w:val="Compact"/>
              <w:jc w:val="left"/>
            </w:pPr>
            <w:r>
              <w:rPr>
                <w:sz w:val="18"/>
              </w:rPr>
              <w:t xml:space="preserve">0.538</w:t>
            </w:r>
          </w:p>
        </w:tc>
        <w:tc>
          <w:tcPr>
            <w:tcW w:w="1700" w:type="dxa"/>
          </w:tcPr>
          <w:p>
            <w:pPr>
              <w:pStyle w:val="Compact"/>
              <w:jc w:val="left"/>
            </w:pPr>
          </w:p>
        </w:tc>
      </w:tr>
      <w:tr>
        <w:trPr>
          <w:cantSplit/>
        </w:trPr>
        <w:tc>
          <w:tcPr>
            <w:tcW w:w="2700" w:type="dxa"/>
          </w:tcPr>
          <w:p>
            <w:pPr>
              <w:pStyle w:val="Compact"/>
              <w:jc w:val="left"/>
            </w:pPr>
            <w:r>
              <w:rPr>
                <w:sz w:val="18"/>
              </w:rPr>
              <w:t xml:space="preserve">ex2, linear superposition</w:t>
            </w:r>
          </w:p>
        </w:tc>
        <w:tc>
          <w:tcPr>
            <w:tcW w:w="1150" w:type="dxa"/>
          </w:tcPr>
          <w:p>
            <w:pPr>
              <w:pStyle w:val="Compact"/>
              <w:jc w:val="left"/>
            </w:pPr>
            <w:r>
              <w:rPr>
                <w:sz w:val="18"/>
              </w:rPr>
              <w:t xml:space="preserve">0.926</w:t>
            </w:r>
          </w:p>
        </w:tc>
        <w:tc>
          <w:tcPr>
            <w:tcW w:w="900" w:type="dxa"/>
          </w:tcPr>
          <w:p>
            <w:pPr>
              <w:pStyle w:val="Compact"/>
              <w:jc w:val="left"/>
            </w:pPr>
            <w:r>
              <w:rPr>
                <w:sz w:val="18"/>
              </w:rPr>
              <w:t xml:space="preserve">0.932</w:t>
            </w:r>
          </w:p>
        </w:tc>
        <w:tc>
          <w:tcPr>
            <w:tcW w:w="900" w:type="dxa"/>
          </w:tcPr>
          <w:p>
            <w:pPr>
              <w:pStyle w:val="Compact"/>
              <w:jc w:val="left"/>
            </w:pPr>
            <w:r>
              <w:rPr>
                <w:sz w:val="18"/>
              </w:rPr>
              <w:t xml:space="preserve">0.940</w:t>
            </w:r>
          </w:p>
        </w:tc>
        <w:tc>
          <w:tcPr>
            <w:tcW w:w="900" w:type="dxa"/>
          </w:tcPr>
          <w:p>
            <w:pPr>
              <w:pStyle w:val="Compact"/>
              <w:jc w:val="left"/>
            </w:pPr>
            <w:r>
              <w:rPr>
                <w:sz w:val="18"/>
              </w:rPr>
              <w:t xml:space="preserve">0.951</w:t>
            </w:r>
          </w:p>
        </w:tc>
        <w:tc>
          <w:tcPr>
            <w:tcW w:w="1050" w:type="dxa"/>
          </w:tcPr>
          <w:p>
            <w:pPr>
              <w:pStyle w:val="Compact"/>
              <w:jc w:val="left"/>
            </w:pPr>
            <w:r>
              <w:rPr>
                <w:sz w:val="18"/>
              </w:rPr>
              <w:t xml:space="preserve">0.968</w:t>
            </w:r>
          </w:p>
        </w:tc>
        <w:tc>
          <w:tcPr>
            <w:tcW w:w="1700" w:type="dxa"/>
          </w:tcPr>
          <w:p>
            <w:pPr>
              <w:pStyle w:val="Compact"/>
              <w:jc w:val="left"/>
            </w:pPr>
          </w:p>
        </w:tc>
      </w:tr>
      <w:tr>
        <w:trPr>
          <w:cantSplit/>
        </w:trPr>
        <w:tc>
          <w:tcPr>
            <w:tcW w:w="2700" w:type="dxa"/>
          </w:tcPr>
          <w:p>
            <w:pPr>
              <w:pStyle w:val="Compact"/>
              <w:jc w:val="left"/>
            </w:pPr>
            <w:r>
              <w:rPr>
                <w:sz w:val="18"/>
              </w:rPr>
              <w:t xml:space="preserve">inv_chain, measured</w:t>
            </w:r>
          </w:p>
        </w:tc>
        <w:tc>
          <w:tcPr>
            <w:tcW w:w="1150" w:type="dxa"/>
          </w:tcPr>
          <w:p>
            <w:pPr>
              <w:pStyle w:val="Compact"/>
              <w:jc w:val="left"/>
            </w:pPr>
            <w:r>
              <w:rPr>
                <w:sz w:val="18"/>
              </w:rPr>
              <w:t xml:space="preserve">0.879</w:t>
            </w:r>
          </w:p>
        </w:tc>
        <w:tc>
          <w:tcPr>
            <w:tcW w:w="900" w:type="dxa"/>
          </w:tcPr>
          <w:p>
            <w:pPr>
              <w:pStyle w:val="Compact"/>
              <w:jc w:val="left"/>
            </w:pPr>
            <w:r>
              <w:rPr>
                <w:sz w:val="18"/>
              </w:rPr>
              <w:t xml:space="preserve">0.935</w:t>
            </w:r>
          </w:p>
        </w:tc>
        <w:tc>
          <w:tcPr>
            <w:tcW w:w="900" w:type="dxa"/>
          </w:tcPr>
          <w:p>
            <w:pPr>
              <w:pStyle w:val="Compact"/>
              <w:jc w:val="left"/>
            </w:pPr>
            <w:r>
              <w:rPr>
                <w:sz w:val="18"/>
              </w:rPr>
              <w:t xml:space="preserve">0.972</w:t>
            </w:r>
          </w:p>
        </w:tc>
        <w:tc>
          <w:tcPr>
            <w:tcW w:w="900" w:type="dxa"/>
          </w:tcPr>
          <w:p>
            <w:pPr>
              <w:pStyle w:val="Compact"/>
              <w:jc w:val="left"/>
            </w:pPr>
            <w:r>
              <w:rPr>
                <w:sz w:val="18"/>
              </w:rPr>
              <w:t xml:space="preserve">0.992</w:t>
            </w:r>
          </w:p>
        </w:tc>
        <w:tc>
          <w:tcPr>
            <w:tcW w:w="1050" w:type="dxa"/>
          </w:tcPr>
          <w:p>
            <w:pPr>
              <w:pStyle w:val="Compact"/>
              <w:jc w:val="left"/>
            </w:pPr>
            <w:r>
              <w:rPr>
                <w:sz w:val="18"/>
              </w:rPr>
              <w:t xml:space="preserve">1.003</w:t>
            </w:r>
          </w:p>
        </w:tc>
        <w:tc>
          <w:tcPr>
            <w:tcW w:w="1700" w:type="dxa"/>
          </w:tcPr>
          <w:p>
            <w:pPr>
              <w:pStyle w:val="Compact"/>
              <w:jc w:val="left"/>
            </w:pPr>
          </w:p>
        </w:tc>
      </w:tr>
      <w:tr>
        <w:trPr>
          <w:cantSplit/>
        </w:trPr>
        <w:tc>
          <w:tcPr>
            <w:tcW w:w="2700" w:type="dxa"/>
          </w:tcPr>
          <w:p>
            <w:pPr>
              <w:pStyle w:val="Compact"/>
              <w:jc w:val="left"/>
            </w:pPr>
            <w:r>
              <w:rPr>
                <w:sz w:val="18"/>
              </w:rPr>
              <w:t xml:space="preserve">inv_chain, stage law, </w:t>
            </w:r>
            <m:oMath>
              <m:r>
                <m:t xml:space="preserve">K</m:t>
              </m:r>
            </m:oMath>
            <w:r>
              <w:rPr>
                <w:sz w:val="18"/>
              </w:rPr>
              <w:t xml:space="preserve"> = 7</w:t>
            </w:r>
          </w:p>
        </w:tc>
        <w:tc>
          <w:tcPr>
            <w:tcW w:w="1150" w:type="dxa"/>
          </w:tcPr>
          <w:p>
            <w:pPr>
              <w:pStyle w:val="Compact"/>
              <w:jc w:val="left"/>
            </w:pPr>
            <w:r>
              <w:rPr>
                <w:sz w:val="18"/>
              </w:rPr>
              <w:t xml:space="preserve">0.701</w:t>
            </w:r>
          </w:p>
        </w:tc>
        <w:tc>
          <w:tcPr>
            <w:tcW w:w="900" w:type="dxa"/>
          </w:tcPr>
          <w:p>
            <w:pPr>
              <w:pStyle w:val="Compact"/>
              <w:jc w:val="left"/>
            </w:pPr>
            <w:r>
              <w:rPr>
                <w:sz w:val="18"/>
              </w:rPr>
              <w:t xml:space="preserve">0.832</w:t>
            </w:r>
          </w:p>
        </w:tc>
        <w:tc>
          <w:tcPr>
            <w:tcW w:w="900" w:type="dxa"/>
          </w:tcPr>
          <w:p>
            <w:pPr>
              <w:pStyle w:val="Compact"/>
              <w:jc w:val="left"/>
            </w:pPr>
            <w:r>
              <w:rPr>
                <w:sz w:val="18"/>
              </w:rPr>
              <w:t xml:space="preserve">0.913</w:t>
            </w:r>
          </w:p>
        </w:tc>
        <w:tc>
          <w:tcPr>
            <w:tcW w:w="900" w:type="dxa"/>
          </w:tcPr>
          <w:p>
            <w:pPr>
              <w:pStyle w:val="Compact"/>
              <w:jc w:val="left"/>
            </w:pPr>
            <w:r>
              <w:rPr>
                <w:sz w:val="18"/>
              </w:rPr>
              <w:t xml:space="preserve">0.961</w:t>
            </w:r>
          </w:p>
        </w:tc>
        <w:tc>
          <w:tcPr>
            <w:tcW w:w="1050" w:type="dxa"/>
          </w:tcPr>
          <w:p>
            <w:pPr>
              <w:pStyle w:val="Compact"/>
              <w:jc w:val="left"/>
            </w:pPr>
            <w:r>
              <w:rPr>
                <w:sz w:val="18"/>
              </w:rPr>
              <w:t xml:space="preserve">0.987</w:t>
            </w:r>
          </w:p>
        </w:tc>
        <w:tc>
          <w:tcPr>
            <w:tcW w:w="1700" w:type="dxa"/>
          </w:tcPr>
          <w:p>
            <w:pPr>
              <w:pStyle w:val="Compact"/>
              <w:jc w:val="left"/>
            </w:pPr>
            <w:r>
              <w:rPr>
                <w:sz w:val="18"/>
              </w:rPr>
              <w:t xml:space="preserve">0.0032</w:t>
            </w:r>
          </w:p>
        </w:tc>
      </w:tr>
      <w:tr>
        <w:trPr>
          <w:cantSplit/>
        </w:trPr>
        <w:tc>
          <w:tcPr>
            <w:tcW w:w="2700" w:type="dxa"/>
          </w:tcPr>
          <w:p>
            <w:pPr>
              <w:pStyle w:val="Compact"/>
              <w:jc w:val="left"/>
            </w:pPr>
            <w:r>
              <w:rPr>
                <w:sz w:val="18"/>
              </w:rPr>
              <w:t xml:space="preserve">inv_chain, stage law, </w:t>
            </w:r>
            <m:oMath>
              <m:r>
                <m:t xml:space="preserve">K</m:t>
              </m:r>
            </m:oMath>
            <w:r>
              <w:rPr>
                <w:sz w:val="18"/>
              </w:rPr>
              <w:t xml:space="preserve"> = 5</w:t>
            </w:r>
          </w:p>
        </w:tc>
        <w:tc>
          <w:tcPr>
            <w:tcW w:w="1150" w:type="dxa"/>
          </w:tcPr>
          <w:p>
            <w:pPr>
              <w:pStyle w:val="Compact"/>
              <w:jc w:val="left"/>
            </w:pPr>
            <w:r>
              <w:rPr>
                <w:sz w:val="18"/>
              </w:rPr>
              <w:t xml:space="preserve">0.000</w:t>
            </w:r>
          </w:p>
        </w:tc>
        <w:tc>
          <w:tcPr>
            <w:tcW w:w="900" w:type="dxa"/>
          </w:tcPr>
          <w:p>
            <w:pPr>
              <w:pStyle w:val="Compact"/>
              <w:jc w:val="left"/>
            </w:pPr>
            <w:r>
              <w:rPr>
                <w:sz w:val="18"/>
              </w:rPr>
              <w:t xml:space="preserve">0.000</w:t>
            </w:r>
          </w:p>
        </w:tc>
        <w:tc>
          <w:tcPr>
            <w:tcW w:w="900" w:type="dxa"/>
          </w:tcPr>
          <w:p>
            <w:pPr>
              <w:pStyle w:val="Compact"/>
              <w:jc w:val="left"/>
            </w:pPr>
            <w:r>
              <w:rPr>
                <w:sz w:val="18"/>
              </w:rPr>
              <w:t xml:space="preserve">0.000</w:t>
            </w:r>
          </w:p>
        </w:tc>
        <w:tc>
          <w:tcPr>
            <w:tcW w:w="900" w:type="dxa"/>
          </w:tcPr>
          <w:p>
            <w:pPr>
              <w:pStyle w:val="Compact"/>
              <w:jc w:val="left"/>
            </w:pPr>
            <w:r>
              <w:rPr>
                <w:sz w:val="18"/>
              </w:rPr>
              <w:t xml:space="preserve">0.000</w:t>
            </w:r>
          </w:p>
        </w:tc>
        <w:tc>
          <w:tcPr>
            <w:tcW w:w="1050" w:type="dxa"/>
          </w:tcPr>
          <w:p>
            <w:pPr>
              <w:pStyle w:val="Compact"/>
              <w:jc w:val="left"/>
            </w:pPr>
            <w:r>
              <w:rPr>
                <w:sz w:val="18"/>
              </w:rPr>
              <w:t xml:space="preserve">0.810</w:t>
            </w:r>
          </w:p>
        </w:tc>
        <w:tc>
          <w:tcPr>
            <w:tcW w:w="1700" w:type="dxa"/>
          </w:tcPr>
          <w:p>
            <w:pPr>
              <w:pStyle w:val="Compact"/>
              <w:jc w:val="left"/>
            </w:pPr>
            <w:r>
              <w:rPr>
                <w:sz w:val="18"/>
              </w:rPr>
              <w:t xml:space="preserve">0.0037</w:t>
            </w:r>
          </w:p>
        </w:tc>
      </w:tr>
      <w:tr>
        <w:trPr>
          <w:cantSplit/>
        </w:trPr>
        <w:tc>
          <w:tcPr>
            <w:tcW w:w="2700" w:type="dxa"/>
          </w:tcPr>
          <w:p>
            <w:pPr>
              <w:pStyle w:val="Compact"/>
              <w:jc w:val="left"/>
            </w:pPr>
            <w:r>
              <w:rPr>
                <w:sz w:val="18"/>
              </w:rPr>
              <w:t xml:space="preserve">inv_chain, stage law, </w:t>
            </w:r>
            <m:oMath>
              <m:r>
                <m:t xml:space="preserve">K</m:t>
              </m:r>
            </m:oMath>
            <w:r>
              <w:rPr>
                <w:sz w:val="18"/>
              </w:rPr>
              <w:t xml:space="preserve"> = 3</w:t>
            </w:r>
          </w:p>
        </w:tc>
        <w:tc>
          <w:tcPr>
            <w:tcW w:w="1150" w:type="dxa"/>
          </w:tcPr>
          <w:p>
            <w:pPr>
              <w:pStyle w:val="Compact"/>
              <w:jc w:val="left"/>
            </w:pPr>
            <w:r>
              <w:rPr>
                <w:sz w:val="18"/>
              </w:rPr>
              <w:t xml:space="preserve">0.000</w:t>
            </w:r>
          </w:p>
        </w:tc>
        <w:tc>
          <w:tcPr>
            <w:tcW w:w="900" w:type="dxa"/>
          </w:tcPr>
          <w:p>
            <w:pPr>
              <w:pStyle w:val="Compact"/>
              <w:jc w:val="left"/>
            </w:pPr>
            <w:r>
              <w:rPr>
                <w:sz w:val="18"/>
              </w:rPr>
              <w:t xml:space="preserve">0.000</w:t>
            </w:r>
          </w:p>
        </w:tc>
        <w:tc>
          <w:tcPr>
            <w:tcW w:w="900" w:type="dxa"/>
          </w:tcPr>
          <w:p>
            <w:pPr>
              <w:pStyle w:val="Compact"/>
              <w:jc w:val="left"/>
            </w:pPr>
            <w:r>
              <w:rPr>
                <w:sz w:val="18"/>
              </w:rPr>
              <w:t xml:space="preserve">0.000</w:t>
            </w:r>
          </w:p>
        </w:tc>
        <w:tc>
          <w:tcPr>
            <w:tcW w:w="900" w:type="dxa"/>
          </w:tcPr>
          <w:p>
            <w:pPr>
              <w:pStyle w:val="Compact"/>
              <w:jc w:val="left"/>
            </w:pPr>
            <w:r>
              <w:rPr>
                <w:sz w:val="18"/>
              </w:rPr>
              <w:t xml:space="preserve">0.000</w:t>
            </w:r>
          </w:p>
        </w:tc>
        <w:tc>
          <w:tcPr>
            <w:tcW w:w="1050" w:type="dxa"/>
          </w:tcPr>
          <w:p>
            <w:pPr>
              <w:pStyle w:val="Compact"/>
              <w:jc w:val="left"/>
            </w:pPr>
            <w:r>
              <w:rPr>
                <w:sz w:val="18"/>
              </w:rPr>
              <w:t xml:space="preserve">0.000</w:t>
            </w:r>
          </w:p>
        </w:tc>
        <w:tc>
          <w:tcPr>
            <w:tcW w:w="1700" w:type="dxa"/>
          </w:tcPr>
          <w:p>
            <w:pPr>
              <w:pStyle w:val="Compact"/>
              <w:jc w:val="left"/>
            </w:pPr>
            <w:r>
              <w:rPr>
                <w:sz w:val="18"/>
              </w:rPr>
              <w:t xml:space="preserve">0.0141</w:t>
            </w:r>
          </w:p>
        </w:tc>
      </w:tr>
      <w:tr>
        <w:trPr>
          <w:cantSplit/>
        </w:trPr>
        <w:tc>
          <w:tcPr>
            <w:tcW w:w="2700" w:type="dxa"/>
          </w:tcPr>
          <w:p>
            <w:pPr>
              <w:pStyle w:val="Compact"/>
              <w:jc w:val="left"/>
            </w:pPr>
            <w:r>
              <w:rPr>
                <w:sz w:val="18"/>
              </w:rPr>
              <w:t xml:space="preserve">inv_chain, stage law, </w:t>
            </w:r>
            <m:oMath>
              <m:r>
                <m:t xml:space="preserve">K</m:t>
              </m:r>
            </m:oMath>
            <w:r>
              <w:rPr>
                <w:sz w:val="18"/>
              </w:rPr>
              <w:t xml:space="preserve"> = 9</w:t>
            </w:r>
          </w:p>
        </w:tc>
        <w:tc>
          <w:tcPr>
            <w:tcW w:w="1150" w:type="dxa"/>
          </w:tcPr>
          <w:p>
            <w:pPr>
              <w:pStyle w:val="Compact"/>
              <w:jc w:val="left"/>
            </w:pPr>
            <w:r>
              <w:rPr>
                <w:sz w:val="18"/>
              </w:rPr>
              <w:t xml:space="preserve">0.942</w:t>
            </w:r>
          </w:p>
        </w:tc>
        <w:tc>
          <w:tcPr>
            <w:tcW w:w="900" w:type="dxa"/>
          </w:tcPr>
          <w:p>
            <w:pPr>
              <w:pStyle w:val="Compact"/>
              <w:jc w:val="left"/>
            </w:pPr>
            <w:r>
              <w:rPr>
                <w:sz w:val="18"/>
              </w:rPr>
              <w:t xml:space="preserve">0.954</w:t>
            </w:r>
          </w:p>
        </w:tc>
        <w:tc>
          <w:tcPr>
            <w:tcW w:w="900" w:type="dxa"/>
          </w:tcPr>
          <w:p>
            <w:pPr>
              <w:pStyle w:val="Compact"/>
              <w:jc w:val="left"/>
            </w:pPr>
            <w:r>
              <w:rPr>
                <w:sz w:val="18"/>
              </w:rPr>
              <w:t xml:space="preserve">0.967</w:t>
            </w:r>
          </w:p>
        </w:tc>
        <w:tc>
          <w:tcPr>
            <w:tcW w:w="900" w:type="dxa"/>
          </w:tcPr>
          <w:p>
            <w:pPr>
              <w:pStyle w:val="Compact"/>
              <w:jc w:val="left"/>
            </w:pPr>
            <w:r>
              <w:rPr>
                <w:sz w:val="18"/>
              </w:rPr>
              <w:t xml:space="preserve">0.981</w:t>
            </w:r>
          </w:p>
        </w:tc>
        <w:tc>
          <w:tcPr>
            <w:tcW w:w="1050" w:type="dxa"/>
          </w:tcPr>
          <w:p>
            <w:pPr>
              <w:pStyle w:val="Compact"/>
              <w:jc w:val="left"/>
            </w:pPr>
            <w:r>
              <w:rPr>
                <w:sz w:val="18"/>
              </w:rPr>
              <w:t xml:space="preserve">0.992</w:t>
            </w:r>
          </w:p>
        </w:tc>
        <w:tc>
          <w:tcPr>
            <w:tcW w:w="1700" w:type="dxa"/>
          </w:tcPr>
          <w:p>
            <w:pPr>
              <w:pStyle w:val="Compact"/>
              <w:jc w:val="left"/>
            </w:pPr>
            <w:r>
              <w:rPr>
                <w:sz w:val="18"/>
              </w:rPr>
              <w:t xml:space="preserve">0.0032</w:t>
            </w:r>
          </w:p>
        </w:tc>
      </w:tr>
      <w:tr>
        <w:trPr>
          <w:cantSplit/>
        </w:trPr>
        <w:tc>
          <w:tcPr>
            <w:tcW w:w="2700" w:type="dxa"/>
          </w:tcPr>
          <w:p>
            <w:pPr>
              <w:pStyle w:val="Compact"/>
              <w:jc w:val="left"/>
            </w:pPr>
            <w:r>
              <w:rPr>
                <w:sz w:val="18"/>
              </w:rPr>
              <w:t xml:space="preserve">inv_chain, linear superposition</w:t>
            </w:r>
          </w:p>
        </w:tc>
        <w:tc>
          <w:tcPr>
            <w:tcW w:w="1150" w:type="dxa"/>
          </w:tcPr>
          <w:p>
            <w:pPr>
              <w:pStyle w:val="Compact"/>
              <w:jc w:val="left"/>
            </w:pPr>
            <w:r>
              <w:rPr>
                <w:sz w:val="18"/>
              </w:rPr>
              <w:t xml:space="preserve">0.999</w:t>
            </w:r>
          </w:p>
        </w:tc>
        <w:tc>
          <w:tcPr>
            <w:tcW w:w="900" w:type="dxa"/>
          </w:tcPr>
          <w:p>
            <w:pPr>
              <w:pStyle w:val="Compact"/>
              <w:jc w:val="left"/>
            </w:pPr>
            <w:r>
              <w:rPr>
                <w:sz w:val="18"/>
              </w:rPr>
              <w:t xml:space="preserve">1.000</w:t>
            </w:r>
          </w:p>
        </w:tc>
        <w:tc>
          <w:tcPr>
            <w:tcW w:w="900" w:type="dxa"/>
          </w:tcPr>
          <w:p>
            <w:pPr>
              <w:pStyle w:val="Compact"/>
              <w:jc w:val="left"/>
            </w:pPr>
            <w:r>
              <w:rPr>
                <w:sz w:val="18"/>
              </w:rPr>
              <w:t xml:space="preserve">1.002</w:t>
            </w:r>
          </w:p>
        </w:tc>
        <w:tc>
          <w:tcPr>
            <w:tcW w:w="900" w:type="dxa"/>
          </w:tcPr>
          <w:p>
            <w:pPr>
              <w:pStyle w:val="Compact"/>
              <w:jc w:val="left"/>
            </w:pPr>
            <w:r>
              <w:rPr>
                <w:sz w:val="18"/>
              </w:rPr>
              <w:t xml:space="preserve">1.005</w:t>
            </w:r>
          </w:p>
        </w:tc>
        <w:tc>
          <w:tcPr>
            <w:tcW w:w="1050" w:type="dxa"/>
          </w:tcPr>
          <w:p>
            <w:pPr>
              <w:pStyle w:val="Compact"/>
              <w:jc w:val="left"/>
            </w:pPr>
            <w:r>
              <w:rPr>
                <w:sz w:val="18"/>
              </w:rPr>
              <w:t xml:space="preserve">1.008</w:t>
            </w:r>
          </w:p>
        </w:tc>
        <w:tc>
          <w:tcPr>
            <w:tcW w:w="1700" w:type="dxa"/>
          </w:tcPr>
          <w:p>
            <w:pPr>
              <w:pStyle w:val="Compact"/>
              <w:jc w:val="left"/>
            </w:pPr>
          </w:p>
        </w:tc>
      </w:tr>
    </w:tbl>
    <w:p>
      <w:pPr>
        <w:pStyle w:val="Compact"/>
      </w:pPr>
    </w:p>
    <w:p>
      <w:pPr>
        <w:pStyle w:val="BodyText"/>
      </w:pPr>
      <w:r>
        <w:t xml:space="preserve">On ex2 the stage law with the netlist stage count is within 0.04 of the measured peak at every width, where linear superposition is off by 0.17 at the narrowest pulse (Table VII, Fig. 15(a)); </w:t>
      </w:r>
      <m:oMath>
        <m:r>
          <m:t xml:space="preserve">K</m:t>
        </m:r>
        <m:r>
          <m:rPr>
            <m:sty m:val="p"/>
          </m:rPr>
          <m:t xml:space="preserve">=</m:t>
        </m:r>
        <m:r>
          <m:rPr>
            <m:sty m:val="p"/>
          </m:rPr>
          <m:t xml:space="preserve">2</m:t>
        </m:r>
      </m:oMath>
      <w:r>
        <w:t xml:space="preserve"> gives 0.30–0.54, far below the measurement. On inv_chain the stage law follows the measurement at the three widest pulses (within 0.06) and undershoots at the two narrowest, by 0.18 at 104 ps, the partial-drive regime in which approximation A2 is active (Section VI). The other rows show the consequence of the flat residual of Section IV-D: with </w:t>
      </w:r>
      <m:oMath>
        <m:r>
          <m:t xml:space="preserve">K</m:t>
        </m:r>
        <m:r>
          <m:rPr>
            <m:sty m:val="p"/>
          </m:rPr>
          <m:t xml:space="preserve">=</m:t>
        </m:r>
        <m:r>
          <m:rPr>
            <m:sty m:val="p"/>
          </m:rPr>
          <m:t xml:space="preserve">5</m:t>
        </m:r>
      </m:oMath>
      <w:r>
        <w:t xml:space="preserve"> the chain extinguishes 4 of the five stressed pulses and with </w:t>
      </w:r>
      <m:oMath>
        <m:r>
          <m:t xml:space="preserve">K</m:t>
        </m:r>
        <m:r>
          <m:rPr>
            <m:sty m:val="p"/>
          </m:rPr>
          <m:t xml:space="preserve">=</m:t>
        </m:r>
        <m:r>
          <m:rPr>
            <m:sty m:val="p"/>
          </m:rPr>
          <m:t xml:space="preserve">3</m:t>
        </m:r>
      </m:oMath>
      <w:r>
        <w:t xml:space="preserve"> it extinguishes 5, at full-swing residuals that the file cannot separate from that of </w:t>
      </w:r>
      <m:oMath>
        <m:r>
          <m:t xml:space="preserve">K</m:t>
        </m:r>
        <m:r>
          <m:rPr>
            <m:sty m:val="p"/>
          </m:rPr>
          <m:t xml:space="preserve">=</m:t>
        </m:r>
        <m:r>
          <m:rPr>
            <m:sty m:val="p"/>
          </m:rPr>
          <m:t xml:space="preserve">7</m:t>
        </m:r>
      </m:oMath>
      <w:r>
        <w:t xml:space="preserve">; with </w:t>
      </w:r>
      <m:oMath>
        <m:r>
          <m:t xml:space="preserve">K</m:t>
        </m:r>
        <m:r>
          <m:rPr>
            <m:sty m:val="p"/>
          </m:rPr>
          <m:t xml:space="preserve">=</m:t>
        </m:r>
        <m:r>
          <m:rPr>
            <m:sty m:val="p"/>
          </m:rPr>
          <m:t xml:space="preserve">9</m:t>
        </m:r>
      </m:oMath>
      <w:r>
        <w:t xml:space="preserve"> the pulse passes almost unattenuated. A control establishes that the nonlinearity is a property of the buffers and not of the fit: on io_buf, for pulses of 1505–2354 ps, every probed predriver node and the pad follow linear superposition (pad peak 0.373 measured against 0.371 predicted), whereas the same test fails on the output gate of ex2 (0.758 against 0.926) and at the pad of inv_chain (0.490 against 0.853).</w:t>
      </w:r>
    </w:p>
    <w:p>
      <w:pPr>
        <w:pStyle w:val="CaptionedFigure"/>
        <w:jc w:val="center"/>
      </w:pPr>
      <w:r>
        <w:drawing>
          <wp:inline distT="0" distB="0" distL="0" distR="0">
            <wp:extent cx="5669280" cy="3673164"/>
            <wp:docPr id="115" name="Figure 15"/>
            <wp:cNvGraphicFramePr>
              <a:graphicFrameLocks noChangeAspect="1"/>
            </wp:cNvGraphicFramePr>
            <a:graphic>
              <a:graphicData uri="http://schemas.openxmlformats.org/drawingml/2006/picture">
                <pic:pic>
                  <pic:nvPicPr>
                    <pic:cNvPr id="115" name="fig15.png"/>
                    <pic:cNvPicPr/>
                  </pic:nvPicPr>
                  <pic:blipFill>
                    <a:blip r:embed="rIdFig15"/>
                    <a:stretch>
                      <a:fillRect/>
                    </a:stretch>
                  </pic:blipFill>
                  <pic:spPr>
                    <a:xfrm>
                      <a:off x="0" y="0"/>
                      <a:ext cx="5669280" cy="3673164"/>
                    </a:xfrm>
                    <a:prstGeom prst="rect">
                      <a:avLst/>
                    </a:prstGeom>
                  </pic:spPr>
                </pic:pic>
              </a:graphicData>
            </a:graphic>
          </wp:inline>
        </w:drawing>
      </w:r>
    </w:p>
    <w:p>
      <w:pPr>
        <w:pStyle w:val="ImageCaption"/>
      </w:pPr>
      <w:r>
        <w:t xml:space="preserve">Fig. 15. Stressed gate of the transistor netlist against the stage law fitted at full swing only, and against linear superposition, at the narrowest, middle and widest of the five pulse widths. (a) ex2. (b) inv_chain.</w:t>
      </w:r>
    </w:p>
    <w:p>
      <w:pPr>
        <w:pStyle w:val="BodyText"/>
      </w:pPr>
      <w:r>
        <w:t xml:space="preserve">The file-only model's internal gate, which is never fitted to anything, can also be compared with the probed gate on these two buffers. Its stressed peak is 0.03–0.05 low on ex2 and 0.01–0.08 low on inv_chain, and it leads the real gate by 56–74 ps and 12–20 ps; on ex2 it returns to zero faster than the real gate, and the map absorbs the difference at the pad. The structure of (19) produces an internal gate that resembles the transistor's, while its numbers remain effective parameters.</w:t>
      </w:r>
    </w:p>
    <w:p>
      <w:pPr>
        <w:pStyle w:val="Heading2"/>
      </w:pPr>
      <w:r>
        <w:t xml:space="preserve">B. Pad level: the complete method on twelve buffers</w:t>
      </w:r>
    </w:p>
    <w:p>
      <w:pPr>
        <w:pStyle w:val="FirstParagraph"/>
      </w:pPr>
      <w:r>
        <w:t xml:space="preserve">The procedure of Table III was applied to the twelve test buffers. For each buffer the model was built from its IBIS file and one transistor-level pad waveform at the pulse width giving about 50 % of the settled swing, with </w:t>
      </w:r>
      <m:oMath>
        <m:sSub>
          <m:e>
            <m:r>
              <m:t xml:space="preserve">C</m:t>
            </m:r>
          </m:e>
          <m:sub>
            <m:r>
              <m:t xml:space="preserve">c</m:t>
            </m:r>
            <m:r>
              <m:t xml:space="preserve">o</m:t>
            </m:r>
            <m:r>
              <m:t xml:space="preserve">m</m:t>
            </m:r>
            <m:r>
              <m:t xml:space="preserve">p</m:t>
            </m:r>
          </m:sub>
        </m:sSub>
      </m:oMath>
      <w:r>
        <w:t xml:space="preserve"> estimated from the file as in Section IV-F. The model was then simulated at five pulse widths (about 50 to 90 % of the settled swing) into the same load and compared with transistor-level simulation. The score is the worst peak error over the five widths, with the peak error defined as in (28). The calibration width is one of the five, so the score is not entirely held out. HSPICE's native IBIS element with the same file is the baseline.</w:t>
      </w:r>
    </w:p>
    <w:p>
      <w:pPr>
        <w:pStyle w:val="TableCaption"/>
        <w:keepNext/>
      </w:pPr>
      <w:r>
        <w:t xml:space="preserve">Table VIII: Pad-level result on the twelve test buffers (worst of five stressed pulse widths)</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1700"/>
        <w:gridCol w:w="1100"/>
        <w:gridCol w:w="1200"/>
        <w:gridCol w:w="1700"/>
        <w:gridCol w:w="2000"/>
        <w:gridCol w:w="1900"/>
      </w:tblGrid>
      <w:tr>
        <w:trPr>
          <w:cantSplit/>
          <w:tblHeader/>
        </w:trPr>
        <w:tc>
          <w:tcPr>
            <w:tcW w:w="1700" w:type="dxa"/>
          </w:tcPr>
          <w:p>
            <w:pPr>
              <w:pStyle w:val="Compact"/>
              <w:keepNext/>
              <w:jc w:val="left"/>
            </w:pPr>
            <w:r>
              <w:rPr>
                <w:b/>
                <w:sz w:val="18"/>
              </w:rPr>
              <w:t xml:space="preserve">Buffer</w:t>
            </w:r>
          </w:p>
        </w:tc>
        <w:tc>
          <w:tcPr>
            <w:tcW w:w="1100" w:type="dxa"/>
          </w:tcPr>
          <w:p>
            <w:pPr>
              <w:pStyle w:val="Compact"/>
              <w:keepNext/>
              <w:jc w:val="left"/>
            </w:pPr>
            <w:r>
              <w:rPr>
                <w:sz w:val="18"/>
              </w:rPr>
              <w:t xml:space="preserve">Netlist </w:t>
            </w:r>
            <m:oMath>
              <m:r>
                <m:t xml:space="preserve">K</m:t>
              </m:r>
            </m:oMath>
          </w:p>
        </w:tc>
        <w:tc>
          <w:tcPr>
            <w:tcW w:w="1200" w:type="dxa"/>
          </w:tcPr>
          <w:p>
            <w:pPr>
              <w:pStyle w:val="Compact"/>
              <w:keepNext/>
              <w:jc w:val="left"/>
            </w:pPr>
            <w:r>
              <w:rPr>
                <w:sz w:val="18"/>
              </w:rPr>
              <w:t xml:space="preserve">Selected </w:t>
            </w:r>
            <m:oMath>
              <m:r>
                <m:t xml:space="preserve">K</m:t>
              </m:r>
            </m:oMath>
          </w:p>
        </w:tc>
        <w:tc>
          <w:tcPr>
            <w:tcW w:w="1700" w:type="dxa"/>
          </w:tcPr>
          <w:p>
            <w:pPr>
              <w:pStyle w:val="Compact"/>
              <w:keepNext/>
              <w:jc w:val="left"/>
            </w:pPr>
            <w:r>
              <w:rPr>
                <w:b/>
                <w:sz w:val="18"/>
              </w:rPr>
              <w:t xml:space="preserve">Selected map shape</w:t>
            </w:r>
          </w:p>
        </w:tc>
        <w:tc>
          <w:tcPr>
            <w:tcW w:w="2000" w:type="dxa"/>
          </w:tcPr>
          <w:p>
            <w:pPr>
              <w:pStyle w:val="Compact"/>
              <w:keepNext/>
              <w:jc w:val="left"/>
            </w:pPr>
            <w:r>
              <w:rPr>
                <w:b/>
                <w:sz w:val="18"/>
              </w:rPr>
              <w:t xml:space="preserve">Proposed: worst peak error (%)</w:t>
            </w:r>
          </w:p>
        </w:tc>
        <w:tc>
          <w:tcPr>
            <w:tcW w:w="1900" w:type="dxa"/>
          </w:tcPr>
          <w:p>
            <w:pPr>
              <w:pStyle w:val="Compact"/>
              <w:keepNext/>
              <w:jc w:val="left"/>
            </w:pPr>
            <w:r>
              <w:rPr>
                <w:b/>
                <w:sz w:val="18"/>
              </w:rPr>
              <w:t xml:space="preserve">Native IBIS: worst peak error (%)</w:t>
            </w:r>
          </w:p>
        </w:tc>
      </w:tr>
      <w:tr>
        <w:trPr>
          <w:cantSplit/>
        </w:trPr>
        <w:tc>
          <w:tcPr>
            <w:tcW w:w="1700" w:type="dxa"/>
          </w:tcPr>
          <w:p>
            <w:pPr>
              <w:pStyle w:val="Compact"/>
              <w:jc w:val="left"/>
            </w:pPr>
            <w:r>
              <w:rPr>
                <w:sz w:val="18"/>
              </w:rPr>
              <w:t xml:space="preserve">ex2</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8.3</w:t>
            </w:r>
          </w:p>
        </w:tc>
        <w:tc>
          <w:tcPr>
            <w:tcW w:w="1900" w:type="dxa"/>
          </w:tcPr>
          <w:p>
            <w:pPr>
              <w:pStyle w:val="Compact"/>
              <w:jc w:val="left"/>
            </w:pPr>
            <w:r>
              <w:rPr>
                <w:sz w:val="18"/>
              </w:rPr>
              <w:t xml:space="preserve">70.7</w:t>
            </w:r>
          </w:p>
        </w:tc>
      </w:tr>
      <w:tr>
        <w:trPr>
          <w:cantSplit/>
        </w:trPr>
        <w:tc>
          <w:tcPr>
            <w:tcW w:w="1700" w:type="dxa"/>
          </w:tcPr>
          <w:p>
            <w:pPr>
              <w:pStyle w:val="Compact"/>
              <w:jc w:val="left"/>
            </w:pPr>
            <w:r>
              <w:rPr>
                <w:sz w:val="18"/>
              </w:rPr>
              <w:t xml:space="preserve">ex2_base</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7.0</w:t>
            </w:r>
          </w:p>
        </w:tc>
        <w:tc>
          <w:tcPr>
            <w:tcW w:w="1900" w:type="dxa"/>
          </w:tcPr>
          <w:p>
            <w:pPr>
              <w:pStyle w:val="Compact"/>
              <w:jc w:val="left"/>
            </w:pPr>
            <w:r>
              <w:rPr>
                <w:sz w:val="18"/>
              </w:rPr>
              <w:t xml:space="preserve">no valid run</w:t>
            </w:r>
          </w:p>
        </w:tc>
      </w:tr>
      <w:tr>
        <w:trPr>
          <w:cantSplit/>
        </w:trPr>
        <w:tc>
          <w:tcPr>
            <w:tcW w:w="1700" w:type="dxa"/>
          </w:tcPr>
          <w:p>
            <w:pPr>
              <w:pStyle w:val="Compact"/>
              <w:jc w:val="left"/>
            </w:pPr>
            <w:r>
              <w:rPr>
                <w:sz w:val="18"/>
              </w:rPr>
              <w:t xml:space="preserve">ex2_slowpre</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5.4</w:t>
            </w:r>
          </w:p>
        </w:tc>
        <w:tc>
          <w:tcPr>
            <w:tcW w:w="1900" w:type="dxa"/>
          </w:tcPr>
          <w:p>
            <w:pPr>
              <w:pStyle w:val="Compact"/>
              <w:jc w:val="left"/>
            </w:pPr>
            <w:r>
              <w:rPr>
                <w:sz w:val="18"/>
              </w:rPr>
              <w:t xml:space="preserve">no valid run</w:t>
            </w:r>
          </w:p>
        </w:tc>
      </w:tr>
      <w:tr>
        <w:trPr>
          <w:cantSplit/>
        </w:trPr>
        <w:tc>
          <w:tcPr>
            <w:tcW w:w="1700" w:type="dxa"/>
          </w:tcPr>
          <w:p>
            <w:pPr>
              <w:pStyle w:val="Compact"/>
              <w:jc w:val="left"/>
            </w:pPr>
            <w:r>
              <w:rPr>
                <w:sz w:val="18"/>
              </w:rPr>
              <w:t xml:space="preserve">ex2_skewp</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10.0</w:t>
            </w:r>
          </w:p>
        </w:tc>
        <w:tc>
          <w:tcPr>
            <w:tcW w:w="1900" w:type="dxa"/>
          </w:tcPr>
          <w:p>
            <w:pPr>
              <w:pStyle w:val="Compact"/>
              <w:jc w:val="left"/>
            </w:pPr>
            <w:r>
              <w:rPr>
                <w:sz w:val="18"/>
              </w:rPr>
              <w:t xml:space="preserve">no valid run</w:t>
            </w:r>
          </w:p>
        </w:tc>
      </w:tr>
      <w:tr>
        <w:trPr>
          <w:cantSplit/>
        </w:trPr>
        <w:tc>
          <w:tcPr>
            <w:tcW w:w="1700" w:type="dxa"/>
          </w:tcPr>
          <w:p>
            <w:pPr>
              <w:pStyle w:val="Compact"/>
              <w:jc w:val="left"/>
            </w:pPr>
            <w:r>
              <w:rPr>
                <w:sz w:val="18"/>
              </w:rPr>
              <w:t xml:space="preserve">ex2_weak</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8.7</w:t>
            </w:r>
          </w:p>
        </w:tc>
        <w:tc>
          <w:tcPr>
            <w:tcW w:w="1900" w:type="dxa"/>
          </w:tcPr>
          <w:p>
            <w:pPr>
              <w:pStyle w:val="Compact"/>
              <w:jc w:val="left"/>
            </w:pPr>
            <w:r>
              <w:rPr>
                <w:sz w:val="18"/>
              </w:rPr>
              <w:t xml:space="preserve">no valid run</w:t>
            </w:r>
          </w:p>
        </w:tc>
      </w:tr>
      <w:tr>
        <w:trPr>
          <w:cantSplit/>
        </w:trPr>
        <w:tc>
          <w:tcPr>
            <w:tcW w:w="1700" w:type="dxa"/>
          </w:tcPr>
          <w:p>
            <w:pPr>
              <w:pStyle w:val="Compact"/>
              <w:jc w:val="left"/>
            </w:pPr>
            <w:r>
              <w:rPr>
                <w:sz w:val="18"/>
              </w:rPr>
              <w:t xml:space="preserve">ex2_nomiller</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7.2</w:t>
            </w:r>
          </w:p>
        </w:tc>
        <w:tc>
          <w:tcPr>
            <w:tcW w:w="1900" w:type="dxa"/>
          </w:tcPr>
          <w:p>
            <w:pPr>
              <w:pStyle w:val="Compact"/>
              <w:jc w:val="left"/>
            </w:pPr>
            <w:r>
              <w:rPr>
                <w:sz w:val="18"/>
              </w:rPr>
              <w:t xml:space="preserve">no valid run</w:t>
            </w:r>
          </w:p>
        </w:tc>
      </w:tr>
      <w:tr>
        <w:trPr>
          <w:cantSplit/>
        </w:trPr>
        <w:tc>
          <w:tcPr>
            <w:tcW w:w="1700" w:type="dxa"/>
          </w:tcPr>
          <w:p>
            <w:pPr>
              <w:pStyle w:val="Compact"/>
              <w:jc w:val="left"/>
            </w:pPr>
            <w:r>
              <w:rPr>
                <w:sz w:val="18"/>
              </w:rPr>
              <w:t xml:space="preserve">inv_chain</w:t>
            </w:r>
          </w:p>
        </w:tc>
        <w:tc>
          <w:tcPr>
            <w:tcW w:w="1100" w:type="dxa"/>
          </w:tcPr>
          <w:p>
            <w:pPr>
              <w:pStyle w:val="Compact"/>
              <w:jc w:val="left"/>
            </w:pPr>
            <w:r>
              <w:rPr>
                <w:sz w:val="18"/>
              </w:rPr>
              <w:t xml:space="preserve">7</w:t>
            </w:r>
          </w:p>
        </w:tc>
        <w:tc>
          <w:tcPr>
            <w:tcW w:w="1200" w:type="dxa"/>
          </w:tcPr>
          <w:p>
            <w:pPr>
              <w:pStyle w:val="Compact"/>
              <w:jc w:val="left"/>
            </w:pPr>
            <w:r>
              <w:rPr>
                <w:sz w:val="18"/>
              </w:rPr>
              <w:t xml:space="preserve">6</w:t>
            </w:r>
          </w:p>
        </w:tc>
        <w:tc>
          <w:tcPr>
            <w:tcW w:w="1700" w:type="dxa"/>
          </w:tcPr>
          <w:p>
            <w:pPr>
              <w:pStyle w:val="Compact"/>
              <w:jc w:val="left"/>
            </w:pPr>
            <w:r>
              <w:rPr>
                <w:sz w:val="18"/>
              </w:rPr>
              <w:t xml:space="preserve">(0.4, 0.9)</w:t>
            </w:r>
          </w:p>
        </w:tc>
        <w:tc>
          <w:tcPr>
            <w:tcW w:w="2000" w:type="dxa"/>
          </w:tcPr>
          <w:p>
            <w:pPr>
              <w:pStyle w:val="Compact"/>
              <w:jc w:val="left"/>
            </w:pPr>
            <w:r>
              <w:rPr>
                <w:sz w:val="18"/>
              </w:rPr>
              <w:t xml:space="preserve">5.1</w:t>
            </w:r>
          </w:p>
        </w:tc>
        <w:tc>
          <w:tcPr>
            <w:tcW w:w="1900" w:type="dxa"/>
          </w:tcPr>
          <w:p>
            <w:pPr>
              <w:pStyle w:val="Compact"/>
              <w:jc w:val="left"/>
            </w:pPr>
            <w:r>
              <w:rPr>
                <w:sz w:val="18"/>
              </w:rPr>
              <w:t xml:space="preserve">87.2</w:t>
            </w:r>
          </w:p>
        </w:tc>
      </w:tr>
      <w:tr>
        <w:trPr>
          <w:cantSplit/>
        </w:trPr>
        <w:tc>
          <w:tcPr>
            <w:tcW w:w="1700" w:type="dxa"/>
          </w:tcPr>
          <w:p>
            <w:pPr>
              <w:pStyle w:val="Compact"/>
              <w:jc w:val="left"/>
            </w:pPr>
            <w:r>
              <w:rPr>
                <w:sz w:val="18"/>
              </w:rPr>
              <w:t xml:space="preserve">inv_base8</w:t>
            </w:r>
          </w:p>
        </w:tc>
        <w:tc>
          <w:tcPr>
            <w:tcW w:w="1100" w:type="dxa"/>
          </w:tcPr>
          <w:p>
            <w:pPr>
              <w:pStyle w:val="Compact"/>
              <w:jc w:val="left"/>
            </w:pPr>
            <w:r>
              <w:rPr>
                <w:sz w:val="18"/>
              </w:rPr>
              <w:t xml:space="preserve">7</w:t>
            </w:r>
          </w:p>
        </w:tc>
        <w:tc>
          <w:tcPr>
            <w:tcW w:w="1200" w:type="dxa"/>
          </w:tcPr>
          <w:p>
            <w:pPr>
              <w:pStyle w:val="Compact"/>
              <w:jc w:val="left"/>
            </w:pPr>
            <w:r>
              <w:rPr>
                <w:sz w:val="18"/>
              </w:rPr>
              <w:t xml:space="preserve">7</w:t>
            </w:r>
          </w:p>
        </w:tc>
        <w:tc>
          <w:tcPr>
            <w:tcW w:w="1700" w:type="dxa"/>
          </w:tcPr>
          <w:p>
            <w:pPr>
              <w:pStyle w:val="Compact"/>
              <w:jc w:val="left"/>
            </w:pPr>
            <w:r>
              <w:rPr>
                <w:sz w:val="18"/>
              </w:rPr>
              <w:t xml:space="preserve">(0.4, 0.6)</w:t>
            </w:r>
          </w:p>
        </w:tc>
        <w:tc>
          <w:tcPr>
            <w:tcW w:w="2000" w:type="dxa"/>
          </w:tcPr>
          <w:p>
            <w:pPr>
              <w:pStyle w:val="Compact"/>
              <w:jc w:val="left"/>
            </w:pPr>
            <w:r>
              <w:rPr>
                <w:sz w:val="18"/>
              </w:rPr>
              <w:t xml:space="preserve">8.4</w:t>
            </w:r>
          </w:p>
        </w:tc>
        <w:tc>
          <w:tcPr>
            <w:tcW w:w="1900" w:type="dxa"/>
          </w:tcPr>
          <w:p>
            <w:pPr>
              <w:pStyle w:val="Compact"/>
              <w:jc w:val="left"/>
            </w:pPr>
            <w:r>
              <w:rPr>
                <w:sz w:val="18"/>
              </w:rPr>
              <w:t xml:space="preserve">66.8</w:t>
            </w:r>
          </w:p>
        </w:tc>
      </w:tr>
      <w:tr>
        <w:trPr>
          <w:cantSplit/>
        </w:trPr>
        <w:tc>
          <w:tcPr>
            <w:tcW w:w="1700" w:type="dxa"/>
          </w:tcPr>
          <w:p>
            <w:pPr>
              <w:pStyle w:val="Compact"/>
              <w:jc w:val="left"/>
            </w:pPr>
            <w:r>
              <w:rPr>
                <w:sz w:val="18"/>
              </w:rPr>
              <w:t xml:space="preserve">inv_stage4</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(0.4, 0.9)</w:t>
            </w:r>
          </w:p>
        </w:tc>
        <w:tc>
          <w:tcPr>
            <w:tcW w:w="2000" w:type="dxa"/>
          </w:tcPr>
          <w:p>
            <w:pPr>
              <w:pStyle w:val="Compact"/>
              <w:jc w:val="left"/>
            </w:pPr>
            <w:r>
              <w:rPr>
                <w:sz w:val="18"/>
              </w:rPr>
              <w:t xml:space="preserve">3.2</w:t>
            </w:r>
          </w:p>
        </w:tc>
        <w:tc>
          <w:tcPr>
            <w:tcW w:w="1900" w:type="dxa"/>
          </w:tcPr>
          <w:p>
            <w:pPr>
              <w:pStyle w:val="Compact"/>
              <w:jc w:val="left"/>
            </w:pPr>
            <w:r>
              <w:rPr>
                <w:sz w:val="18"/>
              </w:rPr>
              <w:t xml:space="preserve">99.8</w:t>
            </w:r>
          </w:p>
        </w:tc>
      </w:tr>
      <w:tr>
        <w:trPr>
          <w:cantSplit/>
        </w:trPr>
        <w:tc>
          <w:tcPr>
            <w:tcW w:w="1700" w:type="dxa"/>
          </w:tcPr>
          <w:p>
            <w:pPr>
              <w:pStyle w:val="Compact"/>
              <w:jc w:val="left"/>
            </w:pPr>
            <w:r>
              <w:rPr>
                <w:sz w:val="18"/>
              </w:rPr>
              <w:t xml:space="preserve">inv_skewp</w:t>
            </w:r>
          </w:p>
        </w:tc>
        <w:tc>
          <w:tcPr>
            <w:tcW w:w="1100" w:type="dxa"/>
          </w:tcPr>
          <w:p>
            <w:pPr>
              <w:pStyle w:val="Compact"/>
              <w:jc w:val="left"/>
            </w:pPr>
            <w:r>
              <w:rPr>
                <w:sz w:val="18"/>
              </w:rPr>
              <w:t xml:space="preserve">7</w:t>
            </w:r>
          </w:p>
        </w:tc>
        <w:tc>
          <w:tcPr>
            <w:tcW w:w="1200" w:type="dxa"/>
          </w:tcPr>
          <w:p>
            <w:pPr>
              <w:pStyle w:val="Compact"/>
              <w:jc w:val="left"/>
            </w:pPr>
            <w:r>
              <w:rPr>
                <w:sz w:val="18"/>
              </w:rPr>
              <w:t xml:space="preserve">7</w:t>
            </w:r>
          </w:p>
        </w:tc>
        <w:tc>
          <w:tcPr>
            <w:tcW w:w="1700" w:type="dxa"/>
          </w:tcPr>
          <w:p>
            <w:pPr>
              <w:pStyle w:val="Compact"/>
              <w:jc w:val="left"/>
            </w:pPr>
            <w:r>
              <w:rPr>
                <w:sz w:val="18"/>
              </w:rPr>
              <w:t xml:space="preserve">(0.4, 0.6)</w:t>
            </w:r>
          </w:p>
        </w:tc>
        <w:tc>
          <w:tcPr>
            <w:tcW w:w="2000" w:type="dxa"/>
          </w:tcPr>
          <w:p>
            <w:pPr>
              <w:pStyle w:val="Compact"/>
              <w:jc w:val="left"/>
            </w:pPr>
            <w:r>
              <w:rPr>
                <w:sz w:val="18"/>
              </w:rPr>
              <w:t xml:space="preserve">8.1</w:t>
            </w:r>
          </w:p>
        </w:tc>
        <w:tc>
          <w:tcPr>
            <w:tcW w:w="1900" w:type="dxa"/>
          </w:tcPr>
          <w:p>
            <w:pPr>
              <w:pStyle w:val="Compact"/>
              <w:jc w:val="left"/>
            </w:pPr>
            <w:r>
              <w:rPr>
                <w:sz w:val="18"/>
              </w:rPr>
              <w:t xml:space="preserve">37.3</w:t>
            </w:r>
          </w:p>
        </w:tc>
      </w:tr>
      <w:tr>
        <w:trPr>
          <w:cantSplit/>
        </w:trPr>
        <w:tc>
          <w:tcPr>
            <w:tcW w:w="1700" w:type="dxa"/>
          </w:tcPr>
          <w:p>
            <w:pPr>
              <w:pStyle w:val="Compact"/>
              <w:jc w:val="left"/>
            </w:pPr>
            <w:r>
              <w:rPr>
                <w:sz w:val="18"/>
              </w:rPr>
              <w:t xml:space="preserve">inv_weak</w:t>
            </w:r>
          </w:p>
        </w:tc>
        <w:tc>
          <w:tcPr>
            <w:tcW w:w="1100" w:type="dxa"/>
          </w:tcPr>
          <w:p>
            <w:pPr>
              <w:pStyle w:val="Compact"/>
              <w:jc w:val="left"/>
            </w:pPr>
            <w:r>
              <w:rPr>
                <w:sz w:val="18"/>
              </w:rPr>
              <w:t xml:space="preserve">7</w:t>
            </w:r>
          </w:p>
        </w:tc>
        <w:tc>
          <w:tcPr>
            <w:tcW w:w="1200" w:type="dxa"/>
          </w:tcPr>
          <w:p>
            <w:pPr>
              <w:pStyle w:val="Compact"/>
              <w:jc w:val="left"/>
            </w:pPr>
            <w:r>
              <w:rPr>
                <w:sz w:val="18"/>
              </w:rPr>
              <w:t xml:space="preserve">7</w:t>
            </w:r>
          </w:p>
        </w:tc>
        <w:tc>
          <w:tcPr>
            <w:tcW w:w="1700" w:type="dxa"/>
          </w:tcPr>
          <w:p>
            <w:pPr>
              <w:pStyle w:val="Compact"/>
              <w:jc w:val="left"/>
            </w:pPr>
            <w:r>
              <w:rPr>
                <w:sz w:val="18"/>
              </w:rPr>
              <w:t xml:space="preserve">(0.4, 0.6)</w:t>
            </w:r>
          </w:p>
        </w:tc>
        <w:tc>
          <w:tcPr>
            <w:tcW w:w="2000" w:type="dxa"/>
          </w:tcPr>
          <w:p>
            <w:pPr>
              <w:pStyle w:val="Compact"/>
              <w:jc w:val="left"/>
            </w:pPr>
            <w:r>
              <w:rPr>
                <w:sz w:val="18"/>
              </w:rPr>
              <w:t xml:space="preserve">4.1</w:t>
            </w:r>
          </w:p>
        </w:tc>
        <w:tc>
          <w:tcPr>
            <w:tcW w:w="1900" w:type="dxa"/>
          </w:tcPr>
          <w:p>
            <w:pPr>
              <w:pStyle w:val="Compact"/>
              <w:jc w:val="left"/>
            </w:pPr>
            <w:r>
              <w:rPr>
                <w:sz w:val="18"/>
              </w:rPr>
              <w:t xml:space="preserve">35.8</w:t>
            </w:r>
          </w:p>
        </w:tc>
      </w:tr>
      <w:tr>
        <w:trPr>
          <w:cantSplit/>
        </w:trPr>
        <w:tc>
          <w:tcPr>
            <w:tcW w:w="1700" w:type="dxa"/>
          </w:tcPr>
          <w:p>
            <w:pPr>
              <w:pStyle w:val="Compact"/>
              <w:jc w:val="left"/>
            </w:pPr>
            <w:r>
              <w:rPr>
                <w:sz w:val="18"/>
              </w:rPr>
              <w:t xml:space="preserve">io_buf</w:t>
            </w:r>
          </w:p>
        </w:tc>
        <w:tc>
          <w:tcPr>
            <w:tcW w:w="1100" w:type="dxa"/>
          </w:tcPr>
          <w:p>
            <w:pPr>
              <w:pStyle w:val="Compact"/>
              <w:jc w:val="left"/>
            </w:pPr>
            <w:r>
              <w:rPr>
                <w:sz w:val="18"/>
              </w:rPr>
              <w:t xml:space="preserve">1</w:t>
            </w:r>
          </w:p>
        </w:tc>
        <w:tc>
          <w:tcPr>
            <w:tcW w:w="1200" w:type="dxa"/>
          </w:tcPr>
          <w:p>
            <w:pPr>
              <w:pStyle w:val="Compact"/>
              <w:jc w:val="left"/>
            </w:pPr>
            <w:r>
              <w:rPr>
                <w:sz w:val="18"/>
              </w:rPr>
              <w:t xml:space="preserve">1</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7.7</w:t>
            </w:r>
          </w:p>
        </w:tc>
        <w:tc>
          <w:tcPr>
            <w:tcW w:w="1900" w:type="dxa"/>
          </w:tcPr>
          <w:p>
            <w:pPr>
              <w:pStyle w:val="Compact"/>
              <w:jc w:val="left"/>
            </w:pPr>
            <w:r>
              <w:rPr>
                <w:sz w:val="18"/>
              </w:rPr>
              <w:t xml:space="preserve">20.4</w:t>
            </w:r>
          </w:p>
        </w:tc>
      </w:tr>
    </w:tbl>
    <w:p>
      <w:pPr>
        <w:pStyle w:val="Compact"/>
      </w:pPr>
    </w:p>
    <w:p>
      <w:pPr>
        <w:pStyle w:val="FirstParagraph"/>
      </w:pPr>
      <w:r>
        <w:t xml:space="preserve">The proposed model is within 10 % on all twelve buffers (range 3.2–10.0 %, mean 6.9 %; Table VIII, Fig. 16). On the seven buffers for which the native element produced a valid run its worst peak error is 20–100 %; on the five ex2 variants it produced no valid waveform at any pulse width with the simulation settings used. The selected stage count equals the netlist count on eleven buffers (inv_chain selects 6 against 7).</w:t>
      </w:r>
    </w:p>
    <w:p>
      <w:pPr>
        <w:pStyle w:val="CaptionedFigure"/>
        <w:jc w:val="center"/>
      </w:pPr>
      <w:r>
        <w:drawing>
          <wp:inline distT="0" distB="0" distL="0" distR="0">
            <wp:extent cx="5760720" cy="2864132"/>
            <wp:docPr id="116" name="Figure 16"/>
            <wp:cNvGraphicFramePr>
              <a:graphicFrameLocks noChangeAspect="1"/>
            </wp:cNvGraphicFramePr>
            <a:graphic>
              <a:graphicData uri="http://schemas.openxmlformats.org/drawingml/2006/picture">
                <pic:pic>
                  <pic:nvPicPr>
                    <pic:cNvPr id="116" name="fig16.png"/>
                    <pic:cNvPicPr/>
                  </pic:nvPicPr>
                  <pic:blipFill>
                    <a:blip r:embed="rIdFig16"/>
                    <a:stretch>
                      <a:fillRect/>
                    </a:stretch>
                  </pic:blipFill>
                  <pic:spPr>
                    <a:xfrm>
                      <a:off x="0" y="0"/>
                      <a:ext cx="5760720" cy="2864132"/>
                    </a:xfrm>
                    <a:prstGeom prst="rect">
                      <a:avLst/>
                    </a:prstGeom>
                  </pic:spPr>
                </pic:pic>
              </a:graphicData>
            </a:graphic>
          </wp:inline>
        </w:drawing>
      </w:r>
    </w:p>
    <w:p>
      <w:pPr>
        <w:pStyle w:val="ImageCaption"/>
      </w:pPr>
      <w:r>
        <w:t xml:space="preserve">Fig. 16. Pad voltage for the narrowest stressed pulse of three buffers: transistor-level reference, HSPICE native IBIS, and the proposed model built from the file and one stressed measurement. Percentages are peak errors against the reference.</w:t>
      </w:r>
    </w:p>
    <w:p>
      <w:pPr>
        <w:pStyle w:val="Heading2"/>
      </w:pPr>
      <w:r>
        <w:t xml:space="preserve">C. Limits of the evidence</w:t>
      </w:r>
    </w:p>
    <w:p>
      <w:pPr>
        <w:pStyle w:val="FirstParagraph"/>
      </w:pPr>
      <w:r>
        <w:t xml:space="preserve">The gate-level test establishes that the structure of (19) extrapolates from full swing to truncated pulses when fitted to the true gate; the pad-level test establishes the accuracy of the file-only procedure, in which the gate is never observed. Both have a narrow statistical base: the five pulse widths of a buffer sample one stressed trajectory and are strongly correlated, so the evidence rests on the number of buffers. The pad-level test covers single high-going pulses, one load and the typical corner; pulse trains, low-going pulses, other loads and other corners are outside it. The map-shape grid and the band rule (27) were chosen on these same twelve buffers.</w:t>
      </w:r>
    </w:p>
    <w:p>
      <w:pPr>
        <w:pStyle w:val="Heading1"/>
      </w:pPr>
      <w:r>
        <w:t xml:space="preserve">VI. Discussion: Approximations and Limits</w:t>
      </w:r>
    </w:p>
    <w:p>
      <w:pPr>
        <w:pStyle w:val="TableCaption"/>
        <w:keepNext/>
      </w:pPr>
      <w:r>
        <w:t xml:space="preserve">Table IX: Approximations of the model</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650"/>
        <w:gridCol w:w="2700"/>
        <w:gridCol w:w="1300"/>
        <w:gridCol w:w="2150"/>
        <w:gridCol w:w="2800"/>
      </w:tblGrid>
      <w:tr>
        <w:trPr>
          <w:cantSplit/>
          <w:tblHeader/>
        </w:trPr>
        <w:tc>
          <w:tcPr>
            <w:tcW w:w="650" w:type="dxa"/>
          </w:tcPr>
          <w:p>
            <w:pPr>
              <w:pStyle w:val="Compact"/>
              <w:keepNext/>
              <w:jc w:val="left"/>
            </w:pPr>
            <w:r>
              <w:rPr>
                <w:b/>
                <w:sz w:val="16"/>
              </w:rPr>
              <w:t xml:space="preserve">Label</w:t>
            </w:r>
          </w:p>
        </w:tc>
        <w:tc>
          <w:tcPr>
            <w:tcW w:w="2700" w:type="dxa"/>
          </w:tcPr>
          <w:p>
            <w:pPr>
              <w:pStyle w:val="Compact"/>
              <w:keepNext/>
              <w:jc w:val="left"/>
            </w:pPr>
            <w:r>
              <w:rPr>
                <w:b/>
                <w:sz w:val="16"/>
              </w:rPr>
              <w:t xml:space="preserve">Approximation</w:t>
            </w:r>
          </w:p>
        </w:tc>
        <w:tc>
          <w:tcPr>
            <w:tcW w:w="1300" w:type="dxa"/>
          </w:tcPr>
          <w:p>
            <w:pPr>
              <w:pStyle w:val="Compact"/>
              <w:keepNext/>
              <w:jc w:val="left"/>
            </w:pPr>
            <w:r>
              <w:rPr>
                <w:b/>
                <w:sz w:val="16"/>
              </w:rPr>
              <w:t xml:space="preserve">Introduced at</w:t>
            </w:r>
          </w:p>
        </w:tc>
        <w:tc>
          <w:tcPr>
            <w:tcW w:w="2150" w:type="dxa"/>
          </w:tcPr>
          <w:p>
            <w:pPr>
              <w:pStyle w:val="Compact"/>
              <w:keepNext/>
              <w:jc w:val="left"/>
            </w:pPr>
            <w:r>
              <w:rPr>
                <w:b/>
                <w:sz w:val="16"/>
              </w:rPr>
              <w:t xml:space="preserve">What it removes</w:t>
            </w:r>
          </w:p>
        </w:tc>
        <w:tc>
          <w:tcPr>
            <w:tcW w:w="2800" w:type="dxa"/>
          </w:tcPr>
          <w:p>
            <w:pPr>
              <w:pStyle w:val="Compact"/>
              <w:keepNext/>
              <w:jc w:val="left"/>
            </w:pPr>
            <w:r>
              <w:rPr>
                <w:b/>
                <w:sz w:val="16"/>
              </w:rPr>
              <w:t xml:space="preserve">Evidence</w:t>
            </w:r>
          </w:p>
        </w:tc>
      </w:tr>
      <w:tr>
        <w:trPr>
          <w:cantSplit/>
        </w:trPr>
        <w:tc>
          <w:tcPr>
            <w:tcW w:w="650" w:type="dxa"/>
          </w:tcPr>
          <w:p>
            <w:pPr>
              <w:pStyle w:val="Compact"/>
              <w:jc w:val="left"/>
            </w:pPr>
            <w:r>
              <w:rPr>
                <w:sz w:val="16"/>
              </w:rPr>
              <w:t xml:space="preserve">A0</w:t>
            </w:r>
          </w:p>
        </w:tc>
        <w:tc>
          <w:tcPr>
            <w:tcW w:w="2700" w:type="dxa"/>
          </w:tcPr>
          <w:p>
            <w:pPr>
              <w:pStyle w:val="Compact"/>
              <w:jc w:val="left"/>
            </w:pPr>
            <w:r>
              <w:rPr>
                <w:sz w:val="16"/>
              </w:rPr>
              <w:t xml:space="preserve">One </w:t>
            </w:r>
            <m:oMath>
              <m:sSub>
                <m:e>
                  <m:r>
                    <m:t xml:space="preserve">V</m:t>
                  </m:r>
                </m:e>
                <m:sub>
                  <m:r>
                    <m:t xml:space="preserve">T</m:t>
                  </m:r>
                  <m:r>
                    <m:t xml:space="preserve">H</m:t>
                  </m:r>
                </m:sub>
              </m:sSub>
            </m:oMath>
            <w:r>
              <w:rPr>
                <w:sz w:val="16"/>
              </w:rPr>
              <w:t xml:space="preserve">, </w:t>
            </w:r>
            <m:oMath>
              <m:r>
                <m:t xml:space="preserve">α</m:t>
              </m:r>
            </m:oMath>
            <w:r>
              <w:rPr>
                <w:sz w:val="16"/>
              </w:rPr>
              <w:t xml:space="preserve">, </w:t>
            </w:r>
            <m:oMath>
              <m:sSub>
                <m:e>
                  <m:r>
                    <m:t xml:space="preserve">V</m:t>
                  </m:r>
                </m:e>
                <m:sub>
                  <m:r>
                    <m:t xml:space="preserve">D</m:t>
                  </m:r>
                  <m:r>
                    <m:rPr>
                      <m:sty m:val="p"/>
                    </m:rPr>
                    <m:t xml:space="preserve">0</m:t>
                  </m:r>
                </m:sub>
              </m:sSub>
            </m:oMath>
            <w:r>
              <w:rPr>
                <w:sz w:val="16"/>
              </w:rPr>
              <w:t xml:space="preserve"> for both devices of a stage</w:t>
            </w:r>
          </w:p>
        </w:tc>
        <w:tc>
          <w:tcPr>
            <w:tcW w:w="1300" w:type="dxa"/>
          </w:tcPr>
          <w:p>
            <w:pPr>
              <w:pStyle w:val="Compact"/>
              <w:jc w:val="left"/>
            </w:pPr>
            <w:r>
              <w:rPr>
                <w:sz w:val="16"/>
              </w:rPr>
              <w:t xml:space="preserve">(13)–(14)</w:t>
            </w:r>
          </w:p>
        </w:tc>
        <w:tc>
          <w:tcPr>
            <w:tcW w:w="2150" w:type="dxa"/>
          </w:tcPr>
          <w:p>
            <w:pPr>
              <w:pStyle w:val="Compact"/>
              <w:jc w:val="left"/>
            </w:pPr>
            <w:r>
              <w:rPr>
                <w:sz w:val="16"/>
              </w:rPr>
              <w:t xml:space="preserve">Per-device parameters</w:t>
            </w:r>
          </w:p>
        </w:tc>
        <w:tc>
          <w:tcPr>
            <w:tcW w:w="2800" w:type="dxa"/>
          </w:tcPr>
          <w:p>
            <w:pPr>
              <w:pStyle w:val="Compact"/>
              <w:jc w:val="left"/>
            </w:pPr>
            <w:r>
              <w:rPr>
                <w:sz w:val="16"/>
              </w:rPr>
              <w:t xml:space="preserve">As in [1, Sec. VI]. Table II: the N and P devices differ (</w:t>
            </w:r>
            <m:oMath>
              <m:sSub>
                <m:e>
                  <m:r>
                    <m:t xml:space="preserve">x</m:t>
                  </m:r>
                </m:e>
                <m:sub>
                  <m:r>
                    <m:rPr>
                      <m:sty m:val="p"/>
                    </m:rPr>
                    <m:t xml:space="preserve">0</m:t>
                  </m:r>
                </m:sub>
              </m:sSub>
            </m:oMath>
            <w:r>
              <w:rPr>
                <w:sz w:val="16"/>
              </w:rPr>
              <w:t xml:space="preserve"> 0.34 against 0.57 on inv_chain)</w:t>
            </w:r>
          </w:p>
        </w:tc>
      </w:tr>
      <w:tr>
        <w:trPr>
          <w:cantSplit/>
        </w:trPr>
        <w:tc>
          <w:tcPr>
            <w:tcW w:w="650" w:type="dxa"/>
          </w:tcPr>
          <w:p>
            <w:pPr>
              <w:pStyle w:val="Compact"/>
              <w:jc w:val="left"/>
            </w:pPr>
            <w:r>
              <w:rPr>
                <w:sz w:val="16"/>
              </w:rPr>
              <w:t xml:space="preserve">A1</w:t>
            </w:r>
          </w:p>
        </w:tc>
        <w:tc>
          <w:tcPr>
            <w:tcW w:w="2700" w:type="dxa"/>
          </w:tcPr>
          <w:p>
            <w:pPr>
              <w:pStyle w:val="Compact"/>
              <w:jc w:val="left"/>
            </w:pPr>
            <m:oMath>
              <m:r>
                <m:t xml:space="preserve">p</m:t>
              </m:r>
            </m:oMath>
            <w:r>
              <w:rPr>
                <w:sz w:val="16"/>
              </w:rPr>
              <w:t xml:space="preserve"> in place of </w:t>
            </w:r>
            <m:oMath>
              <m:r>
                <m:t xml:space="preserve">α</m:t>
              </m:r>
            </m:oMath>
            <w:r>
              <w:rPr>
                <w:sz w:val="16"/>
              </w:rPr>
              <w:t xml:space="preserve">, with </w:t>
            </w:r>
            <m:oMath>
              <m:r>
                <m:t xml:space="preserve">p</m:t>
              </m:r>
              <m:r>
                <m:rPr>
                  <m:sty m:val="p"/>
                </m:rPr>
                <m:t xml:space="preserve">=</m:t>
              </m:r>
              <m:r>
                <m:rPr>
                  <m:sty m:val="p"/>
                </m:rPr>
                <m:t xml:space="preserve">1</m:t>
              </m:r>
            </m:oMath>
            <w:r>
              <w:rPr>
                <w:sz w:val="16"/>
              </w:rPr>
              <w:t xml:space="preserve">​</w:t>
            </w:r>
          </w:p>
        </w:tc>
        <w:tc>
          <w:tcPr>
            <w:tcW w:w="1300" w:type="dxa"/>
          </w:tcPr>
          <w:p>
            <w:pPr>
              <w:pStyle w:val="Compact"/>
              <w:jc w:val="left"/>
            </w:pPr>
            <w:r>
              <w:rPr>
                <w:sz w:val="16"/>
              </w:rPr>
              <w:t xml:space="preserve">(17)</w:t>
            </w:r>
          </w:p>
        </w:tc>
        <w:tc>
          <w:tcPr>
            <w:tcW w:w="2150" w:type="dxa"/>
          </w:tcPr>
          <w:p>
            <w:pPr>
              <w:pStyle w:val="Compact"/>
              <w:jc w:val="left"/>
            </w:pPr>
            <w:r>
              <w:rPr>
                <w:sz w:val="16"/>
              </w:rPr>
              <w:t xml:space="preserve">The measured </w:t>
            </w:r>
            <m:oMath>
              <m:r>
                <m:t xml:space="preserve">α</m:t>
              </m:r>
            </m:oMath>
            <w:r>
              <w:rPr>
                <w:sz w:val="16"/>
              </w:rPr>
              <w:t xml:space="preserve"> (Table II)</w:t>
            </w:r>
          </w:p>
        </w:tc>
        <w:tc>
          <w:tcPr>
            <w:tcW w:w="2800" w:type="dxa"/>
          </w:tcPr>
          <w:p>
            <w:pPr>
              <w:pStyle w:val="Compact"/>
              <w:jc w:val="left"/>
            </w:pPr>
            <w:r>
              <w:rPr>
                <w:sz w:val="16"/>
              </w:rPr>
              <w:t xml:space="preserve">Not identifiable from the file (Section IV-D)</w:t>
            </w:r>
          </w:p>
        </w:tc>
      </w:tr>
      <w:tr>
        <w:trPr>
          <w:cantSplit/>
        </w:trPr>
        <w:tc>
          <w:tcPr>
            <w:tcW w:w="650" w:type="dxa"/>
          </w:tcPr>
          <w:p>
            <w:pPr>
              <w:pStyle w:val="Compact"/>
              <w:jc w:val="left"/>
            </w:pPr>
            <w:r>
              <w:rPr>
                <w:sz w:val="16"/>
              </w:rPr>
              <w:t xml:space="preserve">A2</w:t>
            </w:r>
          </w:p>
        </w:tc>
        <w:tc>
          <w:tcPr>
            <w:tcW w:w="2700" w:type="dxa"/>
          </w:tcPr>
          <w:p>
            <w:pPr>
              <w:pStyle w:val="Compact"/>
              <w:jc w:val="left"/>
            </w:pP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r>
                <m:t xml:space="preserve">→</m:t>
              </m:r>
              <m:sSub>
                <m:e>
                  <m:r>
                    <m:t xml:space="preserve">x</m:t>
                  </m:r>
                </m:e>
                <m:sub>
                  <m:r>
                    <m:t xml:space="preserve">l</m:t>
                  </m:r>
                  <m:r>
                    <m:t xml:space="preserve">i</m:t>
                  </m:r>
                  <m:r>
                    <m:t xml:space="preserve">n</m:t>
                  </m:r>
                </m:sub>
              </m:sSub>
            </m:oMath>
            <w:r>
              <w:rPr>
                <w:sz w:val="16"/>
              </w:rPr>
              <w:t xml:space="preserve">, with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rPr>
                <w:sz w:val="16"/>
              </w:rPr>
              <w:t xml:space="preserve">​</w:t>
            </w:r>
          </w:p>
        </w:tc>
        <w:tc>
          <w:tcPr>
            <w:tcW w:w="1300" w:type="dxa"/>
          </w:tcPr>
          <w:p>
            <w:pPr>
              <w:pStyle w:val="Compact"/>
              <w:jc w:val="left"/>
            </w:pPr>
            <w:r>
              <w:rPr>
                <w:sz w:val="16"/>
              </w:rPr>
              <w:t xml:space="preserve">(18)</w:t>
            </w:r>
          </w:p>
        </w:tc>
        <w:tc>
          <w:tcPr>
            <w:tcW w:w="2150" w:type="dxa"/>
          </w:tcPr>
          <w:p>
            <w:pPr>
              <w:pStyle w:val="Compact"/>
              <w:jc w:val="left"/>
            </w:pPr>
            <w:r>
              <w:rPr>
                <w:sz w:val="16"/>
              </w:rPr>
              <w:t xml:space="preserve">Drive dependence of the saturation boundary</w:t>
            </w:r>
          </w:p>
        </w:tc>
        <w:tc>
          <w:tcPr>
            <w:tcW w:w="2800" w:type="dxa"/>
          </w:tcPr>
          <w:p>
            <w:pPr>
              <w:pStyle w:val="Compact"/>
              <w:jc w:val="left"/>
            </w:pPr>
            <w:r>
              <w:rPr>
                <w:sz w:val="16"/>
              </w:rPr>
              <w:t xml:space="preserve">Not identifiable from the file; candidate cause of the inv_chain undershoot in Table VII</w:t>
            </w:r>
          </w:p>
        </w:tc>
      </w:tr>
      <w:tr>
        <w:trPr>
          <w:cantSplit/>
        </w:trPr>
        <w:tc>
          <w:tcPr>
            <w:tcW w:w="650" w:type="dxa"/>
          </w:tcPr>
          <w:p>
            <w:pPr>
              <w:pStyle w:val="Compact"/>
              <w:jc w:val="left"/>
            </w:pPr>
            <w:r>
              <w:rPr>
                <w:sz w:val="16"/>
              </w:rPr>
              <w:t xml:space="preserve">A3</w:t>
            </w:r>
          </w:p>
        </w:tc>
        <w:tc>
          <w:tcPr>
            <w:tcW w:w="2700" w:type="dxa"/>
          </w:tcPr>
          <w:p>
            <w:pPr>
              <w:pStyle w:val="Compact"/>
              <w:jc w:val="left"/>
            </w:pPr>
            <m:oMath>
              <m:r>
                <m:t xml:space="preserve">K</m:t>
              </m:r>
            </m:oMath>
            <w:r>
              <w:rPr>
                <w:sz w:val="16"/>
              </w:rPr>
              <w:t xml:space="preserve"> identical normalized stages</w:t>
            </w:r>
          </w:p>
        </w:tc>
        <w:tc>
          <w:tcPr>
            <w:tcW w:w="1300" w:type="dxa"/>
          </w:tcPr>
          <w:p>
            <w:pPr>
              <w:pStyle w:val="Compact"/>
              <w:jc w:val="left"/>
            </w:pPr>
            <w:r>
              <w:rPr>
                <w:sz w:val="16"/>
              </w:rPr>
              <w:t xml:space="preserve">(20)</w:t>
            </w:r>
          </w:p>
        </w:tc>
        <w:tc>
          <w:tcPr>
            <w:tcW w:w="2150" w:type="dxa"/>
          </w:tcPr>
          <w:p>
            <w:pPr>
              <w:pStyle w:val="Compact"/>
              <w:jc w:val="left"/>
            </w:pPr>
            <m:oMath>
              <m:r>
                <m:rPr>
                  <m:sty m:val="p"/>
                </m:rPr>
                <m:t xml:space="preserve">4</m:t>
              </m:r>
              <m:r>
                <m:rPr>
                  <m:sty m:val="p"/>
                </m:rPr>
                <m:t xml:space="preserve">(</m:t>
              </m:r>
              <m:r>
                <m:t xml:space="preserve">K</m:t>
              </m:r>
              <m:r>
                <m:rPr>
                  <m:sty m:val="p"/>
                </m:rPr>
                <m:t xml:space="preserve">−</m:t>
              </m:r>
              <m:r>
                <m:rPr>
                  <m:sty m:val="p"/>
                </m:rPr>
                <m:t xml:space="preserve">1</m:t>
              </m:r>
              <m:r>
                <m:rPr>
                  <m:sty m:val="p"/>
                </m:rPr>
                <m:t xml:space="preserve">)</m:t>
              </m:r>
            </m:oMath>
            <w:r>
              <w:rPr>
                <w:sz w:val="16"/>
              </w:rPr>
              <w:t xml:space="preserve"> free parameters</w:t>
            </w:r>
          </w:p>
        </w:tc>
        <w:tc>
          <w:tcPr>
            <w:tcW w:w="2800" w:type="dxa"/>
          </w:tcPr>
          <w:p>
            <w:pPr>
              <w:pStyle w:val="Compact"/>
              <w:jc w:val="left"/>
            </w:pPr>
            <w:r>
              <w:rPr>
                <w:sz w:val="16"/>
              </w:rPr>
              <w:t xml:space="preserve">Free fit fails (Section IV-D); </w:t>
            </w:r>
            <m:oMath>
              <m:r>
                <m:t xml:space="preserve">K</m:t>
              </m:r>
            </m:oMath>
            <w:r>
              <w:rPr>
                <w:sz w:val="16"/>
              </w:rPr>
              <w:t xml:space="preserve"> selected by (29)</w:t>
            </w:r>
          </w:p>
        </w:tc>
      </w:tr>
      <w:tr>
        <w:trPr>
          <w:cantSplit/>
        </w:trPr>
        <w:tc>
          <w:tcPr>
            <w:tcW w:w="650" w:type="dxa"/>
          </w:tcPr>
          <w:p>
            <w:pPr>
              <w:pStyle w:val="Compact"/>
              <w:jc w:val="left"/>
            </w:pPr>
            <w:r>
              <w:rPr>
                <w:sz w:val="16"/>
              </w:rPr>
              <w:t xml:space="preserve">A4</w:t>
            </w:r>
          </w:p>
        </w:tc>
        <w:tc>
          <w:tcPr>
            <w:tcW w:w="2700" w:type="dxa"/>
          </w:tcPr>
          <w:p>
            <w:pPr>
              <w:pStyle w:val="Compact"/>
              <w:jc w:val="left"/>
            </w:pPr>
            <w:r>
              <w:rPr>
                <w:sz w:val="16"/>
              </w:rPr>
              <w:t xml:space="preserve">Map shape taken from a grid of three</w:t>
            </w:r>
          </w:p>
        </w:tc>
        <w:tc>
          <w:tcPr>
            <w:tcW w:w="1300" w:type="dxa"/>
          </w:tcPr>
          <w:p>
            <w:pPr>
              <w:pStyle w:val="Compact"/>
              <w:jc w:val="left"/>
            </w:pPr>
            <w:r>
              <w:rPr>
                <w:sz w:val="16"/>
              </w:rPr>
              <w:t xml:space="preserve">(22), (26)</w:t>
            </w:r>
          </w:p>
        </w:tc>
        <w:tc>
          <w:tcPr>
            <w:tcW w:w="2150" w:type="dxa"/>
          </w:tcPr>
          <w:p>
            <w:pPr>
              <w:pStyle w:val="Compact"/>
              <w:jc w:val="left"/>
            </w:pPr>
            <w:r>
              <w:rPr>
                <w:sz w:val="16"/>
              </w:rPr>
              <w:t xml:space="preserve">Trade-off between gate and map</w:t>
            </w:r>
          </w:p>
        </w:tc>
        <w:tc>
          <w:tcPr>
            <w:tcW w:w="2800" w:type="dxa"/>
          </w:tcPr>
          <w:p>
            <w:pPr>
              <w:pStyle w:val="Compact"/>
              <w:jc w:val="left"/>
            </w:pPr>
            <w:r>
              <w:rPr>
                <w:sz w:val="16"/>
              </w:rPr>
              <w:t xml:space="preserve">Selected by (29); grid chosen on the test buffers</w:t>
            </w:r>
          </w:p>
        </w:tc>
      </w:tr>
    </w:tbl>
    <w:p>
      <w:pPr>
        <w:pStyle w:val="Compact"/>
      </w:pPr>
    </w:p>
    <w:p>
      <w:pPr>
        <w:pStyle w:val="FirstParagraph"/>
      </w:pPr>
      <w:r>
        <w:t xml:space="preserve">Table IX collects the approximations. Everything else in (19) is inherited from (1) and (2)–(5): the threshold, the constant-current ramp, the straight-line resistive tail and the two-device structure; (24) is the existing model's. Two limits deserve emphasis. First, the method has four built-in constants, </w:t>
      </w:r>
      <m:oMath>
        <m:sSub>
          <m:e>
            <m:r>
              <m:t xml:space="preserve">x</m:t>
            </m:r>
          </m:e>
          <m:sub>
            <m:r>
              <m:t xml:space="preserve">l</m:t>
            </m:r>
            <m:r>
              <m:t xml:space="preserve">i</m:t>
            </m:r>
            <m:r>
              <m:t xml:space="preserve">n</m:t>
            </m:r>
          </m:sub>
        </m:sSub>
      </m:oMath>
      <w:r>
        <w:t xml:space="preserve">, </w:t>
      </w:r>
      <m:oMath>
        <m:r>
          <m:t xml:space="preserve">p</m:t>
        </m:r>
      </m:oMath>
      <w:r>
        <w:t xml:space="preserve">, the three map shapes and the band rule, whose values were chosen with transistor-level knowledge of the twelve test buffers; whether they suit buffers outside the set has not been tested, and the map shapes are the least well founded element. Second, one limit is inherited from the device model: [1] states that the α-power law does not reproduce the region near and below threshold, and its delay analysis neglects the opposing device, justified for fast inputs [3]; a truncated pulse holds the stages near </w:t>
      </w:r>
      <m:oMath>
        <m:sSub>
          <m:e>
            <m:r>
              <m:t xml:space="preserve">v</m:t>
            </m:r>
          </m:e>
          <m:sub>
            <m:r>
              <m:t xml:space="preserve">t</m:t>
            </m:r>
          </m:sub>
        </m:sSub>
      </m:oMath>
      <w:r>
        <w:t xml:space="preserve"> with both devices conducting, outside the regime for which [1] validated the model, so the accuracy of (19) there rests on the tests of Section V and not on [1].</w:t>
      </w:r>
    </w:p>
    <w:p>
      <w:pPr>
        <w:pStyle w:val="BodyText"/>
      </w:pPr>
      <w:r>
        <w:t xml:space="preserve">Three points are open. A drive-dependent boundary (15) in place of A2 reduces the inv_chain undershoot at the gate (mean peak error 0.077 to 0.016) but is neutral on ex2 and cannot be identified in the </w:t>
      </w:r>
      <m:oMath>
        <m:sSub>
          <m:e>
            <m:r>
              <m:t xml:space="preserve">K</m:t>
            </m:r>
          </m:e>
          <m:sub>
            <m:r>
              <m:t xml:space="preserve">u</m:t>
            </m:r>
          </m:sub>
        </m:sSub>
      </m:oMath>
      <w:r>
        <w:t xml:space="preserve"> domain, so it has not been adopted. The pad-level score includes the calibration width, and the selector costs about six points of peak error on ex2 against the best candidate in its grid. Two of the three Nelder–Mead starts stop in side minima on ex2; more starts, or a global stage, would make step 1 more robust and has not been tried.</w:t>
      </w:r>
    </w:p>
    <w:p>
      <w:pPr>
        <w:pStyle w:val="Heading1"/>
      </w:pPr>
      <w:r>
        <w:t xml:space="preserve">VII. Conclusion</w:t>
      </w:r>
    </w:p>
    <w:p>
      <w:pPr>
        <w:pStyle w:val="FirstParagraph"/>
      </w:pPr>
      <w:r>
        <w:t xml:space="preserve">An IBIS file records complete transitions, and a model that replays its coefficients against time cannot follow a pulse that the predriver cuts short. Modeling the predriver as a chain of stages obeying a law derived from the α-power MOSFET model, and reading the conducting fraction from the gate through a static map, gives a model whose coefficients follow the gate. The file fixes the stage rates and nothing else that matters under partial drive; one measured short pulse fixes the rest, its peak through the threshold and its shape through the choice among nine candidates. On twelve test buffers the result is within 10 % of the transistor-level pad peak at five pulse widths, where the native element is at 20–100 %. The cost is one measurement and four built-in constants; the next steps are a test outside the buffers those constants were chosen on, pulse trains and other loads, and a more robust search in step 1.</w:t>
      </w:r>
    </w:p>
    <w:p>
      <w:pPr>
        <w:pStyle w:val="Heading1"/>
      </w:pPr>
      <w:r>
        <w:t xml:space="preserve">References</w:t>
      </w:r>
    </w:p>
    <w:p>
      <w:pPr>
        <w:pStyle w:val="FirstParagraph"/>
      </w:pPr>
      <w:r>
        <w:t xml:space="preserve">[1] T. Sakurai and A. R. Newton, “Alpha-power law MOSFET model and its applications to CMOS inverter delay and other formulas,” IEEE J. Solid-State Circuits, vol. 25, no. 2, pp. 584–594, Apr. 1990.</w:t>
      </w:r>
    </w:p>
    <w:p>
      <w:pPr>
        <w:pStyle w:val="BodyText"/>
      </w:pPr>
      <w:r>
        <w:t xml:space="preserve">[2] H. Shichman and D. A. Hodges, “Modeling and simulation of insulated-gate field-effect transistor switching circuits,” IEEE J. Solid-State Circuits, vol. SC-3, 1968.</w:t>
      </w:r>
    </w:p>
    <w:p>
      <w:pPr>
        <w:pStyle w:val="BodyText"/>
      </w:pPr>
      <w:r>
        <w:t xml:space="preserve">[3] N. Hedenstierna and K. O. Jeppson, “CMOS circuit speed and buffer optimization,” IEEE Trans. Computer-Aided Design, vol. CAD-6, no. 2, pp. 270–280, Mar. 1987.</w:t>
      </w:r>
    </w:p>
    <w:sectPr>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1"/>
    </w:rPr>
  </w:style>
  <w:style w:styleId="BodyText" w:type="paragraph">
    <w:name w:val="Body Text"/>
    <w:basedOn w:val="Normal"/>
    <w:link w:val="BodyTextChar"/>
    <w:pPr>
      <w:spacing w:after="180" w:before="180"/>
    </w:pPr>
    <w:qFormat/>
    <w:rPr>
      <w:sz w:val="21"/>
    </w:rPr>
  </w:style>
  <w:style w:customStyle="1" w:styleId="FirstParagraph" w:type="paragraph">
    <w:name w:val="First Paragraph"/>
    <w:basedOn w:val="BodyText"/>
    <w:next w:val="BodyText"/>
    <w:qFormat/>
    <w:rPr>
      <w:sz w:val="21"/>
    </w:rPr>
  </w:style>
  <w:style w:customStyle="1" w:styleId="Compact" w:type="paragraph">
    <w:name w:val="Compact"/>
    <w:basedOn w:val="BodyText"/>
    <w:qFormat/>
    <w:pPr>
      <w:spacing w:after="36" w:before="36"/>
    </w:pPr>
    <w:rPr>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Model Derivation: From the α-Power Law to the Stage Law</dc:title>
  <dc:creator/>
  <cp:keywords/>
  <dcterms:created xsi:type="dcterms:W3CDTF">2026-10-01T18:34:18Z</dcterms:created>
  <dcterms:modified xsi:type="dcterms:W3CDTF">2026-10-01T18:34:18Z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 2026</vt:lpwstr>
  </property>
</Properties>
</file>