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D2EE" w14:textId="77777777" w:rsidR="001A3B30" w:rsidRPr="001A3B30" w:rsidRDefault="001A3B30" w:rsidP="001A3B30">
      <w:pPr>
        <w:jc w:val="both"/>
        <w:rPr>
          <w:rFonts w:cs="Arial"/>
          <w:b/>
          <w:bCs/>
          <w:szCs w:val="32"/>
          <w:lang w:eastAsia="it-IT"/>
        </w:rPr>
      </w:pPr>
      <w:bookmarkStart w:id="0" w:name="_Hlk3742927"/>
      <w:bookmarkEnd w:id="0"/>
      <w:r w:rsidRPr="001A3B30">
        <w:rPr>
          <w:rFonts w:cs="Arial"/>
          <w:b/>
          <w:bCs/>
          <w:szCs w:val="32"/>
          <w:lang w:eastAsia="it-IT"/>
        </w:rPr>
        <w:t>ANED 2018-19</w:t>
      </w:r>
      <w:r w:rsidRPr="001A3B30">
        <w:rPr>
          <w:rFonts w:cs="Arial"/>
          <w:b/>
          <w:bCs/>
          <w:szCs w:val="32"/>
          <w:lang w:eastAsia="it-IT"/>
        </w:rPr>
        <w:tab/>
      </w:r>
      <w:r w:rsidRPr="001A3B30">
        <w:rPr>
          <w:rFonts w:cs="Arial"/>
          <w:b/>
          <w:bCs/>
          <w:szCs w:val="32"/>
          <w:lang w:eastAsia="it-IT"/>
        </w:rPr>
        <w:tab/>
      </w:r>
      <w:r w:rsidRPr="001A3B30">
        <w:rPr>
          <w:rFonts w:cs="Arial"/>
          <w:b/>
          <w:bCs/>
          <w:szCs w:val="32"/>
          <w:lang w:eastAsia="it-IT"/>
        </w:rPr>
        <w:tab/>
      </w:r>
      <w:r w:rsidRPr="001A3B30">
        <w:rPr>
          <w:rFonts w:cs="Arial"/>
          <w:b/>
          <w:bCs/>
          <w:szCs w:val="32"/>
          <w:lang w:eastAsia="it-IT"/>
        </w:rPr>
        <w:tab/>
        <w:t>Task 1.2</w:t>
      </w:r>
    </w:p>
    <w:p w14:paraId="2515F74A" w14:textId="77777777" w:rsidR="001A3B30" w:rsidRPr="001A3B30" w:rsidRDefault="001A3B30" w:rsidP="001A3B30">
      <w:pPr>
        <w:jc w:val="both"/>
        <w:rPr>
          <w:rFonts w:cs="Arial"/>
          <w:b/>
          <w:bCs/>
          <w:szCs w:val="32"/>
          <w:lang w:eastAsia="it-IT"/>
        </w:rPr>
      </w:pPr>
    </w:p>
    <w:p w14:paraId="56BCA1FB" w14:textId="77777777" w:rsidR="001A3B30" w:rsidRPr="001A3B30" w:rsidRDefault="001A3B30" w:rsidP="001A3B30">
      <w:pPr>
        <w:jc w:val="both"/>
        <w:rPr>
          <w:rFonts w:cs="Arial"/>
          <w:b/>
          <w:bCs/>
          <w:szCs w:val="32"/>
          <w:lang w:eastAsia="it-IT"/>
        </w:rPr>
      </w:pPr>
    </w:p>
    <w:p w14:paraId="1D9EFAB2" w14:textId="77777777" w:rsidR="001A3B30" w:rsidRPr="001A3B30" w:rsidRDefault="001A3B30" w:rsidP="001A3B30">
      <w:pPr>
        <w:jc w:val="both"/>
        <w:rPr>
          <w:rFonts w:cs="Arial"/>
          <w:b/>
          <w:bCs/>
          <w:szCs w:val="32"/>
          <w:lang w:eastAsia="it-IT"/>
        </w:rPr>
      </w:pPr>
    </w:p>
    <w:p w14:paraId="77043057" w14:textId="77777777" w:rsidR="001A3B30" w:rsidRPr="001A3B30" w:rsidRDefault="001A3B30" w:rsidP="001A3B30">
      <w:pPr>
        <w:jc w:val="both"/>
        <w:rPr>
          <w:rFonts w:cs="Arial"/>
          <w:b/>
          <w:bCs/>
          <w:szCs w:val="32"/>
          <w:lang w:eastAsia="it-IT"/>
        </w:rPr>
      </w:pPr>
      <w:r w:rsidRPr="001A3B30">
        <w:rPr>
          <w:rFonts w:cs="Arial"/>
          <w:b/>
          <w:bCs/>
          <w:szCs w:val="32"/>
          <w:lang w:eastAsia="it-IT"/>
        </w:rPr>
        <w:t>Living independently and being included in the community</w:t>
      </w:r>
    </w:p>
    <w:p w14:paraId="76BF63DA" w14:textId="77777777" w:rsidR="001A3B30" w:rsidRPr="001A3B30" w:rsidRDefault="001A3B30" w:rsidP="001A3B30">
      <w:pPr>
        <w:jc w:val="both"/>
        <w:rPr>
          <w:rFonts w:ascii="Times New Roman" w:hAnsi="Times New Roman"/>
          <w:sz w:val="20"/>
          <w:szCs w:val="24"/>
          <w:lang w:eastAsia="it-IT"/>
        </w:rPr>
      </w:pPr>
    </w:p>
    <w:p w14:paraId="276691EA" w14:textId="77777777" w:rsidR="001A3B30" w:rsidRPr="001A3B30" w:rsidRDefault="001A3B30" w:rsidP="001A3B30">
      <w:pPr>
        <w:jc w:val="both"/>
        <w:rPr>
          <w:rFonts w:ascii="Times New Roman" w:hAnsi="Times New Roman"/>
          <w:sz w:val="20"/>
          <w:szCs w:val="24"/>
          <w:lang w:eastAsia="it-IT"/>
        </w:rPr>
      </w:pPr>
    </w:p>
    <w:p w14:paraId="24F89141" w14:textId="77777777" w:rsidR="001A3B30" w:rsidRPr="001A3B30" w:rsidRDefault="001A3B30" w:rsidP="001A3B30">
      <w:pPr>
        <w:jc w:val="both"/>
        <w:rPr>
          <w:rFonts w:ascii="Times New Roman" w:hAnsi="Times New Roman"/>
          <w:szCs w:val="24"/>
          <w:lang w:eastAsia="it-IT"/>
        </w:rPr>
      </w:pPr>
    </w:p>
    <w:p w14:paraId="6EE93CE2" w14:textId="77777777" w:rsidR="001A3B30" w:rsidRPr="001A3B30" w:rsidRDefault="001A3B30" w:rsidP="001A3B30">
      <w:pPr>
        <w:jc w:val="both"/>
        <w:rPr>
          <w:rFonts w:ascii="Times New Roman" w:hAnsi="Times New Roman"/>
          <w:szCs w:val="24"/>
          <w:lang w:eastAsia="it-IT"/>
        </w:rPr>
      </w:pPr>
    </w:p>
    <w:p w14:paraId="04D194E1" w14:textId="77777777" w:rsidR="001A3B30" w:rsidRPr="001A3B30" w:rsidRDefault="001A3B30" w:rsidP="001A3B30">
      <w:pPr>
        <w:jc w:val="both"/>
        <w:rPr>
          <w:rFonts w:ascii="Times New Roman" w:hAnsi="Times New Roman"/>
          <w:szCs w:val="24"/>
          <w:lang w:eastAsia="it-IT"/>
        </w:rPr>
      </w:pPr>
    </w:p>
    <w:p w14:paraId="77492911" w14:textId="77777777" w:rsidR="001A3B30" w:rsidRPr="001A3B30" w:rsidRDefault="001A3B30" w:rsidP="001A3B30">
      <w:pPr>
        <w:jc w:val="both"/>
        <w:rPr>
          <w:rFonts w:ascii="Times New Roman" w:hAnsi="Times New Roman"/>
          <w:szCs w:val="24"/>
          <w:lang w:eastAsia="it-IT"/>
        </w:rPr>
      </w:pPr>
    </w:p>
    <w:p w14:paraId="4CB96D42" w14:textId="77777777" w:rsidR="001A3B30" w:rsidRPr="001A3B30" w:rsidRDefault="001A3B30" w:rsidP="001A3B30">
      <w:pPr>
        <w:jc w:val="both"/>
        <w:rPr>
          <w:rFonts w:cs="Arial"/>
          <w:szCs w:val="24"/>
          <w:lang w:eastAsia="it-IT"/>
        </w:rPr>
      </w:pPr>
    </w:p>
    <w:p w14:paraId="00A14F07" w14:textId="77777777" w:rsidR="001A3B30" w:rsidRPr="001A3B30" w:rsidRDefault="001A3B30" w:rsidP="001A3B30">
      <w:pPr>
        <w:jc w:val="both"/>
        <w:rPr>
          <w:rFonts w:cs="Arial"/>
          <w:szCs w:val="24"/>
          <w:lang w:eastAsia="it-IT"/>
        </w:rPr>
      </w:pPr>
      <w:r w:rsidRPr="001A3B30">
        <w:rPr>
          <w:rFonts w:cs="Arial"/>
          <w:szCs w:val="24"/>
          <w:lang w:eastAsia="it-IT"/>
        </w:rPr>
        <w:t>Country: Italy</w:t>
      </w:r>
    </w:p>
    <w:p w14:paraId="47616F0C" w14:textId="77777777" w:rsidR="001A3B30" w:rsidRPr="001A3B30" w:rsidRDefault="001A3B30" w:rsidP="001A3B30">
      <w:pPr>
        <w:jc w:val="both"/>
        <w:rPr>
          <w:rFonts w:cs="Arial"/>
          <w:szCs w:val="24"/>
          <w:lang w:eastAsia="it-IT"/>
        </w:rPr>
      </w:pPr>
    </w:p>
    <w:p w14:paraId="7FEDFF57" w14:textId="77777777" w:rsidR="001A3B30" w:rsidRPr="001A3B30" w:rsidRDefault="001A3B30" w:rsidP="001A3B30">
      <w:pPr>
        <w:jc w:val="both"/>
        <w:rPr>
          <w:rFonts w:cs="Arial"/>
          <w:szCs w:val="24"/>
          <w:lang w:eastAsia="it-IT"/>
        </w:rPr>
      </w:pPr>
      <w:r w:rsidRPr="001A3B30">
        <w:rPr>
          <w:rFonts w:cs="Arial"/>
          <w:szCs w:val="24"/>
          <w:lang w:eastAsia="it-IT"/>
        </w:rPr>
        <w:t>Experts: Giampiero Griffo, Ciro Tarantino</w:t>
      </w:r>
    </w:p>
    <w:p w14:paraId="6869AC0E" w14:textId="77777777" w:rsidR="001A3B30" w:rsidRPr="001A3B30" w:rsidRDefault="001A3B30" w:rsidP="001A3B30">
      <w:pPr>
        <w:spacing w:after="200" w:line="276" w:lineRule="auto"/>
        <w:jc w:val="both"/>
        <w:rPr>
          <w:rFonts w:ascii="Times New Roman" w:hAnsi="Times New Roman"/>
          <w:szCs w:val="24"/>
          <w:lang w:eastAsia="it-IT"/>
        </w:rPr>
      </w:pPr>
      <w:r w:rsidRPr="001A3B30">
        <w:rPr>
          <w:rFonts w:ascii="Arial Unicode MS" w:hAnsi="Arial Unicode MS"/>
          <w:szCs w:val="24"/>
          <w:lang w:eastAsia="it-IT"/>
        </w:rPr>
        <w:br w:type="page"/>
      </w:r>
    </w:p>
    <w:p w14:paraId="3850991F" w14:textId="77777777" w:rsidR="008E2183" w:rsidRDefault="001A3B30" w:rsidP="001A3B30">
      <w:pPr>
        <w:jc w:val="both"/>
        <w:rPr>
          <w:noProof/>
        </w:rPr>
      </w:pPr>
      <w:bookmarkStart w:id="1" w:name="OLE_LINK3"/>
      <w:r w:rsidRPr="001A3B30">
        <w:rPr>
          <w:rFonts w:cs="Arial"/>
          <w:b/>
          <w:bCs/>
          <w:szCs w:val="24"/>
          <w:lang w:eastAsia="it-IT"/>
        </w:rPr>
        <w:lastRenderedPageBreak/>
        <w:t>C</w:t>
      </w:r>
      <w:bookmarkStart w:id="2" w:name="OLE_LINK4"/>
      <w:bookmarkEnd w:id="1"/>
      <w:r w:rsidRPr="001A3B30">
        <w:rPr>
          <w:rFonts w:cs="Arial"/>
          <w:b/>
          <w:bCs/>
          <w:szCs w:val="24"/>
          <w:lang w:eastAsia="it-IT"/>
        </w:rPr>
        <w:t>ontents</w:t>
      </w:r>
      <w:r w:rsidRPr="001A3B30">
        <w:rPr>
          <w:rFonts w:cs="Arial"/>
          <w:szCs w:val="24"/>
          <w:lang w:eastAsia="it-IT"/>
        </w:rPr>
        <w:fldChar w:fldCharType="begin"/>
      </w:r>
      <w:r w:rsidRPr="001A3B30">
        <w:rPr>
          <w:rFonts w:cs="Arial"/>
          <w:szCs w:val="24"/>
          <w:lang w:eastAsia="it-IT"/>
        </w:rPr>
        <w:instrText xml:space="preserve"> TOC \o "1-2" </w:instrText>
      </w:r>
      <w:r w:rsidRPr="001A3B30">
        <w:rPr>
          <w:rFonts w:cs="Arial"/>
          <w:szCs w:val="24"/>
          <w:lang w:eastAsia="it-IT"/>
        </w:rPr>
        <w:fldChar w:fldCharType="separate"/>
      </w:r>
    </w:p>
    <w:p w14:paraId="070F0305" w14:textId="23A7877B"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1</w:t>
      </w:r>
      <w:r w:rsidRPr="008E2183">
        <w:rPr>
          <w:rFonts w:asciiTheme="minorHAnsi" w:eastAsiaTheme="minorEastAsia" w:hAnsiTheme="minorHAnsi"/>
          <w:noProof/>
          <w:sz w:val="22"/>
          <w:szCs w:val="22"/>
          <w:lang w:eastAsia="nl-NL"/>
        </w:rPr>
        <w:tab/>
      </w:r>
      <w:r w:rsidRPr="000617F9">
        <w:rPr>
          <w:noProof/>
          <w:u w:color="000000"/>
          <w:bdr w:val="nil"/>
          <w:lang w:eastAsia="it-IT" w:bidi="en-US"/>
        </w:rPr>
        <w:t>Current situation and direction of travel</w:t>
      </w:r>
      <w:r>
        <w:rPr>
          <w:noProof/>
        </w:rPr>
        <w:tab/>
      </w:r>
      <w:r>
        <w:rPr>
          <w:noProof/>
        </w:rPr>
        <w:fldChar w:fldCharType="begin"/>
      </w:r>
      <w:r>
        <w:rPr>
          <w:noProof/>
        </w:rPr>
        <w:instrText xml:space="preserve"> PAGEREF _Toc5724437 \h </w:instrText>
      </w:r>
      <w:r>
        <w:rPr>
          <w:noProof/>
        </w:rPr>
      </w:r>
      <w:r>
        <w:rPr>
          <w:noProof/>
        </w:rPr>
        <w:fldChar w:fldCharType="separate"/>
      </w:r>
      <w:r w:rsidR="0085596D">
        <w:rPr>
          <w:noProof/>
        </w:rPr>
        <w:t>2</w:t>
      </w:r>
      <w:r>
        <w:rPr>
          <w:noProof/>
        </w:rPr>
        <w:fldChar w:fldCharType="end"/>
      </w:r>
    </w:p>
    <w:p w14:paraId="65F3989A" w14:textId="7FB5951C"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1.1</w:t>
      </w:r>
      <w:r w:rsidRPr="008E2183">
        <w:rPr>
          <w:rFonts w:asciiTheme="minorHAnsi" w:eastAsiaTheme="minorEastAsia" w:hAnsiTheme="minorHAnsi"/>
          <w:noProof/>
          <w:sz w:val="22"/>
          <w:szCs w:val="22"/>
          <w:lang w:eastAsia="nl-NL"/>
        </w:rPr>
        <w:tab/>
      </w:r>
      <w:r w:rsidRPr="000617F9">
        <w:rPr>
          <w:noProof/>
          <w:u w:color="000000"/>
          <w:bdr w:val="nil"/>
          <w:lang w:eastAsia="it-IT" w:bidi="en-US"/>
        </w:rPr>
        <w:t>Numbers and proportions of disabled children and adults residing in institutional care or community-based settings</w:t>
      </w:r>
      <w:r>
        <w:rPr>
          <w:noProof/>
        </w:rPr>
        <w:tab/>
      </w:r>
      <w:r>
        <w:rPr>
          <w:noProof/>
        </w:rPr>
        <w:fldChar w:fldCharType="begin"/>
      </w:r>
      <w:r>
        <w:rPr>
          <w:noProof/>
        </w:rPr>
        <w:instrText xml:space="preserve"> PAGEREF _Toc5724438 \h </w:instrText>
      </w:r>
      <w:r>
        <w:rPr>
          <w:noProof/>
        </w:rPr>
      </w:r>
      <w:r>
        <w:rPr>
          <w:noProof/>
        </w:rPr>
        <w:fldChar w:fldCharType="separate"/>
      </w:r>
      <w:r w:rsidR="0085596D">
        <w:rPr>
          <w:noProof/>
        </w:rPr>
        <w:t>2</w:t>
      </w:r>
      <w:r>
        <w:rPr>
          <w:noProof/>
        </w:rPr>
        <w:fldChar w:fldCharType="end"/>
      </w:r>
    </w:p>
    <w:p w14:paraId="4D323837" w14:textId="7A1D80DD"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1.2</w:t>
      </w:r>
      <w:r w:rsidRPr="008E2183">
        <w:rPr>
          <w:rFonts w:asciiTheme="minorHAnsi" w:eastAsiaTheme="minorEastAsia" w:hAnsiTheme="minorHAnsi"/>
          <w:noProof/>
          <w:sz w:val="22"/>
          <w:szCs w:val="22"/>
          <w:lang w:eastAsia="nl-NL"/>
        </w:rPr>
        <w:tab/>
      </w:r>
      <w:r w:rsidRPr="000617F9">
        <w:rPr>
          <w:noProof/>
          <w:u w:color="000000"/>
          <w:bdr w:val="nil"/>
          <w:lang w:eastAsia="it-IT" w:bidi="en-US"/>
        </w:rPr>
        <w:t>Overall spending on institutional care versus support services for living independently and being included in the community, including information about proportion/amount of funding provided from EU funds</w:t>
      </w:r>
      <w:r>
        <w:rPr>
          <w:noProof/>
        </w:rPr>
        <w:tab/>
      </w:r>
      <w:r>
        <w:rPr>
          <w:noProof/>
        </w:rPr>
        <w:fldChar w:fldCharType="begin"/>
      </w:r>
      <w:r>
        <w:rPr>
          <w:noProof/>
        </w:rPr>
        <w:instrText xml:space="preserve"> PAGEREF _Toc5724439 \h </w:instrText>
      </w:r>
      <w:r>
        <w:rPr>
          <w:noProof/>
        </w:rPr>
      </w:r>
      <w:r>
        <w:rPr>
          <w:noProof/>
        </w:rPr>
        <w:fldChar w:fldCharType="separate"/>
      </w:r>
      <w:r w:rsidR="0085596D">
        <w:rPr>
          <w:noProof/>
        </w:rPr>
        <w:t>5</w:t>
      </w:r>
      <w:r>
        <w:rPr>
          <w:noProof/>
        </w:rPr>
        <w:fldChar w:fldCharType="end"/>
      </w:r>
    </w:p>
    <w:p w14:paraId="1AA381E1" w14:textId="7C9EEBE9"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2</w:t>
      </w:r>
      <w:r w:rsidRPr="008E2183">
        <w:rPr>
          <w:rFonts w:asciiTheme="minorHAnsi" w:eastAsiaTheme="minorEastAsia" w:hAnsiTheme="minorHAnsi"/>
          <w:noProof/>
          <w:sz w:val="22"/>
          <w:szCs w:val="22"/>
          <w:lang w:eastAsia="nl-NL"/>
        </w:rPr>
        <w:tab/>
      </w:r>
      <w:r w:rsidRPr="000617F9">
        <w:rPr>
          <w:noProof/>
          <w:u w:color="000000"/>
          <w:bdr w:val="nil"/>
          <w:lang w:eastAsia="it-IT" w:bidi="en-US"/>
        </w:rPr>
        <w:t>Government commitments on living independently and being included in the community, including the transition from institutional care to community-based living</w:t>
      </w:r>
      <w:r>
        <w:rPr>
          <w:noProof/>
        </w:rPr>
        <w:tab/>
      </w:r>
      <w:r>
        <w:rPr>
          <w:noProof/>
        </w:rPr>
        <w:fldChar w:fldCharType="begin"/>
      </w:r>
      <w:r>
        <w:rPr>
          <w:noProof/>
        </w:rPr>
        <w:instrText xml:space="preserve"> PAGEREF _Toc5724440 \h </w:instrText>
      </w:r>
      <w:r>
        <w:rPr>
          <w:noProof/>
        </w:rPr>
      </w:r>
      <w:r>
        <w:rPr>
          <w:noProof/>
        </w:rPr>
        <w:fldChar w:fldCharType="separate"/>
      </w:r>
      <w:r w:rsidR="0085596D">
        <w:rPr>
          <w:noProof/>
        </w:rPr>
        <w:t>9</w:t>
      </w:r>
      <w:r>
        <w:rPr>
          <w:noProof/>
        </w:rPr>
        <w:fldChar w:fldCharType="end"/>
      </w:r>
    </w:p>
    <w:p w14:paraId="0DBA5DCC" w14:textId="1A79F171"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2.1</w:t>
      </w:r>
      <w:r w:rsidRPr="008E2183">
        <w:rPr>
          <w:rFonts w:asciiTheme="minorHAnsi" w:eastAsiaTheme="minorEastAsia" w:hAnsiTheme="minorHAnsi"/>
          <w:noProof/>
          <w:sz w:val="22"/>
          <w:szCs w:val="22"/>
          <w:lang w:eastAsia="nl-NL"/>
        </w:rPr>
        <w:tab/>
      </w:r>
      <w:r w:rsidRPr="000617F9">
        <w:rPr>
          <w:noProof/>
          <w:u w:color="000000"/>
          <w:bdr w:val="nil"/>
          <w:lang w:eastAsia="it-IT" w:bidi="en-US"/>
        </w:rPr>
        <w:t>In which document(s) are Government commitments and plans concerning support for independent living in the community set out?</w:t>
      </w:r>
      <w:r>
        <w:rPr>
          <w:noProof/>
        </w:rPr>
        <w:tab/>
      </w:r>
      <w:r>
        <w:rPr>
          <w:noProof/>
        </w:rPr>
        <w:fldChar w:fldCharType="begin"/>
      </w:r>
      <w:r>
        <w:rPr>
          <w:noProof/>
        </w:rPr>
        <w:instrText xml:space="preserve"> PAGEREF _Toc5724441 \h </w:instrText>
      </w:r>
      <w:r>
        <w:rPr>
          <w:noProof/>
        </w:rPr>
      </w:r>
      <w:r>
        <w:rPr>
          <w:noProof/>
        </w:rPr>
        <w:fldChar w:fldCharType="separate"/>
      </w:r>
      <w:r w:rsidR="0085596D">
        <w:rPr>
          <w:noProof/>
        </w:rPr>
        <w:t>9</w:t>
      </w:r>
      <w:r>
        <w:rPr>
          <w:noProof/>
        </w:rPr>
        <w:fldChar w:fldCharType="end"/>
      </w:r>
    </w:p>
    <w:p w14:paraId="41AD1268" w14:textId="79D8A881"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2.2</w:t>
      </w:r>
      <w:r w:rsidRPr="008E2183">
        <w:rPr>
          <w:rFonts w:asciiTheme="minorHAnsi" w:eastAsiaTheme="minorEastAsia" w:hAnsiTheme="minorHAnsi"/>
          <w:noProof/>
          <w:sz w:val="22"/>
          <w:szCs w:val="22"/>
          <w:lang w:eastAsia="nl-NL"/>
        </w:rPr>
        <w:tab/>
      </w:r>
      <w:r w:rsidRPr="000617F9">
        <w:rPr>
          <w:noProof/>
          <w:u w:color="000000"/>
          <w:bdr w:val="nil"/>
          <w:lang w:eastAsia="it-IT" w:bidi="en-US"/>
        </w:rPr>
        <w:t>What are the aims and objectives of the relevant strategies, including the relevant targets and milestones? Are they linked to European Structural and Investment Funds (ESIF)?</w:t>
      </w:r>
      <w:r>
        <w:rPr>
          <w:noProof/>
        </w:rPr>
        <w:tab/>
      </w:r>
      <w:r>
        <w:rPr>
          <w:noProof/>
        </w:rPr>
        <w:fldChar w:fldCharType="begin"/>
      </w:r>
      <w:r>
        <w:rPr>
          <w:noProof/>
        </w:rPr>
        <w:instrText xml:space="preserve"> PAGEREF _Toc5724442 \h </w:instrText>
      </w:r>
      <w:r>
        <w:rPr>
          <w:noProof/>
        </w:rPr>
      </w:r>
      <w:r>
        <w:rPr>
          <w:noProof/>
        </w:rPr>
        <w:fldChar w:fldCharType="separate"/>
      </w:r>
      <w:r w:rsidR="0085596D">
        <w:rPr>
          <w:noProof/>
        </w:rPr>
        <w:t>9</w:t>
      </w:r>
      <w:r>
        <w:rPr>
          <w:noProof/>
        </w:rPr>
        <w:fldChar w:fldCharType="end"/>
      </w:r>
    </w:p>
    <w:p w14:paraId="27A7FB92" w14:textId="3B3F5386"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2.3</w:t>
      </w:r>
      <w:r w:rsidRPr="008E2183">
        <w:rPr>
          <w:rFonts w:asciiTheme="minorHAnsi" w:eastAsiaTheme="minorEastAsia" w:hAnsiTheme="minorHAnsi"/>
          <w:noProof/>
          <w:sz w:val="22"/>
          <w:szCs w:val="22"/>
          <w:lang w:eastAsia="nl-NL"/>
        </w:rPr>
        <w:tab/>
      </w:r>
      <w:r w:rsidRPr="000617F9">
        <w:rPr>
          <w:noProof/>
          <w:u w:color="000000"/>
          <w:bdr w:val="nil"/>
          <w:lang w:eastAsia="it-IT" w:bidi="en-US"/>
        </w:rPr>
        <w:t>Please summarise the planned approach and the actions to be taken in relevant strategies</w:t>
      </w:r>
      <w:r>
        <w:rPr>
          <w:noProof/>
        </w:rPr>
        <w:tab/>
      </w:r>
      <w:r>
        <w:rPr>
          <w:noProof/>
        </w:rPr>
        <w:fldChar w:fldCharType="begin"/>
      </w:r>
      <w:r>
        <w:rPr>
          <w:noProof/>
        </w:rPr>
        <w:instrText xml:space="preserve"> PAGEREF _Toc5724443 \h </w:instrText>
      </w:r>
      <w:r>
        <w:rPr>
          <w:noProof/>
        </w:rPr>
      </w:r>
      <w:r>
        <w:rPr>
          <w:noProof/>
        </w:rPr>
        <w:fldChar w:fldCharType="separate"/>
      </w:r>
      <w:r w:rsidR="0085596D">
        <w:rPr>
          <w:noProof/>
        </w:rPr>
        <w:t>10</w:t>
      </w:r>
      <w:r>
        <w:rPr>
          <w:noProof/>
        </w:rPr>
        <w:fldChar w:fldCharType="end"/>
      </w:r>
    </w:p>
    <w:p w14:paraId="726AD711" w14:textId="0BBDBD3E"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2.4</w:t>
      </w:r>
      <w:r w:rsidRPr="008E2183">
        <w:rPr>
          <w:rFonts w:asciiTheme="minorHAnsi" w:eastAsiaTheme="minorEastAsia" w:hAnsiTheme="minorHAnsi"/>
          <w:noProof/>
          <w:sz w:val="22"/>
          <w:szCs w:val="22"/>
          <w:lang w:eastAsia="nl-NL"/>
        </w:rPr>
        <w:tab/>
      </w:r>
      <w:r w:rsidRPr="000617F9">
        <w:rPr>
          <w:noProof/>
          <w:u w:color="000000"/>
          <w:bdr w:val="nil"/>
          <w:lang w:eastAsia="it-IT" w:bidi="en-US"/>
        </w:rPr>
        <w:t>What budgetary commitments are made to support these strategies, for both domestic and EU funds?</w:t>
      </w:r>
      <w:r>
        <w:rPr>
          <w:noProof/>
        </w:rPr>
        <w:tab/>
      </w:r>
      <w:r>
        <w:rPr>
          <w:noProof/>
        </w:rPr>
        <w:fldChar w:fldCharType="begin"/>
      </w:r>
      <w:r>
        <w:rPr>
          <w:noProof/>
        </w:rPr>
        <w:instrText xml:space="preserve"> PAGEREF _Toc5724444 \h </w:instrText>
      </w:r>
      <w:r>
        <w:rPr>
          <w:noProof/>
        </w:rPr>
      </w:r>
      <w:r>
        <w:rPr>
          <w:noProof/>
        </w:rPr>
        <w:fldChar w:fldCharType="separate"/>
      </w:r>
      <w:r w:rsidR="0085596D">
        <w:rPr>
          <w:noProof/>
        </w:rPr>
        <w:t>11</w:t>
      </w:r>
      <w:r>
        <w:rPr>
          <w:noProof/>
        </w:rPr>
        <w:fldChar w:fldCharType="end"/>
      </w:r>
    </w:p>
    <w:p w14:paraId="07C9AEE0" w14:textId="0485A515"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2.5</w:t>
      </w:r>
      <w:r w:rsidRPr="008E2183">
        <w:rPr>
          <w:rFonts w:asciiTheme="minorHAnsi" w:eastAsiaTheme="minorEastAsia" w:hAnsiTheme="minorHAnsi"/>
          <w:noProof/>
          <w:sz w:val="22"/>
          <w:szCs w:val="22"/>
          <w:lang w:eastAsia="nl-NL"/>
        </w:rPr>
        <w:tab/>
      </w:r>
      <w:r w:rsidRPr="000617F9">
        <w:rPr>
          <w:noProof/>
          <w:u w:color="000000"/>
          <w:bdr w:val="nil"/>
          <w:lang w:eastAsia="it-IT" w:bidi="en-US"/>
        </w:rPr>
        <w:t>What is the (official) involvement of persons with disabilities and/or their representative organisations in the development of the strategies and plans?</w:t>
      </w:r>
      <w:bookmarkStart w:id="3" w:name="_GoBack"/>
      <w:bookmarkEnd w:id="3"/>
      <w:r>
        <w:rPr>
          <w:noProof/>
        </w:rPr>
        <w:tab/>
      </w:r>
      <w:r>
        <w:rPr>
          <w:noProof/>
        </w:rPr>
        <w:fldChar w:fldCharType="begin"/>
      </w:r>
      <w:r>
        <w:rPr>
          <w:noProof/>
        </w:rPr>
        <w:instrText xml:space="preserve"> PAGEREF _Toc5724445 \h </w:instrText>
      </w:r>
      <w:r>
        <w:rPr>
          <w:noProof/>
        </w:rPr>
      </w:r>
      <w:r>
        <w:rPr>
          <w:noProof/>
        </w:rPr>
        <w:fldChar w:fldCharType="separate"/>
      </w:r>
      <w:r w:rsidR="0085596D">
        <w:rPr>
          <w:noProof/>
        </w:rPr>
        <w:t>11</w:t>
      </w:r>
      <w:r>
        <w:rPr>
          <w:noProof/>
        </w:rPr>
        <w:fldChar w:fldCharType="end"/>
      </w:r>
    </w:p>
    <w:p w14:paraId="5F46790D" w14:textId="1C9D216C"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3</w:t>
      </w:r>
      <w:r w:rsidRPr="008E2183">
        <w:rPr>
          <w:rFonts w:asciiTheme="minorHAnsi" w:eastAsiaTheme="minorEastAsia" w:hAnsiTheme="minorHAnsi"/>
          <w:noProof/>
          <w:sz w:val="22"/>
          <w:szCs w:val="22"/>
          <w:lang w:eastAsia="nl-NL"/>
        </w:rPr>
        <w:tab/>
      </w:r>
      <w:r w:rsidRPr="000617F9">
        <w:rPr>
          <w:noProof/>
          <w:u w:color="000000"/>
          <w:bdr w:val="nil"/>
          <w:lang w:eastAsia="it-IT" w:bidi="en-US"/>
        </w:rPr>
        <w:t>Implementation and monitoring</w:t>
      </w:r>
      <w:r>
        <w:rPr>
          <w:noProof/>
        </w:rPr>
        <w:tab/>
      </w:r>
      <w:r>
        <w:rPr>
          <w:noProof/>
        </w:rPr>
        <w:fldChar w:fldCharType="begin"/>
      </w:r>
      <w:r>
        <w:rPr>
          <w:noProof/>
        </w:rPr>
        <w:instrText xml:space="preserve"> PAGEREF _Toc5724446 \h </w:instrText>
      </w:r>
      <w:r>
        <w:rPr>
          <w:noProof/>
        </w:rPr>
      </w:r>
      <w:r>
        <w:rPr>
          <w:noProof/>
        </w:rPr>
        <w:fldChar w:fldCharType="separate"/>
      </w:r>
      <w:r w:rsidR="0085596D">
        <w:rPr>
          <w:noProof/>
        </w:rPr>
        <w:t>11</w:t>
      </w:r>
      <w:r>
        <w:rPr>
          <w:noProof/>
        </w:rPr>
        <w:fldChar w:fldCharType="end"/>
      </w:r>
    </w:p>
    <w:p w14:paraId="2D9ED1F9" w14:textId="59609316"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3.1</w:t>
      </w:r>
      <w:r w:rsidRPr="008E2183">
        <w:rPr>
          <w:rFonts w:asciiTheme="minorHAnsi" w:eastAsiaTheme="minorEastAsia" w:hAnsiTheme="minorHAnsi"/>
          <w:noProof/>
          <w:sz w:val="22"/>
          <w:szCs w:val="22"/>
          <w:lang w:eastAsia="nl-NL"/>
        </w:rPr>
        <w:tab/>
      </w:r>
      <w:r w:rsidRPr="000617F9">
        <w:rPr>
          <w:noProof/>
          <w:u w:color="000000"/>
          <w:bdr w:val="nil"/>
          <w:lang w:eastAsia="it-IT" w:bidi="en-US"/>
        </w:rPr>
        <w:t>Summary of relevant calls for proposals</w:t>
      </w:r>
      <w:r>
        <w:rPr>
          <w:noProof/>
        </w:rPr>
        <w:tab/>
      </w:r>
      <w:r>
        <w:rPr>
          <w:noProof/>
        </w:rPr>
        <w:fldChar w:fldCharType="begin"/>
      </w:r>
      <w:r>
        <w:rPr>
          <w:noProof/>
        </w:rPr>
        <w:instrText xml:space="preserve"> PAGEREF _Toc5724447 \h </w:instrText>
      </w:r>
      <w:r>
        <w:rPr>
          <w:noProof/>
        </w:rPr>
      </w:r>
      <w:r>
        <w:rPr>
          <w:noProof/>
        </w:rPr>
        <w:fldChar w:fldCharType="separate"/>
      </w:r>
      <w:r w:rsidR="0085596D">
        <w:rPr>
          <w:noProof/>
        </w:rPr>
        <w:t>11</w:t>
      </w:r>
      <w:r>
        <w:rPr>
          <w:noProof/>
        </w:rPr>
        <w:fldChar w:fldCharType="end"/>
      </w:r>
    </w:p>
    <w:p w14:paraId="40EA06AA" w14:textId="7BF0F867"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3.2</w:t>
      </w:r>
      <w:r w:rsidRPr="008E2183">
        <w:rPr>
          <w:rFonts w:asciiTheme="minorHAnsi" w:eastAsiaTheme="minorEastAsia" w:hAnsiTheme="minorHAnsi"/>
          <w:noProof/>
          <w:sz w:val="22"/>
          <w:szCs w:val="22"/>
          <w:lang w:eastAsia="nl-NL"/>
        </w:rPr>
        <w:tab/>
      </w:r>
      <w:r w:rsidRPr="000617F9">
        <w:rPr>
          <w:noProof/>
          <w:u w:color="000000"/>
          <w:bdr w:val="nil"/>
          <w:lang w:eastAsia="it-IT" w:bidi="en-US"/>
        </w:rPr>
        <w:t>Summary of relevant projects funded</w:t>
      </w:r>
      <w:r>
        <w:rPr>
          <w:noProof/>
        </w:rPr>
        <w:tab/>
      </w:r>
      <w:r>
        <w:rPr>
          <w:noProof/>
        </w:rPr>
        <w:fldChar w:fldCharType="begin"/>
      </w:r>
      <w:r>
        <w:rPr>
          <w:noProof/>
        </w:rPr>
        <w:instrText xml:space="preserve"> PAGEREF _Toc5724448 \h </w:instrText>
      </w:r>
      <w:r>
        <w:rPr>
          <w:noProof/>
        </w:rPr>
      </w:r>
      <w:r>
        <w:rPr>
          <w:noProof/>
        </w:rPr>
        <w:fldChar w:fldCharType="separate"/>
      </w:r>
      <w:r w:rsidR="0085596D">
        <w:rPr>
          <w:noProof/>
        </w:rPr>
        <w:t>13</w:t>
      </w:r>
      <w:r>
        <w:rPr>
          <w:noProof/>
        </w:rPr>
        <w:fldChar w:fldCharType="end"/>
      </w:r>
    </w:p>
    <w:p w14:paraId="6D0E6CFD" w14:textId="6915F4EC"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3.3</w:t>
      </w:r>
      <w:r w:rsidRPr="008E2183">
        <w:rPr>
          <w:rFonts w:asciiTheme="minorHAnsi" w:eastAsiaTheme="minorEastAsia" w:hAnsiTheme="minorHAnsi"/>
          <w:noProof/>
          <w:sz w:val="22"/>
          <w:szCs w:val="22"/>
          <w:lang w:eastAsia="nl-NL"/>
        </w:rPr>
        <w:tab/>
      </w:r>
      <w:r w:rsidRPr="000617F9">
        <w:rPr>
          <w:noProof/>
          <w:u w:color="000000"/>
          <w:bdr w:val="nil"/>
          <w:lang w:eastAsia="it-IT" w:bidi="en-US"/>
        </w:rPr>
        <w:t>Overview of other relevant measures since 2013</w:t>
      </w:r>
      <w:r>
        <w:rPr>
          <w:noProof/>
        </w:rPr>
        <w:tab/>
      </w:r>
      <w:r>
        <w:rPr>
          <w:noProof/>
        </w:rPr>
        <w:fldChar w:fldCharType="begin"/>
      </w:r>
      <w:r>
        <w:rPr>
          <w:noProof/>
        </w:rPr>
        <w:instrText xml:space="preserve"> PAGEREF _Toc5724449 \h </w:instrText>
      </w:r>
      <w:r>
        <w:rPr>
          <w:noProof/>
        </w:rPr>
      </w:r>
      <w:r>
        <w:rPr>
          <w:noProof/>
        </w:rPr>
        <w:fldChar w:fldCharType="separate"/>
      </w:r>
      <w:r w:rsidR="0085596D">
        <w:rPr>
          <w:noProof/>
        </w:rPr>
        <w:t>13</w:t>
      </w:r>
      <w:r>
        <w:rPr>
          <w:noProof/>
        </w:rPr>
        <w:fldChar w:fldCharType="end"/>
      </w:r>
    </w:p>
    <w:p w14:paraId="5D781FD1" w14:textId="6A47E482"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3.4</w:t>
      </w:r>
      <w:r w:rsidRPr="008E2183">
        <w:rPr>
          <w:rFonts w:asciiTheme="minorHAnsi" w:eastAsiaTheme="minorEastAsia" w:hAnsiTheme="minorHAnsi"/>
          <w:noProof/>
          <w:sz w:val="22"/>
          <w:szCs w:val="22"/>
          <w:lang w:eastAsia="nl-NL"/>
        </w:rPr>
        <w:tab/>
      </w:r>
      <w:r w:rsidRPr="000617F9">
        <w:rPr>
          <w:noProof/>
          <w:u w:color="000000"/>
          <w:bdr w:val="nil"/>
          <w:lang w:eastAsia="it-IT" w:bidi="en-US"/>
        </w:rPr>
        <w:t>Monitoring mechanisms and approaches</w:t>
      </w:r>
      <w:r>
        <w:rPr>
          <w:noProof/>
        </w:rPr>
        <w:tab/>
      </w:r>
      <w:r>
        <w:rPr>
          <w:noProof/>
        </w:rPr>
        <w:fldChar w:fldCharType="begin"/>
      </w:r>
      <w:r>
        <w:rPr>
          <w:noProof/>
        </w:rPr>
        <w:instrText xml:space="preserve"> PAGEREF _Toc5724450 \h </w:instrText>
      </w:r>
      <w:r>
        <w:rPr>
          <w:noProof/>
        </w:rPr>
      </w:r>
      <w:r>
        <w:rPr>
          <w:noProof/>
        </w:rPr>
        <w:fldChar w:fldCharType="separate"/>
      </w:r>
      <w:r w:rsidR="0085596D">
        <w:rPr>
          <w:noProof/>
        </w:rPr>
        <w:t>13</w:t>
      </w:r>
      <w:r>
        <w:rPr>
          <w:noProof/>
        </w:rPr>
        <w:fldChar w:fldCharType="end"/>
      </w:r>
    </w:p>
    <w:p w14:paraId="64698325" w14:textId="66C4853B"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4</w:t>
      </w:r>
      <w:r w:rsidRPr="008E2183">
        <w:rPr>
          <w:rFonts w:asciiTheme="minorHAnsi" w:eastAsiaTheme="minorEastAsia" w:hAnsiTheme="minorHAnsi"/>
          <w:noProof/>
          <w:sz w:val="22"/>
          <w:szCs w:val="22"/>
          <w:lang w:eastAsia="nl-NL"/>
        </w:rPr>
        <w:tab/>
      </w:r>
      <w:r w:rsidRPr="000617F9">
        <w:rPr>
          <w:noProof/>
          <w:u w:color="000000"/>
          <w:bdr w:val="nil"/>
          <w:lang w:eastAsia="it-IT" w:bidi="en-US"/>
        </w:rPr>
        <w:t>Impact and outcomes</w:t>
      </w:r>
      <w:r>
        <w:rPr>
          <w:noProof/>
        </w:rPr>
        <w:tab/>
      </w:r>
      <w:r>
        <w:rPr>
          <w:noProof/>
        </w:rPr>
        <w:fldChar w:fldCharType="begin"/>
      </w:r>
      <w:r>
        <w:rPr>
          <w:noProof/>
        </w:rPr>
        <w:instrText xml:space="preserve"> PAGEREF _Toc5724451 \h </w:instrText>
      </w:r>
      <w:r>
        <w:rPr>
          <w:noProof/>
        </w:rPr>
      </w:r>
      <w:r>
        <w:rPr>
          <w:noProof/>
        </w:rPr>
        <w:fldChar w:fldCharType="separate"/>
      </w:r>
      <w:r w:rsidR="0085596D">
        <w:rPr>
          <w:noProof/>
        </w:rPr>
        <w:t>13</w:t>
      </w:r>
      <w:r>
        <w:rPr>
          <w:noProof/>
        </w:rPr>
        <w:fldChar w:fldCharType="end"/>
      </w:r>
    </w:p>
    <w:p w14:paraId="3ED903B3" w14:textId="2DF80F5E"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val="en-US" w:eastAsia="it-IT" w:bidi="en-US"/>
        </w:rPr>
        <w:t>4.1</w:t>
      </w:r>
      <w:r w:rsidRPr="008E2183">
        <w:rPr>
          <w:rFonts w:asciiTheme="minorHAnsi" w:eastAsiaTheme="minorEastAsia" w:hAnsiTheme="minorHAnsi"/>
          <w:noProof/>
          <w:sz w:val="22"/>
          <w:szCs w:val="22"/>
          <w:lang w:eastAsia="nl-NL"/>
        </w:rPr>
        <w:tab/>
      </w:r>
      <w:r w:rsidRPr="000617F9">
        <w:rPr>
          <w:noProof/>
          <w:u w:color="000000"/>
          <w:bdr w:val="nil"/>
          <w:lang w:val="en-US" w:eastAsia="it-IT" w:bidi="en-US"/>
        </w:rPr>
        <w:t>Progress against explicit targets and milestones</w:t>
      </w:r>
      <w:r>
        <w:rPr>
          <w:noProof/>
        </w:rPr>
        <w:tab/>
      </w:r>
      <w:r>
        <w:rPr>
          <w:noProof/>
        </w:rPr>
        <w:fldChar w:fldCharType="begin"/>
      </w:r>
      <w:r>
        <w:rPr>
          <w:noProof/>
        </w:rPr>
        <w:instrText xml:space="preserve"> PAGEREF _Toc5724452 \h </w:instrText>
      </w:r>
      <w:r>
        <w:rPr>
          <w:noProof/>
        </w:rPr>
      </w:r>
      <w:r>
        <w:rPr>
          <w:noProof/>
        </w:rPr>
        <w:fldChar w:fldCharType="separate"/>
      </w:r>
      <w:r w:rsidR="0085596D">
        <w:rPr>
          <w:noProof/>
        </w:rPr>
        <w:t>13</w:t>
      </w:r>
      <w:r>
        <w:rPr>
          <w:noProof/>
        </w:rPr>
        <w:fldChar w:fldCharType="end"/>
      </w:r>
    </w:p>
    <w:p w14:paraId="266FBB07" w14:textId="5D104F51"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4.2</w:t>
      </w:r>
      <w:r w:rsidRPr="008E2183">
        <w:rPr>
          <w:rFonts w:asciiTheme="minorHAnsi" w:eastAsiaTheme="minorEastAsia" w:hAnsiTheme="minorHAnsi"/>
          <w:noProof/>
          <w:sz w:val="22"/>
          <w:szCs w:val="22"/>
          <w:lang w:eastAsia="nl-NL"/>
        </w:rPr>
        <w:tab/>
      </w:r>
      <w:r w:rsidRPr="000617F9">
        <w:rPr>
          <w:noProof/>
          <w:u w:color="000000"/>
          <w:bdr w:val="nil"/>
          <w:lang w:val="en-US" w:eastAsia="it-IT" w:bidi="en-US"/>
        </w:rPr>
        <w:t>What is replacing institutional care?</w:t>
      </w:r>
      <w:r>
        <w:rPr>
          <w:noProof/>
        </w:rPr>
        <w:tab/>
      </w:r>
      <w:r>
        <w:rPr>
          <w:noProof/>
        </w:rPr>
        <w:fldChar w:fldCharType="begin"/>
      </w:r>
      <w:r>
        <w:rPr>
          <w:noProof/>
        </w:rPr>
        <w:instrText xml:space="preserve"> PAGEREF _Toc5724453 \h </w:instrText>
      </w:r>
      <w:r>
        <w:rPr>
          <w:noProof/>
        </w:rPr>
      </w:r>
      <w:r>
        <w:rPr>
          <w:noProof/>
        </w:rPr>
        <w:fldChar w:fldCharType="separate"/>
      </w:r>
      <w:r w:rsidR="0085596D">
        <w:rPr>
          <w:noProof/>
        </w:rPr>
        <w:t>14</w:t>
      </w:r>
      <w:r>
        <w:rPr>
          <w:noProof/>
        </w:rPr>
        <w:fldChar w:fldCharType="end"/>
      </w:r>
    </w:p>
    <w:p w14:paraId="2766BC95" w14:textId="37F37A31"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4.3</w:t>
      </w:r>
      <w:r w:rsidRPr="008E2183">
        <w:rPr>
          <w:rFonts w:asciiTheme="minorHAnsi" w:eastAsiaTheme="minorEastAsia" w:hAnsiTheme="minorHAnsi"/>
          <w:noProof/>
          <w:sz w:val="22"/>
          <w:szCs w:val="22"/>
          <w:lang w:eastAsia="nl-NL"/>
        </w:rPr>
        <w:tab/>
      </w:r>
      <w:r w:rsidRPr="000617F9">
        <w:rPr>
          <w:noProof/>
          <w:u w:color="000000"/>
          <w:bdr w:val="nil"/>
          <w:lang w:eastAsia="it-IT" w:bidi="en-US"/>
        </w:rPr>
        <w:t>Satisfaction levels among persons with disabilities</w:t>
      </w:r>
      <w:r>
        <w:rPr>
          <w:noProof/>
        </w:rPr>
        <w:tab/>
      </w:r>
      <w:r>
        <w:rPr>
          <w:noProof/>
        </w:rPr>
        <w:fldChar w:fldCharType="begin"/>
      </w:r>
      <w:r>
        <w:rPr>
          <w:noProof/>
        </w:rPr>
        <w:instrText xml:space="preserve"> PAGEREF _Toc5724454 \h </w:instrText>
      </w:r>
      <w:r>
        <w:rPr>
          <w:noProof/>
        </w:rPr>
      </w:r>
      <w:r>
        <w:rPr>
          <w:noProof/>
        </w:rPr>
        <w:fldChar w:fldCharType="separate"/>
      </w:r>
      <w:r w:rsidR="0085596D">
        <w:rPr>
          <w:noProof/>
        </w:rPr>
        <w:t>14</w:t>
      </w:r>
      <w:r>
        <w:rPr>
          <w:noProof/>
        </w:rPr>
        <w:fldChar w:fldCharType="end"/>
      </w:r>
    </w:p>
    <w:p w14:paraId="2B5D6D15" w14:textId="256B62D9"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PART B – Critique and evaluation</w:t>
      </w:r>
      <w:r>
        <w:rPr>
          <w:noProof/>
        </w:rPr>
        <w:tab/>
      </w:r>
      <w:r>
        <w:rPr>
          <w:noProof/>
        </w:rPr>
        <w:fldChar w:fldCharType="begin"/>
      </w:r>
      <w:r>
        <w:rPr>
          <w:noProof/>
        </w:rPr>
        <w:instrText xml:space="preserve"> PAGEREF _Toc5724455 \h </w:instrText>
      </w:r>
      <w:r>
        <w:rPr>
          <w:noProof/>
        </w:rPr>
      </w:r>
      <w:r>
        <w:rPr>
          <w:noProof/>
        </w:rPr>
        <w:fldChar w:fldCharType="separate"/>
      </w:r>
      <w:r w:rsidR="0085596D">
        <w:rPr>
          <w:noProof/>
        </w:rPr>
        <w:t>15</w:t>
      </w:r>
      <w:r>
        <w:rPr>
          <w:noProof/>
        </w:rPr>
        <w:fldChar w:fldCharType="end"/>
      </w:r>
    </w:p>
    <w:p w14:paraId="3A2E8703" w14:textId="7A2EF375"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5</w:t>
      </w:r>
      <w:r w:rsidRPr="008E2183">
        <w:rPr>
          <w:rFonts w:asciiTheme="minorHAnsi" w:eastAsiaTheme="minorEastAsia" w:hAnsiTheme="minorHAnsi"/>
          <w:noProof/>
          <w:sz w:val="22"/>
          <w:szCs w:val="22"/>
          <w:lang w:eastAsia="nl-NL"/>
        </w:rPr>
        <w:tab/>
      </w:r>
      <w:r w:rsidRPr="000617F9">
        <w:rPr>
          <w:noProof/>
          <w:u w:color="000000"/>
          <w:bdr w:val="nil"/>
          <w:lang w:eastAsia="it-IT" w:bidi="en-US"/>
        </w:rPr>
        <w:t>Observations and recommendations of official bodies</w:t>
      </w:r>
      <w:r>
        <w:rPr>
          <w:noProof/>
        </w:rPr>
        <w:tab/>
      </w:r>
      <w:r>
        <w:rPr>
          <w:noProof/>
        </w:rPr>
        <w:fldChar w:fldCharType="begin"/>
      </w:r>
      <w:r>
        <w:rPr>
          <w:noProof/>
        </w:rPr>
        <w:instrText xml:space="preserve"> PAGEREF _Toc5724456 \h </w:instrText>
      </w:r>
      <w:r>
        <w:rPr>
          <w:noProof/>
        </w:rPr>
      </w:r>
      <w:r>
        <w:rPr>
          <w:noProof/>
        </w:rPr>
        <w:fldChar w:fldCharType="separate"/>
      </w:r>
      <w:r w:rsidR="0085596D">
        <w:rPr>
          <w:noProof/>
        </w:rPr>
        <w:t>15</w:t>
      </w:r>
      <w:r>
        <w:rPr>
          <w:noProof/>
        </w:rPr>
        <w:fldChar w:fldCharType="end"/>
      </w:r>
    </w:p>
    <w:p w14:paraId="25FE4367" w14:textId="6481EF9A"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5.1</w:t>
      </w:r>
      <w:r w:rsidRPr="008E2183">
        <w:rPr>
          <w:rFonts w:asciiTheme="minorHAnsi" w:eastAsiaTheme="minorEastAsia" w:hAnsiTheme="minorHAnsi"/>
          <w:noProof/>
          <w:sz w:val="22"/>
          <w:szCs w:val="22"/>
          <w:lang w:eastAsia="nl-NL"/>
        </w:rPr>
        <w:tab/>
      </w:r>
      <w:r w:rsidRPr="000617F9">
        <w:rPr>
          <w:noProof/>
          <w:u w:color="000000"/>
          <w:bdr w:val="nil"/>
          <w:lang w:eastAsia="it-IT" w:bidi="en-US"/>
        </w:rPr>
        <w:t>Observations by the UN Committee on the Rights of Persons with Disabilities on Article 19</w:t>
      </w:r>
      <w:r>
        <w:rPr>
          <w:noProof/>
        </w:rPr>
        <w:tab/>
      </w:r>
      <w:r>
        <w:rPr>
          <w:noProof/>
        </w:rPr>
        <w:fldChar w:fldCharType="begin"/>
      </w:r>
      <w:r>
        <w:rPr>
          <w:noProof/>
        </w:rPr>
        <w:instrText xml:space="preserve"> PAGEREF _Toc5724457 \h </w:instrText>
      </w:r>
      <w:r>
        <w:rPr>
          <w:noProof/>
        </w:rPr>
      </w:r>
      <w:r>
        <w:rPr>
          <w:noProof/>
        </w:rPr>
        <w:fldChar w:fldCharType="separate"/>
      </w:r>
      <w:r w:rsidR="0085596D">
        <w:rPr>
          <w:noProof/>
        </w:rPr>
        <w:t>15</w:t>
      </w:r>
      <w:r>
        <w:rPr>
          <w:noProof/>
        </w:rPr>
        <w:fldChar w:fldCharType="end"/>
      </w:r>
    </w:p>
    <w:p w14:paraId="266C7A92" w14:textId="78DD02A6"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5.2</w:t>
      </w:r>
      <w:r w:rsidRPr="008E2183">
        <w:rPr>
          <w:rFonts w:asciiTheme="minorHAnsi" w:eastAsiaTheme="minorEastAsia" w:hAnsiTheme="minorHAnsi"/>
          <w:noProof/>
          <w:sz w:val="22"/>
          <w:szCs w:val="22"/>
          <w:lang w:eastAsia="nl-NL"/>
        </w:rPr>
        <w:tab/>
      </w:r>
      <w:r w:rsidRPr="000617F9">
        <w:rPr>
          <w:noProof/>
          <w:u w:color="000000"/>
          <w:bdr w:val="nil"/>
          <w:lang w:eastAsia="it-IT" w:bidi="en-US"/>
        </w:rPr>
        <w:t>Recent observations by other official European and international bodies</w:t>
      </w:r>
      <w:r>
        <w:rPr>
          <w:noProof/>
        </w:rPr>
        <w:tab/>
      </w:r>
      <w:r>
        <w:rPr>
          <w:noProof/>
        </w:rPr>
        <w:fldChar w:fldCharType="begin"/>
      </w:r>
      <w:r>
        <w:rPr>
          <w:noProof/>
        </w:rPr>
        <w:instrText xml:space="preserve"> PAGEREF _Toc5724458 \h </w:instrText>
      </w:r>
      <w:r>
        <w:rPr>
          <w:noProof/>
        </w:rPr>
      </w:r>
      <w:r>
        <w:rPr>
          <w:noProof/>
        </w:rPr>
        <w:fldChar w:fldCharType="separate"/>
      </w:r>
      <w:r w:rsidR="0085596D">
        <w:rPr>
          <w:noProof/>
        </w:rPr>
        <w:t>15</w:t>
      </w:r>
      <w:r>
        <w:rPr>
          <w:noProof/>
        </w:rPr>
        <w:fldChar w:fldCharType="end"/>
      </w:r>
    </w:p>
    <w:p w14:paraId="2AA6F6B3" w14:textId="23AD8FCA"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5.3</w:t>
      </w:r>
      <w:r w:rsidRPr="008E2183">
        <w:rPr>
          <w:rFonts w:asciiTheme="minorHAnsi" w:eastAsiaTheme="minorEastAsia" w:hAnsiTheme="minorHAnsi"/>
          <w:noProof/>
          <w:sz w:val="22"/>
          <w:szCs w:val="22"/>
          <w:lang w:eastAsia="nl-NL"/>
        </w:rPr>
        <w:tab/>
      </w:r>
      <w:r w:rsidRPr="000617F9">
        <w:rPr>
          <w:noProof/>
          <w:u w:color="000000"/>
          <w:bdr w:val="nil"/>
          <w:lang w:eastAsia="it-IT" w:bidi="en-US"/>
        </w:rPr>
        <w:t>Observations and recommendations by national human rights bodies</w:t>
      </w:r>
      <w:r>
        <w:rPr>
          <w:noProof/>
        </w:rPr>
        <w:tab/>
      </w:r>
      <w:r>
        <w:rPr>
          <w:noProof/>
        </w:rPr>
        <w:fldChar w:fldCharType="begin"/>
      </w:r>
      <w:r>
        <w:rPr>
          <w:noProof/>
        </w:rPr>
        <w:instrText xml:space="preserve"> PAGEREF _Toc5724459 \h </w:instrText>
      </w:r>
      <w:r>
        <w:rPr>
          <w:noProof/>
        </w:rPr>
      </w:r>
      <w:r>
        <w:rPr>
          <w:noProof/>
        </w:rPr>
        <w:fldChar w:fldCharType="separate"/>
      </w:r>
      <w:r w:rsidR="0085596D">
        <w:rPr>
          <w:noProof/>
        </w:rPr>
        <w:t>16</w:t>
      </w:r>
      <w:r>
        <w:rPr>
          <w:noProof/>
        </w:rPr>
        <w:fldChar w:fldCharType="end"/>
      </w:r>
    </w:p>
    <w:p w14:paraId="62530BB0" w14:textId="32387FAC"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5.4</w:t>
      </w:r>
      <w:r w:rsidRPr="008E2183">
        <w:rPr>
          <w:rFonts w:asciiTheme="minorHAnsi" w:eastAsiaTheme="minorEastAsia" w:hAnsiTheme="minorHAnsi"/>
          <w:noProof/>
          <w:sz w:val="22"/>
          <w:szCs w:val="22"/>
          <w:lang w:eastAsia="nl-NL"/>
        </w:rPr>
        <w:tab/>
      </w:r>
      <w:r w:rsidRPr="000617F9">
        <w:rPr>
          <w:noProof/>
          <w:u w:color="000000"/>
          <w:bdr w:val="nil"/>
          <w:lang w:eastAsia="it-IT" w:bidi="en-US"/>
        </w:rPr>
        <w:t>Observations and recommendations by national or regional/devolved Parliaments and assemblies</w:t>
      </w:r>
      <w:r>
        <w:rPr>
          <w:noProof/>
        </w:rPr>
        <w:tab/>
      </w:r>
      <w:r>
        <w:rPr>
          <w:noProof/>
        </w:rPr>
        <w:fldChar w:fldCharType="begin"/>
      </w:r>
      <w:r>
        <w:rPr>
          <w:noProof/>
        </w:rPr>
        <w:instrText xml:space="preserve"> PAGEREF _Toc5724460 \h </w:instrText>
      </w:r>
      <w:r>
        <w:rPr>
          <w:noProof/>
        </w:rPr>
      </w:r>
      <w:r>
        <w:rPr>
          <w:noProof/>
        </w:rPr>
        <w:fldChar w:fldCharType="separate"/>
      </w:r>
      <w:r w:rsidR="0085596D">
        <w:rPr>
          <w:noProof/>
        </w:rPr>
        <w:t>17</w:t>
      </w:r>
      <w:r>
        <w:rPr>
          <w:noProof/>
        </w:rPr>
        <w:fldChar w:fldCharType="end"/>
      </w:r>
    </w:p>
    <w:p w14:paraId="26F456E6" w14:textId="169054E4"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6</w:t>
      </w:r>
      <w:r w:rsidRPr="008E2183">
        <w:rPr>
          <w:rFonts w:asciiTheme="minorHAnsi" w:eastAsiaTheme="minorEastAsia" w:hAnsiTheme="minorHAnsi"/>
          <w:noProof/>
          <w:sz w:val="22"/>
          <w:szCs w:val="22"/>
          <w:lang w:eastAsia="nl-NL"/>
        </w:rPr>
        <w:tab/>
      </w:r>
      <w:r w:rsidRPr="000617F9">
        <w:rPr>
          <w:noProof/>
          <w:u w:color="000000"/>
          <w:bdr w:val="nil"/>
          <w:lang w:eastAsia="it-IT" w:bidi="en-US"/>
        </w:rPr>
        <w:t>Views and perspectives of civil society including DPOs</w:t>
      </w:r>
      <w:r>
        <w:rPr>
          <w:noProof/>
        </w:rPr>
        <w:tab/>
      </w:r>
      <w:r>
        <w:rPr>
          <w:noProof/>
        </w:rPr>
        <w:fldChar w:fldCharType="begin"/>
      </w:r>
      <w:r>
        <w:rPr>
          <w:noProof/>
        </w:rPr>
        <w:instrText xml:space="preserve"> PAGEREF _Toc5724461 \h </w:instrText>
      </w:r>
      <w:r>
        <w:rPr>
          <w:noProof/>
        </w:rPr>
      </w:r>
      <w:r>
        <w:rPr>
          <w:noProof/>
        </w:rPr>
        <w:fldChar w:fldCharType="separate"/>
      </w:r>
      <w:r w:rsidR="0085596D">
        <w:rPr>
          <w:noProof/>
        </w:rPr>
        <w:t>17</w:t>
      </w:r>
      <w:r>
        <w:rPr>
          <w:noProof/>
        </w:rPr>
        <w:fldChar w:fldCharType="end"/>
      </w:r>
    </w:p>
    <w:p w14:paraId="06B687FB" w14:textId="6320E838"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6.1</w:t>
      </w:r>
      <w:r w:rsidRPr="008E2183">
        <w:rPr>
          <w:rFonts w:asciiTheme="minorHAnsi" w:eastAsiaTheme="minorEastAsia" w:hAnsiTheme="minorHAnsi"/>
          <w:noProof/>
          <w:sz w:val="22"/>
          <w:szCs w:val="22"/>
          <w:lang w:eastAsia="nl-NL"/>
        </w:rPr>
        <w:tab/>
      </w:r>
      <w:r w:rsidRPr="000617F9">
        <w:rPr>
          <w:noProof/>
          <w:u w:color="000000"/>
          <w:bdr w:val="nil"/>
          <w:lang w:eastAsia="it-IT" w:bidi="en-US"/>
        </w:rPr>
        <w:t>UNCRPD civil society shadow and alternative reports</w:t>
      </w:r>
      <w:r>
        <w:rPr>
          <w:noProof/>
        </w:rPr>
        <w:tab/>
      </w:r>
      <w:r>
        <w:rPr>
          <w:noProof/>
        </w:rPr>
        <w:fldChar w:fldCharType="begin"/>
      </w:r>
      <w:r>
        <w:rPr>
          <w:noProof/>
        </w:rPr>
        <w:instrText xml:space="preserve"> PAGEREF _Toc5724462 \h </w:instrText>
      </w:r>
      <w:r>
        <w:rPr>
          <w:noProof/>
        </w:rPr>
      </w:r>
      <w:r>
        <w:rPr>
          <w:noProof/>
        </w:rPr>
        <w:fldChar w:fldCharType="separate"/>
      </w:r>
      <w:r w:rsidR="0085596D">
        <w:rPr>
          <w:noProof/>
        </w:rPr>
        <w:t>17</w:t>
      </w:r>
      <w:r>
        <w:rPr>
          <w:noProof/>
        </w:rPr>
        <w:fldChar w:fldCharType="end"/>
      </w:r>
    </w:p>
    <w:p w14:paraId="238B542B" w14:textId="544B0625"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6.2</w:t>
      </w:r>
      <w:r w:rsidRPr="008E2183">
        <w:rPr>
          <w:rFonts w:asciiTheme="minorHAnsi" w:eastAsiaTheme="minorEastAsia" w:hAnsiTheme="minorHAnsi"/>
          <w:noProof/>
          <w:sz w:val="22"/>
          <w:szCs w:val="22"/>
          <w:lang w:eastAsia="nl-NL"/>
        </w:rPr>
        <w:tab/>
      </w:r>
      <w:r w:rsidRPr="000617F9">
        <w:rPr>
          <w:noProof/>
          <w:u w:color="000000"/>
          <w:bdr w:val="nil"/>
          <w:lang w:eastAsia="it-IT" w:bidi="en-US"/>
        </w:rPr>
        <w:t>‘Grey literature’ at the national level</w:t>
      </w:r>
      <w:r>
        <w:rPr>
          <w:noProof/>
        </w:rPr>
        <w:tab/>
      </w:r>
      <w:r>
        <w:rPr>
          <w:noProof/>
        </w:rPr>
        <w:fldChar w:fldCharType="begin"/>
      </w:r>
      <w:r>
        <w:rPr>
          <w:noProof/>
        </w:rPr>
        <w:instrText xml:space="preserve"> PAGEREF _Toc5724463 \h </w:instrText>
      </w:r>
      <w:r>
        <w:rPr>
          <w:noProof/>
        </w:rPr>
      </w:r>
      <w:r>
        <w:rPr>
          <w:noProof/>
        </w:rPr>
        <w:fldChar w:fldCharType="separate"/>
      </w:r>
      <w:r w:rsidR="0085596D">
        <w:rPr>
          <w:noProof/>
        </w:rPr>
        <w:t>19</w:t>
      </w:r>
      <w:r>
        <w:rPr>
          <w:noProof/>
        </w:rPr>
        <w:fldChar w:fldCharType="end"/>
      </w:r>
    </w:p>
    <w:p w14:paraId="3328C100" w14:textId="3B7B475E" w:rsidR="008E2183" w:rsidRPr="008E2183" w:rsidRDefault="008E2183">
      <w:pPr>
        <w:pStyle w:val="TOC2"/>
        <w:tabs>
          <w:tab w:val="left" w:pos="1134"/>
        </w:tabs>
        <w:rPr>
          <w:rFonts w:asciiTheme="minorHAnsi" w:eastAsiaTheme="minorEastAsia" w:hAnsiTheme="minorHAnsi"/>
          <w:noProof/>
          <w:sz w:val="22"/>
          <w:szCs w:val="22"/>
          <w:lang w:eastAsia="nl-NL"/>
        </w:rPr>
      </w:pPr>
      <w:r w:rsidRPr="000617F9">
        <w:rPr>
          <w:noProof/>
          <w:u w:color="000000"/>
          <w:bdr w:val="nil"/>
          <w:lang w:eastAsia="it-IT" w:bidi="en-US"/>
        </w:rPr>
        <w:t>6.3</w:t>
      </w:r>
      <w:r w:rsidRPr="008E2183">
        <w:rPr>
          <w:rFonts w:asciiTheme="minorHAnsi" w:eastAsiaTheme="minorEastAsia" w:hAnsiTheme="minorHAnsi"/>
          <w:noProof/>
          <w:sz w:val="22"/>
          <w:szCs w:val="22"/>
          <w:lang w:eastAsia="nl-NL"/>
        </w:rPr>
        <w:tab/>
      </w:r>
      <w:r w:rsidRPr="000617F9">
        <w:rPr>
          <w:noProof/>
          <w:u w:color="000000"/>
          <w:bdr w:val="nil"/>
          <w:lang w:eastAsia="it-IT" w:bidi="en-US"/>
        </w:rPr>
        <w:t>Pan-European and international civil society organisations</w:t>
      </w:r>
      <w:r>
        <w:rPr>
          <w:noProof/>
        </w:rPr>
        <w:tab/>
      </w:r>
      <w:r>
        <w:rPr>
          <w:noProof/>
        </w:rPr>
        <w:fldChar w:fldCharType="begin"/>
      </w:r>
      <w:r>
        <w:rPr>
          <w:noProof/>
        </w:rPr>
        <w:instrText xml:space="preserve"> PAGEREF _Toc5724464 \h </w:instrText>
      </w:r>
      <w:r>
        <w:rPr>
          <w:noProof/>
        </w:rPr>
      </w:r>
      <w:r>
        <w:rPr>
          <w:noProof/>
        </w:rPr>
        <w:fldChar w:fldCharType="separate"/>
      </w:r>
      <w:r w:rsidR="0085596D">
        <w:rPr>
          <w:noProof/>
        </w:rPr>
        <w:t>20</w:t>
      </w:r>
      <w:r>
        <w:rPr>
          <w:noProof/>
        </w:rPr>
        <w:fldChar w:fldCharType="end"/>
      </w:r>
    </w:p>
    <w:p w14:paraId="3D80EC80" w14:textId="207AF250"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7</w:t>
      </w:r>
      <w:r w:rsidRPr="008E2183">
        <w:rPr>
          <w:rFonts w:asciiTheme="minorHAnsi" w:eastAsiaTheme="minorEastAsia" w:hAnsiTheme="minorHAnsi"/>
          <w:noProof/>
          <w:sz w:val="22"/>
          <w:szCs w:val="22"/>
          <w:lang w:eastAsia="nl-NL"/>
        </w:rPr>
        <w:tab/>
      </w:r>
      <w:r w:rsidRPr="000617F9">
        <w:rPr>
          <w:noProof/>
          <w:u w:color="000000"/>
          <w:bdr w:val="nil"/>
          <w:lang w:eastAsia="it-IT" w:bidi="en-US"/>
        </w:rPr>
        <w:t>Academic research</w:t>
      </w:r>
      <w:r>
        <w:rPr>
          <w:noProof/>
        </w:rPr>
        <w:tab/>
      </w:r>
      <w:r>
        <w:rPr>
          <w:noProof/>
        </w:rPr>
        <w:fldChar w:fldCharType="begin"/>
      </w:r>
      <w:r>
        <w:rPr>
          <w:noProof/>
        </w:rPr>
        <w:instrText xml:space="preserve"> PAGEREF _Toc5724465 \h </w:instrText>
      </w:r>
      <w:r>
        <w:rPr>
          <w:noProof/>
        </w:rPr>
      </w:r>
      <w:r>
        <w:rPr>
          <w:noProof/>
        </w:rPr>
        <w:fldChar w:fldCharType="separate"/>
      </w:r>
      <w:r w:rsidR="0085596D">
        <w:rPr>
          <w:noProof/>
        </w:rPr>
        <w:t>20</w:t>
      </w:r>
      <w:r>
        <w:rPr>
          <w:noProof/>
        </w:rPr>
        <w:fldChar w:fldCharType="end"/>
      </w:r>
    </w:p>
    <w:p w14:paraId="15FDB9A1" w14:textId="734590F4"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PART C – Key points</w:t>
      </w:r>
      <w:r>
        <w:rPr>
          <w:noProof/>
        </w:rPr>
        <w:tab/>
      </w:r>
      <w:r>
        <w:rPr>
          <w:noProof/>
        </w:rPr>
        <w:fldChar w:fldCharType="begin"/>
      </w:r>
      <w:r>
        <w:rPr>
          <w:noProof/>
        </w:rPr>
        <w:instrText xml:space="preserve"> PAGEREF _Toc5724466 \h </w:instrText>
      </w:r>
      <w:r>
        <w:rPr>
          <w:noProof/>
        </w:rPr>
      </w:r>
      <w:r>
        <w:rPr>
          <w:noProof/>
        </w:rPr>
        <w:fldChar w:fldCharType="separate"/>
      </w:r>
      <w:r w:rsidR="0085596D">
        <w:rPr>
          <w:noProof/>
        </w:rPr>
        <w:t>22</w:t>
      </w:r>
      <w:r>
        <w:rPr>
          <w:noProof/>
        </w:rPr>
        <w:fldChar w:fldCharType="end"/>
      </w:r>
    </w:p>
    <w:p w14:paraId="41C701C5" w14:textId="22C7A3E0"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8</w:t>
      </w:r>
      <w:r w:rsidRPr="008E2183">
        <w:rPr>
          <w:rFonts w:asciiTheme="minorHAnsi" w:eastAsiaTheme="minorEastAsia" w:hAnsiTheme="minorHAnsi"/>
          <w:noProof/>
          <w:sz w:val="22"/>
          <w:szCs w:val="22"/>
          <w:lang w:eastAsia="nl-NL"/>
        </w:rPr>
        <w:tab/>
      </w:r>
      <w:r w:rsidRPr="000617F9">
        <w:rPr>
          <w:noProof/>
          <w:u w:color="000000"/>
          <w:bdr w:val="nil"/>
          <w:lang w:eastAsia="it-IT" w:bidi="en-US"/>
        </w:rPr>
        <w:t>Positive developments, including promising practice examples</w:t>
      </w:r>
      <w:r>
        <w:rPr>
          <w:noProof/>
        </w:rPr>
        <w:tab/>
      </w:r>
      <w:r>
        <w:rPr>
          <w:noProof/>
        </w:rPr>
        <w:fldChar w:fldCharType="begin"/>
      </w:r>
      <w:r>
        <w:rPr>
          <w:noProof/>
        </w:rPr>
        <w:instrText xml:space="preserve"> PAGEREF _Toc5724467 \h </w:instrText>
      </w:r>
      <w:r>
        <w:rPr>
          <w:noProof/>
        </w:rPr>
      </w:r>
      <w:r>
        <w:rPr>
          <w:noProof/>
        </w:rPr>
        <w:fldChar w:fldCharType="separate"/>
      </w:r>
      <w:r w:rsidR="0085596D">
        <w:rPr>
          <w:noProof/>
        </w:rPr>
        <w:t>22</w:t>
      </w:r>
      <w:r>
        <w:rPr>
          <w:noProof/>
        </w:rPr>
        <w:fldChar w:fldCharType="end"/>
      </w:r>
    </w:p>
    <w:p w14:paraId="0A9BC9D2" w14:textId="2B072AE4" w:rsidR="008E2183" w:rsidRPr="008E2183"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9</w:t>
      </w:r>
      <w:r w:rsidRPr="008E2183">
        <w:rPr>
          <w:rFonts w:asciiTheme="minorHAnsi" w:eastAsiaTheme="minorEastAsia" w:hAnsiTheme="minorHAnsi"/>
          <w:noProof/>
          <w:sz w:val="22"/>
          <w:szCs w:val="22"/>
          <w:lang w:eastAsia="nl-NL"/>
        </w:rPr>
        <w:tab/>
      </w:r>
      <w:r w:rsidRPr="000617F9">
        <w:rPr>
          <w:noProof/>
          <w:u w:color="000000"/>
          <w:bdr w:val="nil"/>
          <w:lang w:eastAsia="it-IT" w:bidi="en-US"/>
        </w:rPr>
        <w:t>Negative developments including examples of poor practice</w:t>
      </w:r>
      <w:r>
        <w:rPr>
          <w:noProof/>
        </w:rPr>
        <w:tab/>
      </w:r>
      <w:r>
        <w:rPr>
          <w:noProof/>
        </w:rPr>
        <w:fldChar w:fldCharType="begin"/>
      </w:r>
      <w:r>
        <w:rPr>
          <w:noProof/>
        </w:rPr>
        <w:instrText xml:space="preserve"> PAGEREF _Toc5724468 \h </w:instrText>
      </w:r>
      <w:r>
        <w:rPr>
          <w:noProof/>
        </w:rPr>
      </w:r>
      <w:r>
        <w:rPr>
          <w:noProof/>
        </w:rPr>
        <w:fldChar w:fldCharType="separate"/>
      </w:r>
      <w:r w:rsidR="0085596D">
        <w:rPr>
          <w:noProof/>
        </w:rPr>
        <w:t>24</w:t>
      </w:r>
      <w:r>
        <w:rPr>
          <w:noProof/>
        </w:rPr>
        <w:fldChar w:fldCharType="end"/>
      </w:r>
    </w:p>
    <w:p w14:paraId="159A3C4F" w14:textId="5C21DA90" w:rsidR="008E2183" w:rsidRPr="001D4E07" w:rsidRDefault="008E2183">
      <w:pPr>
        <w:pStyle w:val="TOC1"/>
        <w:rPr>
          <w:rFonts w:asciiTheme="minorHAnsi" w:eastAsiaTheme="minorEastAsia" w:hAnsiTheme="minorHAnsi"/>
          <w:noProof/>
          <w:sz w:val="22"/>
          <w:szCs w:val="22"/>
          <w:lang w:eastAsia="nl-NL"/>
        </w:rPr>
      </w:pPr>
      <w:r w:rsidRPr="000617F9">
        <w:rPr>
          <w:noProof/>
          <w:u w:color="000000"/>
          <w:bdr w:val="nil"/>
          <w:lang w:eastAsia="it-IT" w:bidi="en-US"/>
        </w:rPr>
        <w:t>10</w:t>
      </w:r>
      <w:r w:rsidRPr="001D4E07">
        <w:rPr>
          <w:rFonts w:asciiTheme="minorHAnsi" w:eastAsiaTheme="minorEastAsia" w:hAnsiTheme="minorHAnsi"/>
          <w:noProof/>
          <w:sz w:val="22"/>
          <w:szCs w:val="22"/>
          <w:lang w:eastAsia="nl-NL"/>
        </w:rPr>
        <w:tab/>
      </w:r>
      <w:r w:rsidRPr="000617F9">
        <w:rPr>
          <w:noProof/>
          <w:u w:color="000000"/>
          <w:bdr w:val="nil"/>
          <w:lang w:eastAsia="it-IT" w:bidi="en-US"/>
        </w:rPr>
        <w:t>Recommendations</w:t>
      </w:r>
      <w:r>
        <w:rPr>
          <w:noProof/>
        </w:rPr>
        <w:tab/>
      </w:r>
      <w:r>
        <w:rPr>
          <w:noProof/>
        </w:rPr>
        <w:fldChar w:fldCharType="begin"/>
      </w:r>
      <w:r>
        <w:rPr>
          <w:noProof/>
        </w:rPr>
        <w:instrText xml:space="preserve"> PAGEREF _Toc5724469 \h </w:instrText>
      </w:r>
      <w:r>
        <w:rPr>
          <w:noProof/>
        </w:rPr>
      </w:r>
      <w:r>
        <w:rPr>
          <w:noProof/>
        </w:rPr>
        <w:fldChar w:fldCharType="separate"/>
      </w:r>
      <w:r w:rsidR="0085596D">
        <w:rPr>
          <w:noProof/>
        </w:rPr>
        <w:t>24</w:t>
      </w:r>
      <w:r>
        <w:rPr>
          <w:noProof/>
        </w:rPr>
        <w:fldChar w:fldCharType="end"/>
      </w:r>
    </w:p>
    <w:p w14:paraId="627662F8" w14:textId="77777777" w:rsidR="001A3B30" w:rsidRPr="001A3B30" w:rsidRDefault="001A3B30" w:rsidP="001A3B30">
      <w:pPr>
        <w:jc w:val="both"/>
        <w:rPr>
          <w:rFonts w:cs="Arial"/>
          <w:szCs w:val="24"/>
          <w:lang w:eastAsia="it-IT"/>
        </w:rPr>
      </w:pPr>
      <w:r w:rsidRPr="001A3B30">
        <w:rPr>
          <w:rFonts w:cs="Arial"/>
          <w:szCs w:val="24"/>
          <w:lang w:eastAsia="it-IT"/>
        </w:rPr>
        <w:fldChar w:fldCharType="end"/>
      </w:r>
    </w:p>
    <w:p w14:paraId="72BFBCF4" w14:textId="77777777" w:rsidR="001A3B30" w:rsidRPr="001A3B30" w:rsidRDefault="001A3B30" w:rsidP="001A3B30">
      <w:pPr>
        <w:pBdr>
          <w:top w:val="nil"/>
          <w:left w:val="nil"/>
          <w:bottom w:val="nil"/>
          <w:right w:val="nil"/>
          <w:between w:val="nil"/>
          <w:bar w:val="nil"/>
        </w:pBdr>
        <w:rPr>
          <w:rFonts w:cs="Arial"/>
          <w:szCs w:val="24"/>
          <w:lang w:eastAsia="it-IT"/>
        </w:rPr>
      </w:pPr>
      <w:r w:rsidRPr="001A3B30">
        <w:rPr>
          <w:rFonts w:cs="Arial"/>
          <w:szCs w:val="24"/>
          <w:lang w:eastAsia="it-IT"/>
        </w:rPr>
        <w:br w:type="page"/>
      </w:r>
    </w:p>
    <w:p w14:paraId="40C0CCF5" w14:textId="77777777" w:rsidR="00000C42" w:rsidRPr="001A3B30" w:rsidRDefault="00E86322" w:rsidP="001A3B30">
      <w:pPr>
        <w:pBdr>
          <w:top w:val="nil"/>
          <w:left w:val="nil"/>
          <w:bottom w:val="nil"/>
          <w:right w:val="nil"/>
          <w:between w:val="nil"/>
          <w:bar w:val="nil"/>
        </w:pBdr>
        <w:ind w:left="574" w:hanging="574"/>
        <w:outlineLvl w:val="0"/>
        <w:rPr>
          <w:rFonts w:eastAsia="Arial" w:cs="Arial"/>
          <w:b/>
          <w:bCs/>
          <w:color w:val="000000"/>
          <w:szCs w:val="24"/>
          <w:u w:color="000000"/>
          <w:bdr w:val="nil"/>
          <w:lang w:eastAsia="it-IT"/>
        </w:rPr>
      </w:pPr>
      <w:r w:rsidRPr="001A3B30">
        <w:rPr>
          <w:rFonts w:eastAsia="Arial" w:cs="Arial"/>
          <w:b/>
          <w:bCs/>
          <w:color w:val="000000"/>
          <w:szCs w:val="24"/>
          <w:u w:color="000000"/>
          <w:bdr w:val="nil"/>
          <w:lang w:eastAsia="it-IT"/>
        </w:rPr>
        <w:lastRenderedPageBreak/>
        <w:t>PART A – Factual information and statistical data</w:t>
      </w:r>
    </w:p>
    <w:bookmarkEnd w:id="2"/>
    <w:p w14:paraId="3F83B7A2" w14:textId="77777777" w:rsidR="001A3B30" w:rsidRPr="001A3B30" w:rsidRDefault="001A3B30" w:rsidP="001A3B30">
      <w:pPr>
        <w:jc w:val="both"/>
        <w:rPr>
          <w:rFonts w:ascii="Times New Roman" w:hAnsi="Times New Roman"/>
          <w:szCs w:val="24"/>
          <w:lang w:eastAsia="it-IT"/>
        </w:rPr>
      </w:pPr>
    </w:p>
    <w:p w14:paraId="3B289985" w14:textId="77777777" w:rsidR="001A3B30" w:rsidRPr="001A3B30" w:rsidRDefault="00E86322" w:rsidP="001A3B30">
      <w:pPr>
        <w:pStyle w:val="Heading1"/>
        <w:rPr>
          <w:u w:color="000000"/>
          <w:bdr w:val="nil"/>
          <w:lang w:eastAsia="it-IT"/>
        </w:rPr>
      </w:pPr>
      <w:bookmarkStart w:id="4" w:name="_Toc5724437"/>
      <w:r w:rsidRPr="001A3B30">
        <w:rPr>
          <w:u w:color="000000"/>
          <w:bdr w:val="nil"/>
          <w:lang w:eastAsia="it-IT"/>
        </w:rPr>
        <w:t>Current situation and direction of travel</w:t>
      </w:r>
      <w:bookmarkEnd w:id="4"/>
    </w:p>
    <w:p w14:paraId="1F964ABA" w14:textId="77777777" w:rsidR="001A3B30" w:rsidRPr="001A3B30" w:rsidRDefault="001A3B30" w:rsidP="001A3B30">
      <w:pPr>
        <w:jc w:val="both"/>
        <w:rPr>
          <w:rFonts w:ascii="Times New Roman" w:hAnsi="Times New Roman"/>
          <w:szCs w:val="24"/>
          <w:lang w:eastAsia="it-IT"/>
        </w:rPr>
      </w:pPr>
    </w:p>
    <w:p w14:paraId="63BD7904" w14:textId="77777777" w:rsidR="00000C42" w:rsidRPr="001A3B30" w:rsidRDefault="00E86322" w:rsidP="00000C42">
      <w:pPr>
        <w:pStyle w:val="Heading2"/>
        <w:rPr>
          <w:u w:color="000000"/>
          <w:bdr w:val="nil"/>
          <w:lang w:eastAsia="it-IT"/>
        </w:rPr>
      </w:pPr>
      <w:bookmarkStart w:id="5" w:name="_Toc5724438"/>
      <w:r w:rsidRPr="001A3B30">
        <w:rPr>
          <w:u w:color="000000"/>
          <w:bdr w:val="nil"/>
          <w:lang w:eastAsia="it-IT"/>
        </w:rPr>
        <w:t>Numbers and proportions of disabled children and adults residing in institutional care or community-based settings</w:t>
      </w:r>
      <w:bookmarkEnd w:id="5"/>
    </w:p>
    <w:p w14:paraId="76D8782D" w14:textId="77777777" w:rsidR="001A3B30" w:rsidRPr="001A3B30" w:rsidRDefault="001A3B30" w:rsidP="001A3B30">
      <w:pPr>
        <w:jc w:val="both"/>
        <w:rPr>
          <w:rFonts w:ascii="Times New Roman" w:hAnsi="Times New Roman"/>
          <w:szCs w:val="24"/>
          <w:lang w:eastAsia="it-IT"/>
        </w:rPr>
      </w:pPr>
    </w:p>
    <w:p w14:paraId="69873B80" w14:textId="77777777" w:rsidR="00000C42" w:rsidRPr="001A3B30" w:rsidRDefault="00E86322" w:rsidP="00E86322">
      <w:pPr>
        <w:pStyle w:val="Heading3"/>
        <w:rPr>
          <w:u w:color="000000"/>
          <w:bdr w:val="nil"/>
          <w:lang w:eastAsia="it-IT"/>
        </w:rPr>
      </w:pPr>
      <w:r w:rsidRPr="001A3B30">
        <w:rPr>
          <w:u w:color="000000"/>
          <w:bdr w:val="nil"/>
          <w:lang w:eastAsia="it-IT"/>
        </w:rPr>
        <w:t>Current figures</w:t>
      </w:r>
    </w:p>
    <w:p w14:paraId="04027FBC" w14:textId="77777777" w:rsidR="001A3B30" w:rsidRPr="001A3B30" w:rsidRDefault="001A3B30" w:rsidP="001A3B30">
      <w:pPr>
        <w:rPr>
          <w:rFonts w:ascii="Times New Roman" w:hAnsi="Times New Roman"/>
          <w:szCs w:val="24"/>
          <w:lang w:eastAsia="it-IT"/>
        </w:rPr>
      </w:pPr>
    </w:p>
    <w:p w14:paraId="6EEB07CA" w14:textId="77777777" w:rsidR="001A3B30" w:rsidRPr="001A3B30" w:rsidRDefault="001A3B30" w:rsidP="001A3B30">
      <w:pPr>
        <w:jc w:val="both"/>
        <w:rPr>
          <w:rFonts w:cs="Arial"/>
          <w:b/>
          <w:bCs/>
          <w:szCs w:val="24"/>
          <w:lang w:eastAsia="it-IT"/>
        </w:rPr>
      </w:pPr>
      <w:r w:rsidRPr="001A3B30">
        <w:rPr>
          <w:rFonts w:cs="Arial"/>
          <w:b/>
          <w:bCs/>
          <w:szCs w:val="24"/>
          <w:lang w:eastAsia="it-IT"/>
        </w:rPr>
        <w:t>Overall state of affairs</w:t>
      </w:r>
    </w:p>
    <w:p w14:paraId="4996CEF0" w14:textId="77777777" w:rsidR="001A3B30" w:rsidRPr="001A3B30" w:rsidRDefault="001A3B30" w:rsidP="001A3B30">
      <w:pPr>
        <w:jc w:val="both"/>
        <w:rPr>
          <w:rFonts w:cs="Arial"/>
          <w:b/>
          <w:bCs/>
          <w:szCs w:val="24"/>
          <w:lang w:eastAsia="it-IT"/>
        </w:rPr>
      </w:pPr>
    </w:p>
    <w:p w14:paraId="398D9F16" w14:textId="7FF283B8" w:rsidR="001A3B30" w:rsidRPr="001A3B30" w:rsidRDefault="001A3B30" w:rsidP="001A3B30">
      <w:pPr>
        <w:jc w:val="both"/>
        <w:rPr>
          <w:rFonts w:cs="Arial"/>
          <w:szCs w:val="24"/>
          <w:lang w:eastAsia="it-IT"/>
        </w:rPr>
      </w:pPr>
      <w:r w:rsidRPr="001A3B30">
        <w:rPr>
          <w:rFonts w:cs="Arial"/>
          <w:szCs w:val="24"/>
          <w:lang w:eastAsia="it-IT"/>
        </w:rPr>
        <w:t xml:space="preserve">In 2015, there were 270 505 residents with disabilities or who were categorised as ‘non-self-sufficient’ </w:t>
      </w:r>
      <w:r w:rsidRPr="001A3B30">
        <w:rPr>
          <w:rFonts w:cs="Arial"/>
          <w:i/>
          <w:szCs w:val="24"/>
          <w:lang w:eastAsia="it-IT"/>
        </w:rPr>
        <w:t>(</w:t>
      </w:r>
      <w:r w:rsidR="00082413" w:rsidRPr="001A3B30">
        <w:rPr>
          <w:rFonts w:cs="Arial"/>
          <w:i/>
          <w:szCs w:val="24"/>
          <w:lang w:eastAsia="it-IT"/>
        </w:rPr>
        <w:t>non</w:t>
      </w:r>
      <w:r w:rsidR="00F61745">
        <w:rPr>
          <w:rFonts w:cs="Arial"/>
          <w:i/>
          <w:szCs w:val="24"/>
          <w:lang w:eastAsia="it-IT"/>
        </w:rPr>
        <w:t>-</w:t>
      </w:r>
      <w:r w:rsidR="00082413" w:rsidRPr="001A3B30">
        <w:rPr>
          <w:rFonts w:cs="Arial"/>
          <w:i/>
          <w:szCs w:val="24"/>
          <w:lang w:eastAsia="it-IT"/>
        </w:rPr>
        <w:t>auto</w:t>
      </w:r>
      <w:r w:rsidRPr="001A3B30">
        <w:rPr>
          <w:rFonts w:cs="Arial"/>
          <w:i/>
          <w:szCs w:val="24"/>
          <w:lang w:eastAsia="it-IT"/>
        </w:rPr>
        <w:t>-</w:t>
      </w:r>
      <w:proofErr w:type="spellStart"/>
      <w:r w:rsidRPr="001A3B30">
        <w:rPr>
          <w:rFonts w:cs="Arial"/>
          <w:i/>
          <w:szCs w:val="24"/>
          <w:lang w:eastAsia="it-IT"/>
        </w:rPr>
        <w:t>sufficienti</w:t>
      </w:r>
      <w:proofErr w:type="spellEnd"/>
      <w:r w:rsidRPr="001A3B30">
        <w:rPr>
          <w:rFonts w:cs="Arial"/>
          <w:szCs w:val="24"/>
          <w:lang w:eastAsia="it-IT"/>
        </w:rPr>
        <w:t>)</w:t>
      </w:r>
      <w:r w:rsidRPr="001A3B30">
        <w:rPr>
          <w:rFonts w:cs="Arial"/>
          <w:szCs w:val="24"/>
          <w:vertAlign w:val="superscript"/>
          <w:lang w:eastAsia="it-IT"/>
        </w:rPr>
        <w:footnoteReference w:id="1"/>
      </w:r>
      <w:r w:rsidRPr="001A3B30">
        <w:rPr>
          <w:rFonts w:cs="Arial"/>
          <w:szCs w:val="24"/>
          <w:lang w:eastAsia="it-IT"/>
        </w:rPr>
        <w:t xml:space="preserve"> in residential care facilities providing both social and health care services.</w:t>
      </w:r>
      <w:r w:rsidRPr="001A3B30">
        <w:rPr>
          <w:rFonts w:cs="Arial"/>
          <w:szCs w:val="24"/>
          <w:vertAlign w:val="superscript"/>
          <w:lang w:eastAsia="it-IT"/>
        </w:rPr>
        <w:footnoteReference w:id="2"/>
      </w:r>
    </w:p>
    <w:p w14:paraId="091CD6ED" w14:textId="77777777" w:rsidR="001A3B30" w:rsidRPr="001A3B30" w:rsidRDefault="001A3B30" w:rsidP="001A3B30">
      <w:pPr>
        <w:jc w:val="both"/>
        <w:rPr>
          <w:rFonts w:cs="Arial"/>
          <w:szCs w:val="24"/>
          <w:lang w:eastAsia="it-IT"/>
        </w:rPr>
      </w:pPr>
    </w:p>
    <w:p w14:paraId="326E03F6" w14:textId="77777777" w:rsidR="001A3B30" w:rsidRPr="001A3B30" w:rsidRDefault="001A3B30" w:rsidP="001A3B30">
      <w:pPr>
        <w:jc w:val="both"/>
        <w:rPr>
          <w:rFonts w:cs="Arial"/>
          <w:szCs w:val="24"/>
          <w:lang w:eastAsia="it-IT"/>
        </w:rPr>
      </w:pPr>
      <w:r w:rsidRPr="001A3B30">
        <w:rPr>
          <w:rFonts w:cs="Arial"/>
          <w:szCs w:val="24"/>
          <w:lang w:eastAsia="it-IT"/>
        </w:rPr>
        <w:t>Of those, 262 691 (97.11 %) were in institutional care, while 7 479 (2.76 %) were in community-based facilities.</w:t>
      </w:r>
      <w:r w:rsidRPr="001A3B30">
        <w:rPr>
          <w:rFonts w:cs="Arial"/>
          <w:vertAlign w:val="superscript"/>
          <w:lang w:eastAsia="it-IT"/>
        </w:rPr>
        <w:footnoteReference w:id="3"/>
      </w:r>
      <w:r w:rsidRPr="001A3B30">
        <w:rPr>
          <w:rFonts w:cs="Arial"/>
          <w:sz w:val="32"/>
          <w:szCs w:val="24"/>
          <w:lang w:eastAsia="it-IT"/>
        </w:rPr>
        <w:t xml:space="preserve"> </w:t>
      </w:r>
    </w:p>
    <w:p w14:paraId="419AC13E" w14:textId="77777777" w:rsidR="001A3B30" w:rsidRPr="001A3B30" w:rsidRDefault="001A3B30" w:rsidP="001A3B30">
      <w:pPr>
        <w:jc w:val="both"/>
        <w:rPr>
          <w:rFonts w:ascii="Times New Roman" w:hAnsi="Times New Roman"/>
          <w:b/>
          <w:bCs/>
          <w:szCs w:val="24"/>
          <w:lang w:eastAsia="it-IT"/>
        </w:rPr>
      </w:pPr>
    </w:p>
    <w:p w14:paraId="68F44F4C" w14:textId="77777777" w:rsidR="001A3B30" w:rsidRPr="001A3B30" w:rsidRDefault="001A3B30" w:rsidP="001A3B30">
      <w:pPr>
        <w:rPr>
          <w:rFonts w:cs="Arial"/>
          <w:b/>
          <w:bCs/>
          <w:szCs w:val="24"/>
          <w:lang w:eastAsia="it-IT"/>
        </w:rPr>
      </w:pPr>
      <w:r w:rsidRPr="001A3B30">
        <w:rPr>
          <w:rFonts w:cs="Arial"/>
          <w:b/>
          <w:bCs/>
          <w:szCs w:val="24"/>
          <w:lang w:eastAsia="it-IT"/>
        </w:rPr>
        <w:t>Distribution by age and type</w:t>
      </w:r>
    </w:p>
    <w:p w14:paraId="7F930666" w14:textId="77777777" w:rsidR="001A3B30" w:rsidRPr="001A3B30" w:rsidRDefault="001A3B30" w:rsidP="001A3B30">
      <w:pPr>
        <w:rPr>
          <w:rFonts w:cs="Arial"/>
          <w:b/>
          <w:bCs/>
          <w:szCs w:val="24"/>
          <w:lang w:eastAsia="it-IT"/>
        </w:rPr>
      </w:pPr>
    </w:p>
    <w:p w14:paraId="4669778F" w14:textId="77777777" w:rsidR="001A3B30" w:rsidRPr="001A3B30" w:rsidRDefault="001A3B30" w:rsidP="001A3B30">
      <w:pPr>
        <w:numPr>
          <w:ilvl w:val="0"/>
          <w:numId w:val="7"/>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Among the residents, 2 839 were children,</w:t>
      </w:r>
      <w:r w:rsidRPr="001A3B30">
        <w:rPr>
          <w:rFonts w:eastAsia="Arial" w:cs="Arial"/>
          <w:color w:val="000000"/>
          <w:szCs w:val="24"/>
          <w:u w:color="000000"/>
          <w:bdr w:val="nil"/>
          <w:vertAlign w:val="superscript"/>
          <w:lang w:eastAsia="it-IT"/>
        </w:rPr>
        <w:footnoteReference w:id="4"/>
      </w:r>
      <w:r w:rsidRPr="001A3B30">
        <w:rPr>
          <w:rFonts w:eastAsia="Arial" w:cs="Arial"/>
          <w:color w:val="000000"/>
          <w:szCs w:val="24"/>
          <w:u w:color="000000"/>
          <w:bdr w:val="nil"/>
          <w:lang w:eastAsia="it-IT"/>
        </w:rPr>
        <w:t xml:space="preserve"> 1 818 were males (64.04 %), and 1 021 were females (35.96 %); 2 162 were in institutional care (76.15 %), with 669 in community-based facilities (23.56 %); 49 046 were adults between 18 and 64</w:t>
      </w:r>
      <w:r w:rsidRPr="001A3B30">
        <w:rPr>
          <w:rFonts w:eastAsia="Arial" w:cs="Arial"/>
          <w:color w:val="000000"/>
          <w:szCs w:val="24"/>
          <w:u w:color="000000"/>
          <w:bdr w:val="nil"/>
          <w:vertAlign w:val="superscript"/>
          <w:lang w:eastAsia="it-IT"/>
        </w:rPr>
        <w:footnoteReference w:id="5"/>
      </w:r>
      <w:r w:rsidRPr="001A3B30">
        <w:rPr>
          <w:rFonts w:eastAsia="Arial" w:cs="Arial"/>
          <w:color w:val="000000"/>
          <w:szCs w:val="24"/>
          <w:u w:color="000000"/>
          <w:bdr w:val="nil"/>
          <w:lang w:eastAsia="it-IT"/>
        </w:rPr>
        <w:t xml:space="preserve"> with disabilities or psychiatric conditions; 29 214 were males (59.56 %), and 19 832 were females (40.44 %); 45 791 were in institutional care (93.36 %), and 3 207 were in community-based facilities</w:t>
      </w:r>
      <w:r w:rsidRPr="001A3B30" w:rsidDel="00CF151B">
        <w:rPr>
          <w:rFonts w:eastAsia="Arial" w:cs="Arial"/>
          <w:color w:val="000000"/>
          <w:szCs w:val="24"/>
          <w:u w:color="000000"/>
          <w:bdr w:val="nil"/>
          <w:lang w:eastAsia="it-IT"/>
        </w:rPr>
        <w:t xml:space="preserve"> </w:t>
      </w:r>
      <w:r w:rsidRPr="001A3B30">
        <w:rPr>
          <w:rFonts w:eastAsia="Arial" w:cs="Arial"/>
          <w:color w:val="000000"/>
          <w:szCs w:val="24"/>
          <w:u w:color="000000"/>
          <w:bdr w:val="nil"/>
          <w:lang w:eastAsia="it-IT"/>
        </w:rPr>
        <w:t>(6.54 %).</w:t>
      </w:r>
    </w:p>
    <w:p w14:paraId="571C7034" w14:textId="77777777" w:rsidR="001A3B30" w:rsidRPr="001A3B30" w:rsidRDefault="001A3B30" w:rsidP="001A3B30">
      <w:pPr>
        <w:numPr>
          <w:ilvl w:val="0"/>
          <w:numId w:val="7"/>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A total of 218 620 residents were adults aged 65 and over;</w:t>
      </w:r>
      <w:r w:rsidRPr="001A3B30">
        <w:rPr>
          <w:rFonts w:eastAsia="Arial" w:cs="Arial"/>
          <w:color w:val="000000"/>
          <w:u w:color="000000"/>
          <w:bdr w:val="nil"/>
          <w:vertAlign w:val="superscript"/>
          <w:lang w:eastAsia="it-IT"/>
        </w:rPr>
        <w:footnoteReference w:id="6"/>
      </w:r>
      <w:r w:rsidRPr="001A3B30">
        <w:rPr>
          <w:rFonts w:eastAsia="Arial" w:cs="Arial"/>
          <w:color w:val="000000"/>
          <w:szCs w:val="24"/>
          <w:u w:color="000000"/>
          <w:bdr w:val="nil"/>
          <w:lang w:eastAsia="it-IT"/>
        </w:rPr>
        <w:t xml:space="preserve"> 214 738 were in institutional care (98.22 %), with 3 603 in community-based facilities</w:t>
      </w:r>
      <w:r w:rsidRPr="001A3B30" w:rsidDel="00CF151B">
        <w:rPr>
          <w:rFonts w:eastAsia="Arial" w:cs="Arial"/>
          <w:color w:val="000000"/>
          <w:szCs w:val="24"/>
          <w:u w:color="000000"/>
          <w:bdr w:val="nil"/>
          <w:lang w:eastAsia="it-IT"/>
        </w:rPr>
        <w:t xml:space="preserve"> </w:t>
      </w:r>
      <w:r w:rsidRPr="001A3B30">
        <w:rPr>
          <w:rFonts w:eastAsia="Arial" w:cs="Arial"/>
          <w:color w:val="000000"/>
          <w:szCs w:val="24"/>
          <w:u w:color="000000"/>
          <w:bdr w:val="nil"/>
          <w:lang w:eastAsia="it-IT"/>
        </w:rPr>
        <w:t>(1.65 %).</w:t>
      </w:r>
    </w:p>
    <w:p w14:paraId="79097120" w14:textId="77777777" w:rsidR="001A3B30" w:rsidRPr="001A3B30" w:rsidRDefault="001A3B30" w:rsidP="001A3B30">
      <w:pPr>
        <w:pBdr>
          <w:top w:val="nil"/>
          <w:left w:val="nil"/>
          <w:bottom w:val="nil"/>
          <w:right w:val="nil"/>
          <w:between w:val="nil"/>
          <w:bar w:val="nil"/>
        </w:pBdr>
        <w:ind w:left="720"/>
        <w:jc w:val="both"/>
        <w:rPr>
          <w:rFonts w:eastAsia="Arial" w:cs="Arial"/>
          <w:color w:val="000000"/>
          <w:szCs w:val="24"/>
          <w:u w:color="000000"/>
          <w:bdr w:val="nil"/>
          <w:lang w:eastAsia="it-IT"/>
        </w:rPr>
      </w:pPr>
    </w:p>
    <w:p w14:paraId="7A45CA96" w14:textId="77777777" w:rsidR="001A3B30" w:rsidRPr="001A3B30" w:rsidRDefault="001A3B30" w:rsidP="001A3B30">
      <w:pPr>
        <w:jc w:val="both"/>
        <w:rPr>
          <w:rFonts w:cs="Arial"/>
          <w:szCs w:val="24"/>
          <w:lang w:eastAsia="it-IT"/>
        </w:rPr>
      </w:pPr>
      <w:r w:rsidRPr="001A3B30">
        <w:rPr>
          <w:rFonts w:cs="Arial"/>
          <w:szCs w:val="24"/>
          <w:lang w:eastAsia="it-IT"/>
        </w:rPr>
        <w:t>In the residential care facilities providing both social and health care services, there were 69 065 elderly non-self-sufficient residents out of a total of 287 685 residents; there were 74 444 males (25.8 %) and 213 241 females (74.12 %). No differentiation is made between older people with age-acquired or pre-existing disabilities.</w:t>
      </w:r>
    </w:p>
    <w:p w14:paraId="6279E755" w14:textId="77777777" w:rsidR="001A3B30" w:rsidRPr="001A3B30" w:rsidRDefault="001A3B30" w:rsidP="001A3B30">
      <w:pPr>
        <w:rPr>
          <w:rFonts w:ascii="Times New Roman" w:hAnsi="Times New Roman"/>
          <w:szCs w:val="24"/>
          <w:lang w:val="it-IT" w:eastAsia="it-IT"/>
        </w:rPr>
      </w:pPr>
    </w:p>
    <w:p w14:paraId="79AC980B" w14:textId="77777777" w:rsidR="00000C42" w:rsidRPr="001A3B30" w:rsidRDefault="00E86322" w:rsidP="00000C42">
      <w:pPr>
        <w:pStyle w:val="Heading3"/>
        <w:rPr>
          <w:u w:color="000000"/>
          <w:bdr w:val="nil"/>
          <w:lang w:eastAsia="it-IT"/>
        </w:rPr>
      </w:pPr>
      <w:r w:rsidRPr="001A3B30">
        <w:rPr>
          <w:u w:color="000000"/>
          <w:bdr w:val="nil"/>
          <w:lang w:eastAsia="it-IT"/>
        </w:rPr>
        <w:t>Trend since 2013</w:t>
      </w:r>
    </w:p>
    <w:p w14:paraId="784A81C2" w14:textId="77777777" w:rsidR="00000C42" w:rsidRPr="001A3B30" w:rsidRDefault="00E86322" w:rsidP="00BF4791">
      <w:pPr>
        <w:rPr>
          <w:rFonts w:eastAsia="Arial"/>
          <w:u w:color="000000"/>
          <w:bdr w:val="nil"/>
          <w:lang w:eastAsia="it-IT"/>
        </w:rPr>
      </w:pPr>
      <w:r w:rsidRPr="001A3B30">
        <w:rPr>
          <w:rFonts w:eastAsia="Arial"/>
          <w:u w:color="000000"/>
          <w:bdr w:val="nil"/>
          <w:lang w:eastAsia="it-IT"/>
        </w:rPr>
        <w:lastRenderedPageBreak/>
        <w:t>Methodological note</w:t>
      </w:r>
    </w:p>
    <w:p w14:paraId="5D60E0B1" w14:textId="77777777" w:rsidR="001A3B30" w:rsidRPr="001A3B30" w:rsidRDefault="001A3B30" w:rsidP="001A3B30">
      <w:pPr>
        <w:rPr>
          <w:rFonts w:ascii="Times New Roman" w:hAnsi="Times New Roman"/>
          <w:szCs w:val="24"/>
          <w:lang w:eastAsia="it-IT"/>
        </w:rPr>
      </w:pPr>
    </w:p>
    <w:p w14:paraId="6898D1D2" w14:textId="77777777" w:rsidR="001A3B30" w:rsidRPr="001A3B30" w:rsidRDefault="001A3B30" w:rsidP="001A3B30">
      <w:pPr>
        <w:jc w:val="both"/>
        <w:rPr>
          <w:rFonts w:cs="Arial"/>
          <w:szCs w:val="24"/>
          <w:lang w:eastAsia="it-IT"/>
        </w:rPr>
      </w:pPr>
      <w:r w:rsidRPr="001A3B30">
        <w:rPr>
          <w:rFonts w:cs="Arial"/>
          <w:szCs w:val="24"/>
          <w:lang w:eastAsia="it-IT"/>
        </w:rPr>
        <w:t xml:space="preserve">The sequence of official data generated by the </w:t>
      </w:r>
      <w:proofErr w:type="spellStart"/>
      <w:r w:rsidRPr="001A3B30">
        <w:rPr>
          <w:rFonts w:cs="Arial"/>
          <w:szCs w:val="24"/>
          <w:lang w:eastAsia="it-IT"/>
        </w:rPr>
        <w:t>Istituto</w:t>
      </w:r>
      <w:proofErr w:type="spellEnd"/>
      <w:r w:rsidRPr="001A3B30">
        <w:rPr>
          <w:rFonts w:cs="Arial"/>
          <w:szCs w:val="24"/>
          <w:lang w:eastAsia="it-IT"/>
        </w:rPr>
        <w:t xml:space="preserve"> Nazionale di </w:t>
      </w:r>
      <w:proofErr w:type="spellStart"/>
      <w:r w:rsidRPr="001A3B30">
        <w:rPr>
          <w:rFonts w:cs="Arial"/>
          <w:szCs w:val="24"/>
          <w:lang w:eastAsia="it-IT"/>
        </w:rPr>
        <w:t>Statistica</w:t>
      </w:r>
      <w:proofErr w:type="spellEnd"/>
      <w:r w:rsidRPr="001A3B30">
        <w:rPr>
          <w:rFonts w:cs="Arial"/>
          <w:szCs w:val="24"/>
          <w:lang w:eastAsia="it-IT"/>
        </w:rPr>
        <w:t xml:space="preserve"> (ISTAT, the Italian National Institute of Statistics) on residential care facilities that provided both social and health care services stopped in 2015. In October 2017, ISTAT announced the start of a new annual survey, although the data from this are not yet available. Since the official statistical series stopped in 2015, we have examined trends since 2009, which is the year in which Italy ratified and implemented the United Nations Convention on the Rights of Persons with Disabilities (UNCRPD) and its Optional Protocol. </w:t>
      </w:r>
    </w:p>
    <w:p w14:paraId="49B6583B" w14:textId="77777777" w:rsidR="001A3B30" w:rsidRPr="001A3B30" w:rsidRDefault="001A3B30" w:rsidP="001A3B30">
      <w:pPr>
        <w:jc w:val="both"/>
        <w:rPr>
          <w:rFonts w:ascii="Times New Roman" w:hAnsi="Times New Roman"/>
          <w:b/>
          <w:bCs/>
          <w:szCs w:val="24"/>
          <w:lang w:eastAsia="it-IT"/>
        </w:rPr>
      </w:pPr>
    </w:p>
    <w:p w14:paraId="73639B55" w14:textId="77777777" w:rsidR="001A3B30" w:rsidRPr="001A3B30" w:rsidRDefault="001A3B30" w:rsidP="001A3B30">
      <w:pPr>
        <w:jc w:val="both"/>
        <w:rPr>
          <w:rFonts w:cs="Arial"/>
          <w:b/>
          <w:bCs/>
          <w:szCs w:val="24"/>
          <w:lang w:eastAsia="it-IT"/>
        </w:rPr>
      </w:pPr>
      <w:r w:rsidRPr="001A3B30">
        <w:rPr>
          <w:rFonts w:cs="Arial"/>
          <w:b/>
          <w:bCs/>
          <w:szCs w:val="24"/>
          <w:lang w:eastAsia="it-IT"/>
        </w:rPr>
        <w:t>Timeline showing overall situation</w:t>
      </w:r>
    </w:p>
    <w:tbl>
      <w:tblPr>
        <w:tblW w:w="9067" w:type="dxa"/>
        <w:tblCellMar>
          <w:left w:w="70" w:type="dxa"/>
          <w:right w:w="70" w:type="dxa"/>
        </w:tblCellMar>
        <w:tblLook w:val="04A0" w:firstRow="1" w:lastRow="0" w:firstColumn="1" w:lastColumn="0" w:noHBand="0" w:noVBand="1"/>
      </w:tblPr>
      <w:tblGrid>
        <w:gridCol w:w="988"/>
        <w:gridCol w:w="1701"/>
        <w:gridCol w:w="1559"/>
        <w:gridCol w:w="1559"/>
        <w:gridCol w:w="1559"/>
        <w:gridCol w:w="1701"/>
      </w:tblGrid>
      <w:tr w:rsidR="001A3B30" w:rsidRPr="00000C42" w14:paraId="61F60673" w14:textId="77777777" w:rsidTr="00000C42">
        <w:trPr>
          <w:trHeight w:val="1456"/>
        </w:trPr>
        <w:tc>
          <w:tcPr>
            <w:tcW w:w="98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F4B0C28"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Year</w:t>
            </w:r>
          </w:p>
        </w:tc>
        <w:tc>
          <w:tcPr>
            <w:tcW w:w="1701" w:type="dxa"/>
            <w:tcBorders>
              <w:top w:val="single" w:sz="4" w:space="0" w:color="auto"/>
              <w:left w:val="nil"/>
              <w:bottom w:val="single" w:sz="4" w:space="0" w:color="auto"/>
              <w:right w:val="single" w:sz="4" w:space="0" w:color="auto"/>
            </w:tcBorders>
            <w:shd w:val="clear" w:color="5B9BD5" w:fill="5B9BD5"/>
            <w:vAlign w:val="bottom"/>
            <w:hideMark/>
          </w:tcPr>
          <w:p w14:paraId="0D1E332D"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 xml:space="preserve"> Residents with disabilities or who are not self-sufficient in residential care facilities</w:t>
            </w:r>
          </w:p>
        </w:tc>
        <w:tc>
          <w:tcPr>
            <w:tcW w:w="1559" w:type="dxa"/>
            <w:tcBorders>
              <w:top w:val="single" w:sz="4" w:space="0" w:color="auto"/>
              <w:left w:val="nil"/>
              <w:bottom w:val="single" w:sz="4" w:space="0" w:color="auto"/>
              <w:right w:val="single" w:sz="4" w:space="0" w:color="auto"/>
            </w:tcBorders>
            <w:shd w:val="clear" w:color="5B9BD5" w:fill="5B9BD5"/>
            <w:vAlign w:val="bottom"/>
            <w:hideMark/>
          </w:tcPr>
          <w:p w14:paraId="5A9DF440"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Residents with disabilities or who are not self-sufficient in institutional care facilities</w:t>
            </w:r>
          </w:p>
        </w:tc>
        <w:tc>
          <w:tcPr>
            <w:tcW w:w="1559" w:type="dxa"/>
            <w:tcBorders>
              <w:top w:val="single" w:sz="4" w:space="0" w:color="auto"/>
              <w:left w:val="nil"/>
              <w:bottom w:val="single" w:sz="4" w:space="0" w:color="auto"/>
              <w:right w:val="single" w:sz="4" w:space="0" w:color="auto"/>
            </w:tcBorders>
            <w:shd w:val="clear" w:color="5B9BD5" w:fill="5B9BD5"/>
            <w:vAlign w:val="bottom"/>
            <w:hideMark/>
          </w:tcPr>
          <w:p w14:paraId="78B03036"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 of residents with disabilities or not self-sufficient in institutional care facilities</w:t>
            </w:r>
          </w:p>
        </w:tc>
        <w:tc>
          <w:tcPr>
            <w:tcW w:w="1559" w:type="dxa"/>
            <w:tcBorders>
              <w:top w:val="single" w:sz="4" w:space="0" w:color="auto"/>
              <w:left w:val="nil"/>
              <w:bottom w:val="single" w:sz="4" w:space="0" w:color="auto"/>
              <w:right w:val="single" w:sz="4" w:space="0" w:color="auto"/>
            </w:tcBorders>
            <w:shd w:val="clear" w:color="5B9BD5" w:fill="5B9BD5"/>
            <w:vAlign w:val="bottom"/>
            <w:hideMark/>
          </w:tcPr>
          <w:p w14:paraId="1A367637"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Residents with disabilities or who are not self-sufficient in community-based facilities</w:t>
            </w:r>
          </w:p>
        </w:tc>
        <w:tc>
          <w:tcPr>
            <w:tcW w:w="1701" w:type="dxa"/>
            <w:tcBorders>
              <w:top w:val="single" w:sz="4" w:space="0" w:color="auto"/>
              <w:left w:val="nil"/>
              <w:bottom w:val="single" w:sz="4" w:space="0" w:color="auto"/>
              <w:right w:val="single" w:sz="4" w:space="0" w:color="auto"/>
            </w:tcBorders>
            <w:shd w:val="clear" w:color="5B9BD5" w:fill="5B9BD5"/>
            <w:vAlign w:val="bottom"/>
            <w:hideMark/>
          </w:tcPr>
          <w:p w14:paraId="3661D35A" w14:textId="77777777" w:rsidR="001A3B30" w:rsidRPr="00000C42" w:rsidRDefault="001A3B30" w:rsidP="001A3B30">
            <w:pPr>
              <w:jc w:val="center"/>
              <w:rPr>
                <w:rFonts w:cs="Arial"/>
                <w:b/>
                <w:bCs/>
                <w:color w:val="FFFFFF"/>
                <w:sz w:val="20"/>
                <w:lang w:eastAsia="it-IT"/>
              </w:rPr>
            </w:pPr>
            <w:r w:rsidRPr="00000C42">
              <w:rPr>
                <w:rFonts w:cs="Arial"/>
                <w:b/>
                <w:bCs/>
                <w:color w:val="FFFFFF"/>
                <w:sz w:val="20"/>
                <w:lang w:eastAsia="it-IT"/>
              </w:rPr>
              <w:t>% of residents with disabilities or who are not self-sufficient in community-based facilities</w:t>
            </w:r>
          </w:p>
        </w:tc>
      </w:tr>
      <w:tr w:rsidR="001A3B30" w:rsidRPr="00000C42" w14:paraId="6976B283" w14:textId="77777777" w:rsidTr="00000C42">
        <w:trPr>
          <w:trHeight w:val="320"/>
        </w:trPr>
        <w:tc>
          <w:tcPr>
            <w:tcW w:w="988" w:type="dxa"/>
            <w:tcBorders>
              <w:top w:val="nil"/>
              <w:left w:val="single" w:sz="4" w:space="0" w:color="auto"/>
              <w:bottom w:val="single" w:sz="4" w:space="0" w:color="auto"/>
              <w:right w:val="single" w:sz="4" w:space="0" w:color="auto"/>
            </w:tcBorders>
            <w:shd w:val="clear" w:color="DDEBF7" w:fill="DDEBF7"/>
            <w:noWrap/>
            <w:vAlign w:val="center"/>
            <w:hideMark/>
          </w:tcPr>
          <w:p w14:paraId="3662530D"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2009</w:t>
            </w:r>
          </w:p>
        </w:tc>
        <w:tc>
          <w:tcPr>
            <w:tcW w:w="1701" w:type="dxa"/>
            <w:tcBorders>
              <w:top w:val="nil"/>
              <w:left w:val="nil"/>
              <w:bottom w:val="single" w:sz="4" w:space="0" w:color="auto"/>
              <w:right w:val="single" w:sz="4" w:space="0" w:color="auto"/>
            </w:tcBorders>
            <w:shd w:val="clear" w:color="DDEBF7" w:fill="DDEBF7"/>
            <w:noWrap/>
            <w:vAlign w:val="bottom"/>
            <w:hideMark/>
          </w:tcPr>
          <w:p w14:paraId="7518FB6D"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284 775</w:t>
            </w:r>
          </w:p>
        </w:tc>
        <w:tc>
          <w:tcPr>
            <w:tcW w:w="1559" w:type="dxa"/>
            <w:tcBorders>
              <w:top w:val="nil"/>
              <w:left w:val="nil"/>
              <w:bottom w:val="single" w:sz="4" w:space="0" w:color="auto"/>
              <w:right w:val="single" w:sz="4" w:space="0" w:color="auto"/>
            </w:tcBorders>
            <w:shd w:val="clear" w:color="DDEBF7" w:fill="DDEBF7"/>
            <w:noWrap/>
            <w:vAlign w:val="bottom"/>
            <w:hideMark/>
          </w:tcPr>
          <w:p w14:paraId="5A727F67"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269 885</w:t>
            </w:r>
          </w:p>
        </w:tc>
        <w:tc>
          <w:tcPr>
            <w:tcW w:w="1559" w:type="dxa"/>
            <w:tcBorders>
              <w:top w:val="nil"/>
              <w:left w:val="nil"/>
              <w:bottom w:val="single" w:sz="4" w:space="0" w:color="auto"/>
              <w:right w:val="single" w:sz="4" w:space="0" w:color="auto"/>
            </w:tcBorders>
            <w:shd w:val="clear" w:color="DDEBF7" w:fill="DDEBF7"/>
            <w:noWrap/>
            <w:vAlign w:val="bottom"/>
            <w:hideMark/>
          </w:tcPr>
          <w:p w14:paraId="758E8787"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94.77</w:t>
            </w:r>
          </w:p>
        </w:tc>
        <w:tc>
          <w:tcPr>
            <w:tcW w:w="1559" w:type="dxa"/>
            <w:tcBorders>
              <w:top w:val="nil"/>
              <w:left w:val="nil"/>
              <w:bottom w:val="single" w:sz="4" w:space="0" w:color="auto"/>
              <w:right w:val="single" w:sz="4" w:space="0" w:color="auto"/>
            </w:tcBorders>
            <w:shd w:val="clear" w:color="DDEBF7" w:fill="DDEBF7"/>
            <w:noWrap/>
            <w:vAlign w:val="bottom"/>
            <w:hideMark/>
          </w:tcPr>
          <w:p w14:paraId="77F24292"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7 603</w:t>
            </w:r>
          </w:p>
        </w:tc>
        <w:tc>
          <w:tcPr>
            <w:tcW w:w="1701" w:type="dxa"/>
            <w:tcBorders>
              <w:top w:val="nil"/>
              <w:left w:val="nil"/>
              <w:bottom w:val="single" w:sz="4" w:space="0" w:color="auto"/>
              <w:right w:val="single" w:sz="4" w:space="0" w:color="auto"/>
            </w:tcBorders>
            <w:shd w:val="clear" w:color="DDEBF7" w:fill="DDEBF7"/>
            <w:noWrap/>
            <w:vAlign w:val="bottom"/>
            <w:hideMark/>
          </w:tcPr>
          <w:p w14:paraId="23F0D70C"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2.77</w:t>
            </w:r>
          </w:p>
        </w:tc>
      </w:tr>
      <w:tr w:rsidR="001A3B30" w:rsidRPr="00000C42" w14:paraId="72D21E66" w14:textId="77777777" w:rsidTr="00000C42">
        <w:trPr>
          <w:trHeight w:val="32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9AB2C8D"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2010</w:t>
            </w:r>
          </w:p>
        </w:tc>
        <w:tc>
          <w:tcPr>
            <w:tcW w:w="1701" w:type="dxa"/>
            <w:tcBorders>
              <w:top w:val="nil"/>
              <w:left w:val="nil"/>
              <w:bottom w:val="single" w:sz="4" w:space="0" w:color="auto"/>
              <w:right w:val="single" w:sz="4" w:space="0" w:color="auto"/>
            </w:tcBorders>
            <w:shd w:val="clear" w:color="auto" w:fill="auto"/>
            <w:noWrap/>
            <w:vAlign w:val="bottom"/>
            <w:hideMark/>
          </w:tcPr>
          <w:p w14:paraId="06D8D25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277 541</w:t>
            </w:r>
          </w:p>
        </w:tc>
        <w:tc>
          <w:tcPr>
            <w:tcW w:w="1559" w:type="dxa"/>
            <w:tcBorders>
              <w:top w:val="nil"/>
              <w:left w:val="nil"/>
              <w:bottom w:val="single" w:sz="4" w:space="0" w:color="auto"/>
              <w:right w:val="single" w:sz="4" w:space="0" w:color="auto"/>
            </w:tcBorders>
            <w:shd w:val="clear" w:color="auto" w:fill="auto"/>
            <w:noWrap/>
            <w:vAlign w:val="bottom"/>
            <w:hideMark/>
          </w:tcPr>
          <w:p w14:paraId="470A71DB"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268 577</w:t>
            </w:r>
          </w:p>
        </w:tc>
        <w:tc>
          <w:tcPr>
            <w:tcW w:w="1559" w:type="dxa"/>
            <w:tcBorders>
              <w:top w:val="nil"/>
              <w:left w:val="nil"/>
              <w:bottom w:val="single" w:sz="4" w:space="0" w:color="auto"/>
              <w:right w:val="single" w:sz="4" w:space="0" w:color="auto"/>
            </w:tcBorders>
            <w:shd w:val="clear" w:color="auto" w:fill="auto"/>
            <w:noWrap/>
            <w:vAlign w:val="bottom"/>
            <w:hideMark/>
          </w:tcPr>
          <w:p w14:paraId="76BEAA02"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96.77</w:t>
            </w:r>
          </w:p>
        </w:tc>
        <w:tc>
          <w:tcPr>
            <w:tcW w:w="1559" w:type="dxa"/>
            <w:tcBorders>
              <w:top w:val="nil"/>
              <w:left w:val="nil"/>
              <w:bottom w:val="single" w:sz="4" w:space="0" w:color="auto"/>
              <w:right w:val="single" w:sz="4" w:space="0" w:color="auto"/>
            </w:tcBorders>
            <w:shd w:val="clear" w:color="auto" w:fill="auto"/>
            <w:noWrap/>
            <w:vAlign w:val="bottom"/>
            <w:hideMark/>
          </w:tcPr>
          <w:p w14:paraId="0B8D0B90"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6 484</w:t>
            </w:r>
          </w:p>
        </w:tc>
        <w:tc>
          <w:tcPr>
            <w:tcW w:w="1701" w:type="dxa"/>
            <w:tcBorders>
              <w:top w:val="nil"/>
              <w:left w:val="nil"/>
              <w:bottom w:val="single" w:sz="4" w:space="0" w:color="auto"/>
              <w:right w:val="single" w:sz="4" w:space="0" w:color="auto"/>
            </w:tcBorders>
            <w:shd w:val="clear" w:color="auto" w:fill="auto"/>
            <w:noWrap/>
            <w:vAlign w:val="bottom"/>
            <w:hideMark/>
          </w:tcPr>
          <w:p w14:paraId="3D01381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2.34</w:t>
            </w:r>
          </w:p>
        </w:tc>
      </w:tr>
      <w:tr w:rsidR="001A3B30" w:rsidRPr="00000C42" w14:paraId="07973A40" w14:textId="77777777" w:rsidTr="00000C42">
        <w:trPr>
          <w:trHeight w:val="320"/>
        </w:trPr>
        <w:tc>
          <w:tcPr>
            <w:tcW w:w="988" w:type="dxa"/>
            <w:tcBorders>
              <w:top w:val="nil"/>
              <w:left w:val="single" w:sz="4" w:space="0" w:color="auto"/>
              <w:bottom w:val="single" w:sz="4" w:space="0" w:color="auto"/>
              <w:right w:val="single" w:sz="4" w:space="0" w:color="auto"/>
            </w:tcBorders>
            <w:shd w:val="clear" w:color="DDEBF7" w:fill="DDEBF7"/>
            <w:noWrap/>
            <w:vAlign w:val="center"/>
            <w:hideMark/>
          </w:tcPr>
          <w:p w14:paraId="01E530E9"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2011</w:t>
            </w:r>
          </w:p>
        </w:tc>
        <w:tc>
          <w:tcPr>
            <w:tcW w:w="1701" w:type="dxa"/>
            <w:tcBorders>
              <w:top w:val="nil"/>
              <w:left w:val="nil"/>
              <w:bottom w:val="single" w:sz="4" w:space="0" w:color="auto"/>
              <w:right w:val="single" w:sz="4" w:space="0" w:color="auto"/>
            </w:tcBorders>
            <w:shd w:val="clear" w:color="DDEBF7" w:fill="DDEBF7"/>
            <w:noWrap/>
            <w:vAlign w:val="bottom"/>
            <w:hideMark/>
          </w:tcPr>
          <w:p w14:paraId="509205E1"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264 378</w:t>
            </w:r>
          </w:p>
        </w:tc>
        <w:tc>
          <w:tcPr>
            <w:tcW w:w="1559" w:type="dxa"/>
            <w:tcBorders>
              <w:top w:val="nil"/>
              <w:left w:val="nil"/>
              <w:bottom w:val="single" w:sz="4" w:space="0" w:color="auto"/>
              <w:right w:val="single" w:sz="4" w:space="0" w:color="auto"/>
            </w:tcBorders>
            <w:shd w:val="clear" w:color="DDEBF7" w:fill="DDEBF7"/>
            <w:noWrap/>
            <w:vAlign w:val="bottom"/>
            <w:hideMark/>
          </w:tcPr>
          <w:p w14:paraId="0CF85B2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257 249</w:t>
            </w:r>
          </w:p>
        </w:tc>
        <w:tc>
          <w:tcPr>
            <w:tcW w:w="1559" w:type="dxa"/>
            <w:tcBorders>
              <w:top w:val="nil"/>
              <w:left w:val="nil"/>
              <w:bottom w:val="single" w:sz="4" w:space="0" w:color="auto"/>
              <w:right w:val="single" w:sz="4" w:space="0" w:color="auto"/>
            </w:tcBorders>
            <w:shd w:val="clear" w:color="DDEBF7" w:fill="DDEBF7"/>
            <w:noWrap/>
            <w:vAlign w:val="bottom"/>
            <w:hideMark/>
          </w:tcPr>
          <w:p w14:paraId="2ECE1D3F"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97.30</w:t>
            </w:r>
          </w:p>
        </w:tc>
        <w:tc>
          <w:tcPr>
            <w:tcW w:w="1559" w:type="dxa"/>
            <w:tcBorders>
              <w:top w:val="nil"/>
              <w:left w:val="nil"/>
              <w:bottom w:val="single" w:sz="4" w:space="0" w:color="auto"/>
              <w:right w:val="single" w:sz="4" w:space="0" w:color="auto"/>
            </w:tcBorders>
            <w:shd w:val="clear" w:color="DDEBF7" w:fill="DDEBF7"/>
            <w:noWrap/>
            <w:vAlign w:val="bottom"/>
            <w:hideMark/>
          </w:tcPr>
          <w:p w14:paraId="3444BC33"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6 272</w:t>
            </w:r>
          </w:p>
        </w:tc>
        <w:tc>
          <w:tcPr>
            <w:tcW w:w="1701" w:type="dxa"/>
            <w:tcBorders>
              <w:top w:val="nil"/>
              <w:left w:val="nil"/>
              <w:bottom w:val="single" w:sz="4" w:space="0" w:color="auto"/>
              <w:right w:val="single" w:sz="4" w:space="0" w:color="auto"/>
            </w:tcBorders>
            <w:shd w:val="clear" w:color="DDEBF7" w:fill="DDEBF7"/>
            <w:noWrap/>
            <w:vAlign w:val="bottom"/>
            <w:hideMark/>
          </w:tcPr>
          <w:p w14:paraId="4BF4C0D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2.37</w:t>
            </w:r>
          </w:p>
        </w:tc>
      </w:tr>
      <w:tr w:rsidR="001A3B30" w:rsidRPr="00000C42" w14:paraId="645B1908" w14:textId="77777777" w:rsidTr="00000C42">
        <w:trPr>
          <w:trHeight w:val="32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FA24E90"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2012</w:t>
            </w:r>
          </w:p>
        </w:tc>
        <w:tc>
          <w:tcPr>
            <w:tcW w:w="1701" w:type="dxa"/>
            <w:tcBorders>
              <w:top w:val="nil"/>
              <w:left w:val="nil"/>
              <w:bottom w:val="single" w:sz="4" w:space="0" w:color="auto"/>
              <w:right w:val="single" w:sz="4" w:space="0" w:color="auto"/>
            </w:tcBorders>
            <w:shd w:val="clear" w:color="auto" w:fill="auto"/>
            <w:noWrap/>
            <w:vAlign w:val="bottom"/>
            <w:hideMark/>
          </w:tcPr>
          <w:p w14:paraId="20ACD5B0"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257 009</w:t>
            </w:r>
          </w:p>
        </w:tc>
        <w:tc>
          <w:tcPr>
            <w:tcW w:w="1559" w:type="dxa"/>
            <w:tcBorders>
              <w:top w:val="nil"/>
              <w:left w:val="nil"/>
              <w:bottom w:val="single" w:sz="4" w:space="0" w:color="auto"/>
              <w:right w:val="single" w:sz="4" w:space="0" w:color="auto"/>
            </w:tcBorders>
            <w:shd w:val="clear" w:color="auto" w:fill="auto"/>
            <w:noWrap/>
            <w:vAlign w:val="bottom"/>
            <w:hideMark/>
          </w:tcPr>
          <w:p w14:paraId="218E7F94"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249 302</w:t>
            </w:r>
          </w:p>
        </w:tc>
        <w:tc>
          <w:tcPr>
            <w:tcW w:w="1559" w:type="dxa"/>
            <w:tcBorders>
              <w:top w:val="nil"/>
              <w:left w:val="nil"/>
              <w:bottom w:val="single" w:sz="4" w:space="0" w:color="auto"/>
              <w:right w:val="single" w:sz="4" w:space="0" w:color="auto"/>
            </w:tcBorders>
            <w:shd w:val="clear" w:color="auto" w:fill="auto"/>
            <w:noWrap/>
            <w:vAlign w:val="bottom"/>
            <w:hideMark/>
          </w:tcPr>
          <w:p w14:paraId="72C124E8"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97.00</w:t>
            </w:r>
          </w:p>
        </w:tc>
        <w:tc>
          <w:tcPr>
            <w:tcW w:w="1559" w:type="dxa"/>
            <w:tcBorders>
              <w:top w:val="nil"/>
              <w:left w:val="nil"/>
              <w:bottom w:val="single" w:sz="4" w:space="0" w:color="auto"/>
              <w:right w:val="single" w:sz="4" w:space="0" w:color="auto"/>
            </w:tcBorders>
            <w:shd w:val="clear" w:color="auto" w:fill="auto"/>
            <w:noWrap/>
            <w:vAlign w:val="bottom"/>
            <w:hideMark/>
          </w:tcPr>
          <w:p w14:paraId="76B1D7CE"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6 870</w:t>
            </w:r>
          </w:p>
        </w:tc>
        <w:tc>
          <w:tcPr>
            <w:tcW w:w="1701" w:type="dxa"/>
            <w:tcBorders>
              <w:top w:val="nil"/>
              <w:left w:val="nil"/>
              <w:bottom w:val="single" w:sz="4" w:space="0" w:color="auto"/>
              <w:right w:val="single" w:sz="4" w:space="0" w:color="auto"/>
            </w:tcBorders>
            <w:shd w:val="clear" w:color="auto" w:fill="auto"/>
            <w:noWrap/>
            <w:vAlign w:val="bottom"/>
            <w:hideMark/>
          </w:tcPr>
          <w:p w14:paraId="1FB10009"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2.67</w:t>
            </w:r>
          </w:p>
        </w:tc>
      </w:tr>
      <w:tr w:rsidR="001A3B30" w:rsidRPr="00000C42" w14:paraId="3D09D8A2" w14:textId="77777777" w:rsidTr="00000C42">
        <w:trPr>
          <w:trHeight w:val="32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5DC37DA"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2013</w:t>
            </w:r>
          </w:p>
        </w:tc>
        <w:tc>
          <w:tcPr>
            <w:tcW w:w="1701" w:type="dxa"/>
            <w:tcBorders>
              <w:top w:val="nil"/>
              <w:left w:val="nil"/>
              <w:bottom w:val="single" w:sz="4" w:space="0" w:color="auto"/>
              <w:right w:val="single" w:sz="4" w:space="0" w:color="auto"/>
            </w:tcBorders>
            <w:shd w:val="clear" w:color="auto" w:fill="auto"/>
            <w:noWrap/>
            <w:vAlign w:val="bottom"/>
            <w:hideMark/>
          </w:tcPr>
          <w:p w14:paraId="3C5767E8"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263 048</w:t>
            </w:r>
          </w:p>
        </w:tc>
        <w:tc>
          <w:tcPr>
            <w:tcW w:w="1559" w:type="dxa"/>
            <w:tcBorders>
              <w:top w:val="nil"/>
              <w:left w:val="nil"/>
              <w:bottom w:val="single" w:sz="4" w:space="0" w:color="auto"/>
              <w:right w:val="single" w:sz="4" w:space="0" w:color="auto"/>
            </w:tcBorders>
            <w:shd w:val="clear" w:color="auto" w:fill="auto"/>
            <w:noWrap/>
            <w:vAlign w:val="bottom"/>
            <w:hideMark/>
          </w:tcPr>
          <w:p w14:paraId="003A1497"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254 341</w:t>
            </w:r>
          </w:p>
        </w:tc>
        <w:tc>
          <w:tcPr>
            <w:tcW w:w="1559" w:type="dxa"/>
            <w:tcBorders>
              <w:top w:val="nil"/>
              <w:left w:val="nil"/>
              <w:bottom w:val="single" w:sz="4" w:space="0" w:color="auto"/>
              <w:right w:val="single" w:sz="4" w:space="0" w:color="auto"/>
            </w:tcBorders>
            <w:shd w:val="clear" w:color="auto" w:fill="auto"/>
            <w:noWrap/>
            <w:vAlign w:val="bottom"/>
            <w:hideMark/>
          </w:tcPr>
          <w:p w14:paraId="4F348825"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96.69</w:t>
            </w:r>
          </w:p>
        </w:tc>
        <w:tc>
          <w:tcPr>
            <w:tcW w:w="1559" w:type="dxa"/>
            <w:tcBorders>
              <w:top w:val="nil"/>
              <w:left w:val="nil"/>
              <w:bottom w:val="single" w:sz="4" w:space="0" w:color="auto"/>
              <w:right w:val="single" w:sz="4" w:space="0" w:color="auto"/>
            </w:tcBorders>
            <w:shd w:val="clear" w:color="auto" w:fill="auto"/>
            <w:noWrap/>
            <w:vAlign w:val="bottom"/>
            <w:hideMark/>
          </w:tcPr>
          <w:p w14:paraId="2D57E27D"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7 977</w:t>
            </w:r>
          </w:p>
        </w:tc>
        <w:tc>
          <w:tcPr>
            <w:tcW w:w="1701" w:type="dxa"/>
            <w:tcBorders>
              <w:top w:val="nil"/>
              <w:left w:val="nil"/>
              <w:bottom w:val="single" w:sz="4" w:space="0" w:color="auto"/>
              <w:right w:val="single" w:sz="4" w:space="0" w:color="auto"/>
            </w:tcBorders>
            <w:shd w:val="clear" w:color="auto" w:fill="auto"/>
            <w:noWrap/>
            <w:vAlign w:val="bottom"/>
            <w:hideMark/>
          </w:tcPr>
          <w:p w14:paraId="1F989E9E"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3.03</w:t>
            </w:r>
          </w:p>
        </w:tc>
      </w:tr>
      <w:tr w:rsidR="001A3B30" w:rsidRPr="00000C42" w14:paraId="2D9FB48F" w14:textId="77777777" w:rsidTr="00000C42">
        <w:trPr>
          <w:trHeight w:val="32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DC89266"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2014</w:t>
            </w:r>
          </w:p>
        </w:tc>
        <w:tc>
          <w:tcPr>
            <w:tcW w:w="1701" w:type="dxa"/>
            <w:tcBorders>
              <w:top w:val="nil"/>
              <w:left w:val="nil"/>
              <w:bottom w:val="single" w:sz="4" w:space="0" w:color="auto"/>
              <w:right w:val="single" w:sz="4" w:space="0" w:color="auto"/>
            </w:tcBorders>
            <w:shd w:val="clear" w:color="auto" w:fill="auto"/>
            <w:noWrap/>
            <w:vAlign w:val="bottom"/>
            <w:hideMark/>
          </w:tcPr>
          <w:p w14:paraId="52A51AD6"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273 316</w:t>
            </w:r>
          </w:p>
        </w:tc>
        <w:tc>
          <w:tcPr>
            <w:tcW w:w="1559" w:type="dxa"/>
            <w:tcBorders>
              <w:top w:val="nil"/>
              <w:left w:val="nil"/>
              <w:bottom w:val="single" w:sz="4" w:space="0" w:color="auto"/>
              <w:right w:val="single" w:sz="4" w:space="0" w:color="auto"/>
            </w:tcBorders>
            <w:shd w:val="clear" w:color="auto" w:fill="auto"/>
            <w:noWrap/>
            <w:vAlign w:val="bottom"/>
            <w:hideMark/>
          </w:tcPr>
          <w:p w14:paraId="23035E08"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265 582</w:t>
            </w:r>
          </w:p>
        </w:tc>
        <w:tc>
          <w:tcPr>
            <w:tcW w:w="1559" w:type="dxa"/>
            <w:tcBorders>
              <w:top w:val="nil"/>
              <w:left w:val="nil"/>
              <w:bottom w:val="single" w:sz="4" w:space="0" w:color="auto"/>
              <w:right w:val="single" w:sz="4" w:space="0" w:color="auto"/>
            </w:tcBorders>
            <w:shd w:val="clear" w:color="auto" w:fill="auto"/>
            <w:noWrap/>
            <w:vAlign w:val="bottom"/>
            <w:hideMark/>
          </w:tcPr>
          <w:p w14:paraId="533B2E06"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97.17</w:t>
            </w:r>
          </w:p>
        </w:tc>
        <w:tc>
          <w:tcPr>
            <w:tcW w:w="1559" w:type="dxa"/>
            <w:tcBorders>
              <w:top w:val="nil"/>
              <w:left w:val="nil"/>
              <w:bottom w:val="single" w:sz="4" w:space="0" w:color="auto"/>
              <w:right w:val="single" w:sz="4" w:space="0" w:color="auto"/>
            </w:tcBorders>
            <w:shd w:val="clear" w:color="auto" w:fill="auto"/>
            <w:noWrap/>
            <w:vAlign w:val="bottom"/>
            <w:hideMark/>
          </w:tcPr>
          <w:p w14:paraId="20618335"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7 409</w:t>
            </w:r>
          </w:p>
        </w:tc>
        <w:tc>
          <w:tcPr>
            <w:tcW w:w="1701" w:type="dxa"/>
            <w:tcBorders>
              <w:top w:val="nil"/>
              <w:left w:val="nil"/>
              <w:bottom w:val="single" w:sz="4" w:space="0" w:color="auto"/>
              <w:right w:val="single" w:sz="4" w:space="0" w:color="auto"/>
            </w:tcBorders>
            <w:shd w:val="clear" w:color="auto" w:fill="auto"/>
            <w:noWrap/>
            <w:vAlign w:val="bottom"/>
            <w:hideMark/>
          </w:tcPr>
          <w:p w14:paraId="57F358B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2.71</w:t>
            </w:r>
          </w:p>
        </w:tc>
      </w:tr>
      <w:tr w:rsidR="001A3B30" w:rsidRPr="00000C42" w14:paraId="35DB80DE" w14:textId="77777777" w:rsidTr="00000C42">
        <w:trPr>
          <w:trHeight w:val="320"/>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2DE9562" w14:textId="77777777" w:rsidR="001A3B30" w:rsidRPr="00000C42" w:rsidRDefault="001A3B30" w:rsidP="001A3B30">
            <w:pPr>
              <w:jc w:val="both"/>
              <w:rPr>
                <w:rFonts w:cs="Arial"/>
                <w:color w:val="000000"/>
                <w:sz w:val="20"/>
                <w:lang w:eastAsia="it-IT"/>
              </w:rPr>
            </w:pPr>
            <w:r w:rsidRPr="00000C42">
              <w:rPr>
                <w:rFonts w:cs="Arial"/>
                <w:color w:val="000000"/>
                <w:sz w:val="20"/>
                <w:lang w:eastAsia="it-IT"/>
              </w:rPr>
              <w:t>2015</w:t>
            </w:r>
          </w:p>
        </w:tc>
        <w:tc>
          <w:tcPr>
            <w:tcW w:w="1701" w:type="dxa"/>
            <w:tcBorders>
              <w:top w:val="nil"/>
              <w:left w:val="nil"/>
              <w:bottom w:val="single" w:sz="4" w:space="0" w:color="auto"/>
              <w:right w:val="single" w:sz="4" w:space="0" w:color="auto"/>
            </w:tcBorders>
            <w:shd w:val="clear" w:color="auto" w:fill="auto"/>
            <w:noWrap/>
            <w:vAlign w:val="bottom"/>
            <w:hideMark/>
          </w:tcPr>
          <w:p w14:paraId="1015BCB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270 505</w:t>
            </w:r>
          </w:p>
        </w:tc>
        <w:tc>
          <w:tcPr>
            <w:tcW w:w="1559" w:type="dxa"/>
            <w:tcBorders>
              <w:top w:val="nil"/>
              <w:left w:val="nil"/>
              <w:bottom w:val="single" w:sz="4" w:space="0" w:color="auto"/>
              <w:right w:val="single" w:sz="4" w:space="0" w:color="auto"/>
            </w:tcBorders>
            <w:shd w:val="clear" w:color="auto" w:fill="auto"/>
            <w:noWrap/>
            <w:vAlign w:val="bottom"/>
            <w:hideMark/>
          </w:tcPr>
          <w:p w14:paraId="2CF5E32B"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262 691</w:t>
            </w:r>
          </w:p>
        </w:tc>
        <w:tc>
          <w:tcPr>
            <w:tcW w:w="1559" w:type="dxa"/>
            <w:tcBorders>
              <w:top w:val="nil"/>
              <w:left w:val="nil"/>
              <w:bottom w:val="single" w:sz="4" w:space="0" w:color="auto"/>
              <w:right w:val="single" w:sz="4" w:space="0" w:color="auto"/>
            </w:tcBorders>
            <w:shd w:val="clear" w:color="auto" w:fill="auto"/>
            <w:noWrap/>
            <w:vAlign w:val="bottom"/>
            <w:hideMark/>
          </w:tcPr>
          <w:p w14:paraId="7018B9EA"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97.11</w:t>
            </w:r>
          </w:p>
        </w:tc>
        <w:tc>
          <w:tcPr>
            <w:tcW w:w="1559" w:type="dxa"/>
            <w:tcBorders>
              <w:top w:val="nil"/>
              <w:left w:val="nil"/>
              <w:bottom w:val="single" w:sz="4" w:space="0" w:color="auto"/>
              <w:right w:val="single" w:sz="4" w:space="0" w:color="auto"/>
            </w:tcBorders>
            <w:shd w:val="clear" w:color="auto" w:fill="auto"/>
            <w:noWrap/>
            <w:vAlign w:val="bottom"/>
            <w:hideMark/>
          </w:tcPr>
          <w:p w14:paraId="7FA14947"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7 479</w:t>
            </w:r>
          </w:p>
        </w:tc>
        <w:tc>
          <w:tcPr>
            <w:tcW w:w="1701" w:type="dxa"/>
            <w:tcBorders>
              <w:top w:val="nil"/>
              <w:left w:val="nil"/>
              <w:bottom w:val="single" w:sz="4" w:space="0" w:color="auto"/>
              <w:right w:val="single" w:sz="4" w:space="0" w:color="auto"/>
            </w:tcBorders>
            <w:shd w:val="clear" w:color="auto" w:fill="auto"/>
            <w:noWrap/>
            <w:vAlign w:val="bottom"/>
            <w:hideMark/>
          </w:tcPr>
          <w:p w14:paraId="698531FC" w14:textId="77777777" w:rsidR="001A3B30" w:rsidRPr="00000C42" w:rsidRDefault="001A3B30" w:rsidP="001A3B30">
            <w:pPr>
              <w:jc w:val="right"/>
              <w:rPr>
                <w:rFonts w:cs="Arial"/>
                <w:color w:val="000000"/>
                <w:sz w:val="20"/>
                <w:lang w:eastAsia="it-IT"/>
              </w:rPr>
            </w:pPr>
            <w:r w:rsidRPr="00000C42">
              <w:rPr>
                <w:rFonts w:cs="Arial"/>
                <w:color w:val="000000"/>
                <w:sz w:val="20"/>
                <w:lang w:eastAsia="it-IT"/>
              </w:rPr>
              <w:t>2.76</w:t>
            </w:r>
          </w:p>
        </w:tc>
      </w:tr>
    </w:tbl>
    <w:p w14:paraId="40EB82D7" w14:textId="77777777" w:rsidR="001A3B30" w:rsidRPr="001A3B30" w:rsidRDefault="001A3B30" w:rsidP="001A3B30">
      <w:pPr>
        <w:jc w:val="both"/>
        <w:rPr>
          <w:rFonts w:ascii="Times New Roman" w:hAnsi="Times New Roman"/>
          <w:b/>
          <w:bCs/>
          <w:szCs w:val="24"/>
          <w:lang w:eastAsia="it-IT"/>
        </w:rPr>
      </w:pPr>
    </w:p>
    <w:p w14:paraId="260742CE" w14:textId="77777777" w:rsidR="001A3B30" w:rsidRPr="001A3B30" w:rsidRDefault="001A3B30" w:rsidP="001A3B30">
      <w:pPr>
        <w:jc w:val="both"/>
        <w:rPr>
          <w:rFonts w:cs="Arial"/>
          <w:szCs w:val="24"/>
          <w:lang w:eastAsia="it-IT"/>
        </w:rPr>
      </w:pPr>
      <w:r w:rsidRPr="001A3B30">
        <w:rPr>
          <w:rFonts w:cs="Arial"/>
          <w:b/>
          <w:bCs/>
          <w:szCs w:val="24"/>
          <w:lang w:eastAsia="it-IT"/>
        </w:rPr>
        <w:t>Distribution by age</w:t>
      </w:r>
      <w:r w:rsidRPr="001A3B30">
        <w:rPr>
          <w:rFonts w:cs="Arial"/>
          <w:b/>
          <w:bCs/>
          <w:szCs w:val="24"/>
          <w:lang w:eastAsia="it-IT"/>
        </w:rPr>
        <w:tab/>
      </w:r>
    </w:p>
    <w:tbl>
      <w:tblPr>
        <w:tblW w:w="9080" w:type="dxa"/>
        <w:tblCellMar>
          <w:left w:w="70" w:type="dxa"/>
          <w:right w:w="70" w:type="dxa"/>
        </w:tblCellMar>
        <w:tblLook w:val="04A0" w:firstRow="1" w:lastRow="0" w:firstColumn="1" w:lastColumn="0" w:noHBand="0" w:noVBand="1"/>
      </w:tblPr>
      <w:tblGrid>
        <w:gridCol w:w="1520"/>
        <w:gridCol w:w="2500"/>
        <w:gridCol w:w="2860"/>
        <w:gridCol w:w="2200"/>
      </w:tblGrid>
      <w:tr w:rsidR="001A3B30" w:rsidRPr="001A3B30" w14:paraId="6BE98359" w14:textId="77777777" w:rsidTr="00000C42">
        <w:trPr>
          <w:trHeight w:val="434"/>
        </w:trPr>
        <w:tc>
          <w:tcPr>
            <w:tcW w:w="15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7F9AA45C" w14:textId="77777777" w:rsidR="001A3B30" w:rsidRPr="001A3B30" w:rsidRDefault="001A3B30" w:rsidP="001A3B30">
            <w:pPr>
              <w:jc w:val="center"/>
              <w:rPr>
                <w:rFonts w:cs="Arial"/>
                <w:b/>
                <w:bCs/>
                <w:color w:val="FFFFFF"/>
                <w:sz w:val="20"/>
                <w:szCs w:val="24"/>
                <w:lang w:eastAsia="it-IT"/>
              </w:rPr>
            </w:pPr>
            <w:r w:rsidRPr="001A3B30">
              <w:rPr>
                <w:rFonts w:cs="Arial"/>
                <w:b/>
                <w:bCs/>
                <w:color w:val="FFFFFF"/>
                <w:sz w:val="20"/>
                <w:szCs w:val="24"/>
                <w:lang w:eastAsia="it-IT"/>
              </w:rPr>
              <w:t>Year</w:t>
            </w:r>
          </w:p>
        </w:tc>
        <w:tc>
          <w:tcPr>
            <w:tcW w:w="2500" w:type="dxa"/>
            <w:tcBorders>
              <w:top w:val="single" w:sz="4" w:space="0" w:color="auto"/>
              <w:left w:val="nil"/>
              <w:bottom w:val="single" w:sz="4" w:space="0" w:color="auto"/>
              <w:right w:val="single" w:sz="4" w:space="0" w:color="auto"/>
            </w:tcBorders>
            <w:shd w:val="clear" w:color="5B9BD5" w:fill="5B9BD5"/>
            <w:vAlign w:val="bottom"/>
            <w:hideMark/>
          </w:tcPr>
          <w:p w14:paraId="6AA06138" w14:textId="77777777" w:rsidR="001A3B30" w:rsidRPr="001A3B30" w:rsidRDefault="001A3B30" w:rsidP="001A3B30">
            <w:pPr>
              <w:jc w:val="center"/>
              <w:rPr>
                <w:rFonts w:cs="Arial"/>
                <w:b/>
                <w:bCs/>
                <w:color w:val="FFFFFF"/>
                <w:sz w:val="20"/>
                <w:szCs w:val="24"/>
                <w:lang w:eastAsia="it-IT"/>
              </w:rPr>
            </w:pPr>
            <w:r w:rsidRPr="001A3B30">
              <w:rPr>
                <w:rFonts w:cs="Arial"/>
                <w:b/>
                <w:bCs/>
                <w:color w:val="FFFFFF"/>
                <w:sz w:val="20"/>
                <w:szCs w:val="24"/>
                <w:lang w:eastAsia="it-IT"/>
              </w:rPr>
              <w:t xml:space="preserve">Children </w:t>
            </w:r>
          </w:p>
        </w:tc>
        <w:tc>
          <w:tcPr>
            <w:tcW w:w="2860" w:type="dxa"/>
            <w:tcBorders>
              <w:top w:val="single" w:sz="4" w:space="0" w:color="auto"/>
              <w:left w:val="nil"/>
              <w:bottom w:val="single" w:sz="4" w:space="0" w:color="auto"/>
              <w:right w:val="single" w:sz="4" w:space="0" w:color="auto"/>
            </w:tcBorders>
            <w:shd w:val="clear" w:color="5B9BD5" w:fill="5B9BD5"/>
            <w:vAlign w:val="bottom"/>
            <w:hideMark/>
          </w:tcPr>
          <w:p w14:paraId="25BE8EAB" w14:textId="77777777" w:rsidR="001A3B30" w:rsidRPr="001A3B30" w:rsidRDefault="001A3B30" w:rsidP="001A3B30">
            <w:pPr>
              <w:jc w:val="center"/>
              <w:rPr>
                <w:rFonts w:cs="Arial"/>
                <w:b/>
                <w:bCs/>
                <w:color w:val="FFFFFF"/>
                <w:sz w:val="20"/>
                <w:szCs w:val="24"/>
                <w:lang w:eastAsia="it-IT"/>
              </w:rPr>
            </w:pPr>
            <w:r w:rsidRPr="001A3B30">
              <w:rPr>
                <w:rFonts w:cs="Arial"/>
                <w:b/>
                <w:bCs/>
                <w:color w:val="FFFFFF"/>
                <w:sz w:val="20"/>
                <w:szCs w:val="24"/>
                <w:lang w:eastAsia="it-IT"/>
              </w:rPr>
              <w:t>Adults aged 18 to 64</w:t>
            </w:r>
          </w:p>
        </w:tc>
        <w:tc>
          <w:tcPr>
            <w:tcW w:w="2200" w:type="dxa"/>
            <w:tcBorders>
              <w:top w:val="single" w:sz="4" w:space="0" w:color="auto"/>
              <w:left w:val="nil"/>
              <w:bottom w:val="single" w:sz="4" w:space="0" w:color="auto"/>
              <w:right w:val="single" w:sz="4" w:space="0" w:color="auto"/>
            </w:tcBorders>
            <w:shd w:val="clear" w:color="5B9BD5" w:fill="5B9BD5"/>
            <w:vAlign w:val="bottom"/>
            <w:hideMark/>
          </w:tcPr>
          <w:p w14:paraId="1A73EA20" w14:textId="77777777" w:rsidR="001A3B30" w:rsidRPr="001A3B30" w:rsidRDefault="001A3B30" w:rsidP="001A3B30">
            <w:pPr>
              <w:jc w:val="center"/>
              <w:rPr>
                <w:rFonts w:cs="Arial"/>
                <w:b/>
                <w:bCs/>
                <w:color w:val="FFFFFF"/>
                <w:sz w:val="20"/>
                <w:szCs w:val="24"/>
                <w:lang w:eastAsia="it-IT"/>
              </w:rPr>
            </w:pPr>
            <w:r w:rsidRPr="001A3B30">
              <w:rPr>
                <w:rFonts w:cs="Arial"/>
                <w:b/>
                <w:bCs/>
                <w:color w:val="FFFFFF"/>
                <w:sz w:val="20"/>
                <w:szCs w:val="24"/>
                <w:lang w:eastAsia="it-IT"/>
              </w:rPr>
              <w:t xml:space="preserve">Adults aged </w:t>
            </w:r>
            <w:r w:rsidRPr="001A3B30">
              <w:rPr>
                <w:rFonts w:cs="Arial"/>
                <w:b/>
                <w:bCs/>
                <w:color w:val="FFFFFF"/>
                <w:sz w:val="20"/>
                <w:szCs w:val="24"/>
                <w:lang w:eastAsia="it-IT"/>
              </w:rPr>
              <w:br/>
              <w:t>65 or over</w:t>
            </w:r>
          </w:p>
        </w:tc>
      </w:tr>
      <w:tr w:rsidR="001A3B30" w:rsidRPr="001A3B30" w14:paraId="0345D32A" w14:textId="77777777" w:rsidTr="00000C42">
        <w:trPr>
          <w:trHeight w:val="320"/>
        </w:trPr>
        <w:tc>
          <w:tcPr>
            <w:tcW w:w="1520" w:type="dxa"/>
            <w:tcBorders>
              <w:top w:val="nil"/>
              <w:left w:val="single" w:sz="4" w:space="0" w:color="auto"/>
              <w:bottom w:val="single" w:sz="4" w:space="0" w:color="auto"/>
              <w:right w:val="single" w:sz="4" w:space="0" w:color="auto"/>
            </w:tcBorders>
            <w:shd w:val="clear" w:color="DDEBF7" w:fill="DDEBF7"/>
            <w:noWrap/>
            <w:vAlign w:val="center"/>
            <w:hideMark/>
          </w:tcPr>
          <w:p w14:paraId="7860D03C"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2009</w:t>
            </w:r>
          </w:p>
        </w:tc>
        <w:tc>
          <w:tcPr>
            <w:tcW w:w="2500" w:type="dxa"/>
            <w:tcBorders>
              <w:top w:val="nil"/>
              <w:left w:val="nil"/>
              <w:bottom w:val="single" w:sz="4" w:space="0" w:color="auto"/>
              <w:right w:val="single" w:sz="4" w:space="0" w:color="auto"/>
            </w:tcBorders>
            <w:shd w:val="clear" w:color="DDEBF7" w:fill="DDEBF7"/>
            <w:noWrap/>
            <w:vAlign w:val="bottom"/>
            <w:hideMark/>
          </w:tcPr>
          <w:p w14:paraId="35218502"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3 718</w:t>
            </w:r>
          </w:p>
        </w:tc>
        <w:tc>
          <w:tcPr>
            <w:tcW w:w="2860" w:type="dxa"/>
            <w:tcBorders>
              <w:top w:val="nil"/>
              <w:left w:val="nil"/>
              <w:bottom w:val="single" w:sz="4" w:space="0" w:color="auto"/>
              <w:right w:val="single" w:sz="4" w:space="0" w:color="auto"/>
            </w:tcBorders>
            <w:shd w:val="clear" w:color="DDEBF7" w:fill="DDEBF7"/>
            <w:noWrap/>
            <w:vAlign w:val="bottom"/>
            <w:hideMark/>
          </w:tcPr>
          <w:p w14:paraId="61F87744"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55 875</w:t>
            </w:r>
          </w:p>
        </w:tc>
        <w:tc>
          <w:tcPr>
            <w:tcW w:w="2200" w:type="dxa"/>
            <w:tcBorders>
              <w:top w:val="nil"/>
              <w:left w:val="nil"/>
              <w:bottom w:val="single" w:sz="4" w:space="0" w:color="auto"/>
              <w:right w:val="single" w:sz="4" w:space="0" w:color="auto"/>
            </w:tcBorders>
            <w:shd w:val="clear" w:color="DDEBF7" w:fill="DDEBF7"/>
            <w:noWrap/>
            <w:vAlign w:val="bottom"/>
            <w:hideMark/>
          </w:tcPr>
          <w:p w14:paraId="140447DE"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225 182</w:t>
            </w:r>
          </w:p>
        </w:tc>
      </w:tr>
      <w:tr w:rsidR="001A3B30" w:rsidRPr="001A3B30" w14:paraId="23EA040B" w14:textId="77777777" w:rsidTr="00000C42">
        <w:trPr>
          <w:trHeight w:val="32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8C2989F"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2010</w:t>
            </w:r>
          </w:p>
        </w:tc>
        <w:tc>
          <w:tcPr>
            <w:tcW w:w="2500" w:type="dxa"/>
            <w:tcBorders>
              <w:top w:val="nil"/>
              <w:left w:val="nil"/>
              <w:bottom w:val="single" w:sz="4" w:space="0" w:color="auto"/>
              <w:right w:val="single" w:sz="4" w:space="0" w:color="auto"/>
            </w:tcBorders>
            <w:shd w:val="clear" w:color="auto" w:fill="auto"/>
            <w:noWrap/>
            <w:vAlign w:val="bottom"/>
            <w:hideMark/>
          </w:tcPr>
          <w:p w14:paraId="4C65E59A"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3 028</w:t>
            </w:r>
          </w:p>
        </w:tc>
        <w:tc>
          <w:tcPr>
            <w:tcW w:w="2860" w:type="dxa"/>
            <w:tcBorders>
              <w:top w:val="nil"/>
              <w:left w:val="nil"/>
              <w:bottom w:val="single" w:sz="4" w:space="0" w:color="auto"/>
              <w:right w:val="single" w:sz="4" w:space="0" w:color="auto"/>
            </w:tcBorders>
            <w:shd w:val="clear" w:color="auto" w:fill="auto"/>
            <w:noWrap/>
            <w:vAlign w:val="bottom"/>
            <w:hideMark/>
          </w:tcPr>
          <w:p w14:paraId="7C262D9E"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55 662</w:t>
            </w:r>
          </w:p>
        </w:tc>
        <w:tc>
          <w:tcPr>
            <w:tcW w:w="2200" w:type="dxa"/>
            <w:tcBorders>
              <w:top w:val="nil"/>
              <w:left w:val="nil"/>
              <w:bottom w:val="single" w:sz="4" w:space="0" w:color="auto"/>
              <w:right w:val="single" w:sz="4" w:space="0" w:color="auto"/>
            </w:tcBorders>
            <w:shd w:val="clear" w:color="auto" w:fill="auto"/>
            <w:noWrap/>
            <w:vAlign w:val="bottom"/>
            <w:hideMark/>
          </w:tcPr>
          <w:p w14:paraId="5FB0FD15"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218 851</w:t>
            </w:r>
          </w:p>
        </w:tc>
      </w:tr>
      <w:tr w:rsidR="001A3B30" w:rsidRPr="001A3B30" w14:paraId="703079AA" w14:textId="77777777" w:rsidTr="00000C42">
        <w:trPr>
          <w:trHeight w:val="320"/>
        </w:trPr>
        <w:tc>
          <w:tcPr>
            <w:tcW w:w="1520" w:type="dxa"/>
            <w:tcBorders>
              <w:top w:val="nil"/>
              <w:left w:val="single" w:sz="4" w:space="0" w:color="auto"/>
              <w:bottom w:val="single" w:sz="4" w:space="0" w:color="auto"/>
              <w:right w:val="single" w:sz="4" w:space="0" w:color="auto"/>
            </w:tcBorders>
            <w:shd w:val="clear" w:color="DDEBF7" w:fill="DDEBF7"/>
            <w:noWrap/>
            <w:vAlign w:val="center"/>
            <w:hideMark/>
          </w:tcPr>
          <w:p w14:paraId="63A9E5AC"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2011</w:t>
            </w:r>
          </w:p>
        </w:tc>
        <w:tc>
          <w:tcPr>
            <w:tcW w:w="2500" w:type="dxa"/>
            <w:tcBorders>
              <w:top w:val="nil"/>
              <w:left w:val="nil"/>
              <w:bottom w:val="single" w:sz="4" w:space="0" w:color="auto"/>
              <w:right w:val="single" w:sz="4" w:space="0" w:color="auto"/>
            </w:tcBorders>
            <w:shd w:val="clear" w:color="DDEBF7" w:fill="DDEBF7"/>
            <w:noWrap/>
            <w:vAlign w:val="bottom"/>
            <w:hideMark/>
          </w:tcPr>
          <w:p w14:paraId="07DCE2DC"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2 842</w:t>
            </w:r>
          </w:p>
        </w:tc>
        <w:tc>
          <w:tcPr>
            <w:tcW w:w="2860" w:type="dxa"/>
            <w:tcBorders>
              <w:top w:val="nil"/>
              <w:left w:val="nil"/>
              <w:bottom w:val="single" w:sz="4" w:space="0" w:color="auto"/>
              <w:right w:val="single" w:sz="4" w:space="0" w:color="auto"/>
            </w:tcBorders>
            <w:shd w:val="clear" w:color="DDEBF7" w:fill="DDEBF7"/>
            <w:noWrap/>
            <w:vAlign w:val="bottom"/>
            <w:hideMark/>
          </w:tcPr>
          <w:p w14:paraId="3FF7D090"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51 591</w:t>
            </w:r>
          </w:p>
        </w:tc>
        <w:tc>
          <w:tcPr>
            <w:tcW w:w="2200" w:type="dxa"/>
            <w:tcBorders>
              <w:top w:val="nil"/>
              <w:left w:val="nil"/>
              <w:bottom w:val="single" w:sz="4" w:space="0" w:color="auto"/>
              <w:right w:val="single" w:sz="4" w:space="0" w:color="auto"/>
            </w:tcBorders>
            <w:shd w:val="clear" w:color="DDEBF7" w:fill="DDEBF7"/>
            <w:noWrap/>
            <w:vAlign w:val="bottom"/>
            <w:hideMark/>
          </w:tcPr>
          <w:p w14:paraId="2108F876"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209 945</w:t>
            </w:r>
          </w:p>
        </w:tc>
      </w:tr>
      <w:tr w:rsidR="001A3B30" w:rsidRPr="001A3B30" w14:paraId="4B99CE85" w14:textId="77777777" w:rsidTr="00000C42">
        <w:trPr>
          <w:trHeight w:val="32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EB874CF"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2012</w:t>
            </w:r>
          </w:p>
        </w:tc>
        <w:tc>
          <w:tcPr>
            <w:tcW w:w="2500" w:type="dxa"/>
            <w:tcBorders>
              <w:top w:val="nil"/>
              <w:left w:val="nil"/>
              <w:bottom w:val="single" w:sz="4" w:space="0" w:color="auto"/>
              <w:right w:val="single" w:sz="4" w:space="0" w:color="auto"/>
            </w:tcBorders>
            <w:shd w:val="clear" w:color="auto" w:fill="auto"/>
            <w:noWrap/>
            <w:vAlign w:val="bottom"/>
            <w:hideMark/>
          </w:tcPr>
          <w:p w14:paraId="5565DB07"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2 593</w:t>
            </w:r>
          </w:p>
        </w:tc>
        <w:tc>
          <w:tcPr>
            <w:tcW w:w="2860" w:type="dxa"/>
            <w:tcBorders>
              <w:top w:val="nil"/>
              <w:left w:val="nil"/>
              <w:bottom w:val="single" w:sz="4" w:space="0" w:color="auto"/>
              <w:right w:val="single" w:sz="4" w:space="0" w:color="auto"/>
            </w:tcBorders>
            <w:shd w:val="clear" w:color="auto" w:fill="auto"/>
            <w:noWrap/>
            <w:vAlign w:val="bottom"/>
            <w:hideMark/>
          </w:tcPr>
          <w:p w14:paraId="3F906D5D"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49 159</w:t>
            </w:r>
          </w:p>
        </w:tc>
        <w:tc>
          <w:tcPr>
            <w:tcW w:w="2200" w:type="dxa"/>
            <w:tcBorders>
              <w:top w:val="nil"/>
              <w:left w:val="nil"/>
              <w:bottom w:val="single" w:sz="4" w:space="0" w:color="auto"/>
              <w:right w:val="single" w:sz="4" w:space="0" w:color="auto"/>
            </w:tcBorders>
            <w:shd w:val="clear" w:color="auto" w:fill="auto"/>
            <w:noWrap/>
            <w:vAlign w:val="bottom"/>
            <w:hideMark/>
          </w:tcPr>
          <w:p w14:paraId="22C0701D"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205 258</w:t>
            </w:r>
          </w:p>
        </w:tc>
      </w:tr>
      <w:tr w:rsidR="001A3B30" w:rsidRPr="001A3B30" w14:paraId="2878A58C" w14:textId="77777777" w:rsidTr="00000C42">
        <w:trPr>
          <w:trHeight w:val="320"/>
        </w:trPr>
        <w:tc>
          <w:tcPr>
            <w:tcW w:w="1520" w:type="dxa"/>
            <w:tcBorders>
              <w:top w:val="nil"/>
              <w:left w:val="single" w:sz="4" w:space="0" w:color="auto"/>
              <w:bottom w:val="single" w:sz="4" w:space="0" w:color="auto"/>
              <w:right w:val="single" w:sz="4" w:space="0" w:color="auto"/>
            </w:tcBorders>
            <w:shd w:val="clear" w:color="DDEBF7" w:fill="DDEBF7"/>
            <w:noWrap/>
            <w:vAlign w:val="center"/>
            <w:hideMark/>
          </w:tcPr>
          <w:p w14:paraId="669490D1"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2013</w:t>
            </w:r>
          </w:p>
        </w:tc>
        <w:tc>
          <w:tcPr>
            <w:tcW w:w="2500" w:type="dxa"/>
            <w:tcBorders>
              <w:top w:val="nil"/>
              <w:left w:val="nil"/>
              <w:bottom w:val="single" w:sz="4" w:space="0" w:color="auto"/>
              <w:right w:val="single" w:sz="4" w:space="0" w:color="auto"/>
            </w:tcBorders>
            <w:shd w:val="clear" w:color="DDEBF7" w:fill="DDEBF7"/>
            <w:noWrap/>
            <w:vAlign w:val="bottom"/>
            <w:hideMark/>
          </w:tcPr>
          <w:p w14:paraId="6C848D38"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2 658</w:t>
            </w:r>
          </w:p>
        </w:tc>
        <w:tc>
          <w:tcPr>
            <w:tcW w:w="2860" w:type="dxa"/>
            <w:tcBorders>
              <w:top w:val="nil"/>
              <w:left w:val="nil"/>
              <w:bottom w:val="single" w:sz="4" w:space="0" w:color="auto"/>
              <w:right w:val="single" w:sz="4" w:space="0" w:color="auto"/>
            </w:tcBorders>
            <w:shd w:val="clear" w:color="DDEBF7" w:fill="DDEBF7"/>
            <w:noWrap/>
            <w:vAlign w:val="bottom"/>
            <w:hideMark/>
          </w:tcPr>
          <w:p w14:paraId="342AA1BE"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49 536</w:t>
            </w:r>
          </w:p>
        </w:tc>
        <w:tc>
          <w:tcPr>
            <w:tcW w:w="2200" w:type="dxa"/>
            <w:tcBorders>
              <w:top w:val="nil"/>
              <w:left w:val="nil"/>
              <w:bottom w:val="single" w:sz="4" w:space="0" w:color="auto"/>
              <w:right w:val="single" w:sz="4" w:space="0" w:color="auto"/>
            </w:tcBorders>
            <w:shd w:val="clear" w:color="DDEBF7" w:fill="DDEBF7"/>
            <w:noWrap/>
            <w:vAlign w:val="bottom"/>
            <w:hideMark/>
          </w:tcPr>
          <w:p w14:paraId="628BCE5D"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210 854</w:t>
            </w:r>
          </w:p>
        </w:tc>
      </w:tr>
      <w:tr w:rsidR="001A3B30" w:rsidRPr="001A3B30" w14:paraId="608FE1E3" w14:textId="77777777" w:rsidTr="00000C42">
        <w:trPr>
          <w:trHeight w:val="32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773A495"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2014</w:t>
            </w:r>
          </w:p>
        </w:tc>
        <w:tc>
          <w:tcPr>
            <w:tcW w:w="2500" w:type="dxa"/>
            <w:tcBorders>
              <w:top w:val="nil"/>
              <w:left w:val="nil"/>
              <w:bottom w:val="single" w:sz="4" w:space="0" w:color="auto"/>
              <w:right w:val="single" w:sz="4" w:space="0" w:color="auto"/>
            </w:tcBorders>
            <w:shd w:val="clear" w:color="auto" w:fill="auto"/>
            <w:noWrap/>
            <w:vAlign w:val="bottom"/>
            <w:hideMark/>
          </w:tcPr>
          <w:p w14:paraId="6A7DAEDC"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3 147</w:t>
            </w:r>
          </w:p>
        </w:tc>
        <w:tc>
          <w:tcPr>
            <w:tcW w:w="2860" w:type="dxa"/>
            <w:tcBorders>
              <w:top w:val="nil"/>
              <w:left w:val="nil"/>
              <w:bottom w:val="single" w:sz="4" w:space="0" w:color="auto"/>
              <w:right w:val="single" w:sz="4" w:space="0" w:color="auto"/>
            </w:tcBorders>
            <w:shd w:val="clear" w:color="auto" w:fill="auto"/>
            <w:noWrap/>
            <w:vAlign w:val="bottom"/>
            <w:hideMark/>
          </w:tcPr>
          <w:p w14:paraId="72AA19BE"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51 593</w:t>
            </w:r>
          </w:p>
        </w:tc>
        <w:tc>
          <w:tcPr>
            <w:tcW w:w="2200" w:type="dxa"/>
            <w:tcBorders>
              <w:top w:val="nil"/>
              <w:left w:val="nil"/>
              <w:bottom w:val="single" w:sz="4" w:space="0" w:color="auto"/>
              <w:right w:val="single" w:sz="4" w:space="0" w:color="auto"/>
            </w:tcBorders>
            <w:shd w:val="clear" w:color="auto" w:fill="auto"/>
            <w:noWrap/>
            <w:vAlign w:val="bottom"/>
            <w:hideMark/>
          </w:tcPr>
          <w:p w14:paraId="02AA767A"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218 576</w:t>
            </w:r>
          </w:p>
        </w:tc>
      </w:tr>
      <w:tr w:rsidR="001A3B30" w:rsidRPr="001A3B30" w14:paraId="3ACACF02" w14:textId="77777777" w:rsidTr="00000C42">
        <w:trPr>
          <w:trHeight w:val="320"/>
        </w:trPr>
        <w:tc>
          <w:tcPr>
            <w:tcW w:w="1520" w:type="dxa"/>
            <w:tcBorders>
              <w:top w:val="nil"/>
              <w:left w:val="single" w:sz="4" w:space="0" w:color="auto"/>
              <w:bottom w:val="single" w:sz="4" w:space="0" w:color="auto"/>
              <w:right w:val="single" w:sz="4" w:space="0" w:color="auto"/>
            </w:tcBorders>
            <w:shd w:val="clear" w:color="DDEBF7" w:fill="DDEBF7"/>
            <w:noWrap/>
            <w:vAlign w:val="center"/>
            <w:hideMark/>
          </w:tcPr>
          <w:p w14:paraId="0AD9AAD2" w14:textId="77777777" w:rsidR="001A3B30" w:rsidRPr="001A3B30" w:rsidRDefault="001A3B30" w:rsidP="001A3B30">
            <w:pPr>
              <w:jc w:val="center"/>
              <w:rPr>
                <w:rFonts w:cs="Arial"/>
                <w:color w:val="000000"/>
                <w:sz w:val="20"/>
                <w:szCs w:val="24"/>
                <w:lang w:eastAsia="it-IT"/>
              </w:rPr>
            </w:pPr>
            <w:r w:rsidRPr="001A3B30">
              <w:rPr>
                <w:rFonts w:cs="Arial"/>
                <w:color w:val="000000"/>
                <w:sz w:val="20"/>
                <w:szCs w:val="24"/>
                <w:lang w:eastAsia="it-IT"/>
              </w:rPr>
              <w:t>2015</w:t>
            </w:r>
          </w:p>
        </w:tc>
        <w:tc>
          <w:tcPr>
            <w:tcW w:w="2500" w:type="dxa"/>
            <w:tcBorders>
              <w:top w:val="nil"/>
              <w:left w:val="nil"/>
              <w:bottom w:val="single" w:sz="4" w:space="0" w:color="auto"/>
              <w:right w:val="single" w:sz="4" w:space="0" w:color="auto"/>
            </w:tcBorders>
            <w:shd w:val="clear" w:color="DDEBF7" w:fill="DDEBF7"/>
            <w:noWrap/>
            <w:vAlign w:val="bottom"/>
            <w:hideMark/>
          </w:tcPr>
          <w:p w14:paraId="5B7AED3D"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2 839</w:t>
            </w:r>
          </w:p>
        </w:tc>
        <w:tc>
          <w:tcPr>
            <w:tcW w:w="2860" w:type="dxa"/>
            <w:tcBorders>
              <w:top w:val="nil"/>
              <w:left w:val="nil"/>
              <w:bottom w:val="single" w:sz="4" w:space="0" w:color="auto"/>
              <w:right w:val="single" w:sz="4" w:space="0" w:color="auto"/>
            </w:tcBorders>
            <w:shd w:val="clear" w:color="DDEBF7" w:fill="DDEBF7"/>
            <w:noWrap/>
            <w:vAlign w:val="bottom"/>
            <w:hideMark/>
          </w:tcPr>
          <w:p w14:paraId="15EC2AC8"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49 046</w:t>
            </w:r>
          </w:p>
        </w:tc>
        <w:tc>
          <w:tcPr>
            <w:tcW w:w="2200" w:type="dxa"/>
            <w:tcBorders>
              <w:top w:val="nil"/>
              <w:left w:val="nil"/>
              <w:bottom w:val="single" w:sz="4" w:space="0" w:color="auto"/>
              <w:right w:val="single" w:sz="4" w:space="0" w:color="auto"/>
            </w:tcBorders>
            <w:shd w:val="clear" w:color="DDEBF7" w:fill="DDEBF7"/>
            <w:noWrap/>
            <w:vAlign w:val="bottom"/>
            <w:hideMark/>
          </w:tcPr>
          <w:p w14:paraId="20320A88" w14:textId="77777777" w:rsidR="001A3B30" w:rsidRPr="001A3B30" w:rsidRDefault="001A3B30" w:rsidP="001A3B30">
            <w:pPr>
              <w:jc w:val="right"/>
              <w:rPr>
                <w:rFonts w:cs="Arial"/>
                <w:color w:val="000000"/>
                <w:sz w:val="20"/>
                <w:szCs w:val="24"/>
                <w:lang w:eastAsia="it-IT"/>
              </w:rPr>
            </w:pPr>
            <w:r w:rsidRPr="001A3B30">
              <w:rPr>
                <w:rFonts w:cs="Arial"/>
                <w:color w:val="000000"/>
                <w:sz w:val="20"/>
                <w:szCs w:val="24"/>
                <w:lang w:eastAsia="it-IT"/>
              </w:rPr>
              <w:t>218 620</w:t>
            </w:r>
          </w:p>
        </w:tc>
      </w:tr>
    </w:tbl>
    <w:p w14:paraId="11746422" w14:textId="77777777" w:rsidR="001A3B30" w:rsidRPr="001A3B30" w:rsidRDefault="001A3B30" w:rsidP="001A3B30">
      <w:pPr>
        <w:jc w:val="both"/>
        <w:rPr>
          <w:rFonts w:ascii="Times New Roman" w:hAnsi="Times New Roman"/>
          <w:szCs w:val="24"/>
          <w:lang w:eastAsia="it-IT"/>
        </w:rPr>
      </w:pPr>
    </w:p>
    <w:p w14:paraId="39322F1D" w14:textId="77777777" w:rsidR="001A3B30" w:rsidRPr="001A3B30" w:rsidRDefault="001A3B30" w:rsidP="001A3B30">
      <w:pPr>
        <w:jc w:val="both"/>
        <w:rPr>
          <w:rFonts w:ascii="Times New Roman" w:hAnsi="Times New Roman"/>
          <w:szCs w:val="24"/>
          <w:lang w:eastAsia="it-IT"/>
        </w:rPr>
      </w:pPr>
      <w:r w:rsidRPr="001A3B30">
        <w:rPr>
          <w:rFonts w:ascii="Times New Roman" w:hAnsi="Times New Roman"/>
          <w:noProof/>
          <w:szCs w:val="24"/>
          <w:lang w:val="it-IT" w:eastAsia="it-IT"/>
        </w:rPr>
        <w:lastRenderedPageBreak/>
        <w:drawing>
          <wp:inline distT="0" distB="0" distL="0" distR="0" wp14:anchorId="632765B3" wp14:editId="7975625C">
            <wp:extent cx="5755640" cy="3641090"/>
            <wp:effectExtent l="0" t="0" r="10160" b="16510"/>
            <wp:docPr id="7" name="Grafico 7">
              <a:extLst xmlns:a="http://schemas.openxmlformats.org/drawingml/2006/main">
                <a:ext uri="{FF2B5EF4-FFF2-40B4-BE49-F238E27FC236}">
                  <a16:creationId xmlns:a16="http://schemas.microsoft.com/office/drawing/2014/main" id="{1234CAB3-8150-B141-9381-CCF625E45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463F4E" w14:textId="77777777" w:rsidR="001A3B30" w:rsidRPr="00311E18" w:rsidRDefault="001A3B30" w:rsidP="001A3B30">
      <w:pPr>
        <w:jc w:val="both"/>
        <w:rPr>
          <w:rFonts w:cs="Arial"/>
          <w:szCs w:val="24"/>
          <w:lang w:eastAsia="it-IT"/>
        </w:rPr>
      </w:pPr>
    </w:p>
    <w:p w14:paraId="02F77007" w14:textId="77777777" w:rsidR="001A3B30" w:rsidRPr="001A3B30" w:rsidRDefault="001A3B30" w:rsidP="001A3B30">
      <w:pPr>
        <w:jc w:val="both"/>
        <w:rPr>
          <w:rFonts w:cs="Arial"/>
          <w:szCs w:val="24"/>
          <w:lang w:eastAsia="it-IT"/>
        </w:rPr>
      </w:pPr>
      <w:r w:rsidRPr="001A3B30">
        <w:rPr>
          <w:rFonts w:cs="Arial"/>
          <w:szCs w:val="24"/>
          <w:lang w:eastAsia="it-IT"/>
        </w:rPr>
        <w:t>The time series analysis shows a slight 9.5 % decrease in the overall usage of residential facilities between 2009 and 2012, a 6.34 % increase between 2013 and 2014, and a very slight 1.03 % decrease between 2014 and 2015.</w:t>
      </w:r>
    </w:p>
    <w:p w14:paraId="6991641A" w14:textId="77777777" w:rsidR="001A3B30" w:rsidRPr="001A3B30" w:rsidRDefault="001A3B30" w:rsidP="001A3B30">
      <w:pPr>
        <w:jc w:val="both"/>
        <w:rPr>
          <w:rFonts w:cs="Arial"/>
          <w:szCs w:val="24"/>
          <w:lang w:eastAsia="it-IT"/>
        </w:rPr>
      </w:pPr>
    </w:p>
    <w:p w14:paraId="09BA360F" w14:textId="77777777" w:rsidR="001A3B30" w:rsidRPr="001A3B30" w:rsidRDefault="001A3B30" w:rsidP="001A3B30">
      <w:pPr>
        <w:jc w:val="both"/>
        <w:rPr>
          <w:rFonts w:cs="Arial"/>
          <w:szCs w:val="24"/>
          <w:lang w:eastAsia="it-IT"/>
        </w:rPr>
      </w:pPr>
      <w:r w:rsidRPr="001A3B30">
        <w:rPr>
          <w:rFonts w:cs="Arial"/>
          <w:szCs w:val="24"/>
          <w:lang w:eastAsia="it-IT"/>
        </w:rPr>
        <w:t xml:space="preserve">Thus, the situation did not significantly change overall over those years. The decrease recorded between 2009 and 2012 did not give rise to the beginning of a cycle, and the slight fluctuations are not related to political choices. </w:t>
      </w:r>
    </w:p>
    <w:p w14:paraId="47B88430" w14:textId="77777777" w:rsidR="001A3B30" w:rsidRPr="001A3B30" w:rsidRDefault="001A3B30" w:rsidP="001A3B30">
      <w:pPr>
        <w:jc w:val="both"/>
        <w:rPr>
          <w:rFonts w:cs="Arial"/>
          <w:szCs w:val="24"/>
          <w:lang w:eastAsia="it-IT"/>
        </w:rPr>
      </w:pPr>
    </w:p>
    <w:p w14:paraId="0CB3FBC2" w14:textId="77777777" w:rsidR="001A3B30" w:rsidRPr="001A3B30" w:rsidRDefault="001A3B30" w:rsidP="001A3B30">
      <w:pPr>
        <w:jc w:val="both"/>
        <w:rPr>
          <w:rFonts w:cs="Arial"/>
          <w:szCs w:val="24"/>
          <w:lang w:eastAsia="it-IT"/>
        </w:rPr>
      </w:pPr>
      <w:r w:rsidRPr="001A3B30">
        <w:rPr>
          <w:rFonts w:cs="Arial"/>
          <w:szCs w:val="24"/>
          <w:lang w:eastAsia="it-IT"/>
        </w:rPr>
        <w:t>The data on the usage of residential facilities are extremely stable, in particular concerning residential facilities providing institutional care. Even if the regulatory fragmentation in Italy makes it difficult to reconstruct a clear and homogeneous picture of the usage of residential facilities across the country, it is evident that the community-based settings represent a marginal option in the Italian welfare system.</w:t>
      </w:r>
    </w:p>
    <w:p w14:paraId="6FCDFE8A" w14:textId="77777777" w:rsidR="001A3B30" w:rsidRPr="00311E18" w:rsidRDefault="001A3B30" w:rsidP="001A3B30">
      <w:pPr>
        <w:jc w:val="both"/>
        <w:rPr>
          <w:rFonts w:cs="Arial"/>
          <w:b/>
          <w:bCs/>
          <w:szCs w:val="24"/>
          <w:lang w:eastAsia="it-IT"/>
        </w:rPr>
      </w:pPr>
    </w:p>
    <w:p w14:paraId="4CAAF5C2" w14:textId="77777777" w:rsidR="001A3B30" w:rsidRPr="001A3B30" w:rsidRDefault="001A3B30" w:rsidP="001A3B30">
      <w:pPr>
        <w:jc w:val="both"/>
        <w:rPr>
          <w:rFonts w:cs="Arial"/>
          <w:b/>
          <w:bCs/>
          <w:szCs w:val="24"/>
          <w:lang w:eastAsia="it-IT"/>
        </w:rPr>
      </w:pPr>
      <w:r w:rsidRPr="001A3B30">
        <w:rPr>
          <w:rFonts w:cs="Arial"/>
          <w:b/>
          <w:bCs/>
          <w:szCs w:val="24"/>
          <w:lang w:eastAsia="it-IT"/>
        </w:rPr>
        <w:t>Update note — 2018</w:t>
      </w:r>
    </w:p>
    <w:p w14:paraId="55A2F69B" w14:textId="77777777" w:rsidR="001A3B30" w:rsidRPr="001A3B30" w:rsidRDefault="001A3B30" w:rsidP="001A3B30">
      <w:pPr>
        <w:jc w:val="both"/>
        <w:rPr>
          <w:rFonts w:cs="Arial"/>
          <w:b/>
          <w:bCs/>
          <w:szCs w:val="24"/>
          <w:lang w:eastAsia="it-IT"/>
        </w:rPr>
      </w:pPr>
    </w:p>
    <w:p w14:paraId="67DB7E0F" w14:textId="77777777" w:rsidR="001A3B30" w:rsidRPr="001A3B30" w:rsidRDefault="001A3B30" w:rsidP="001A3B30">
      <w:pPr>
        <w:jc w:val="both"/>
        <w:rPr>
          <w:rFonts w:ascii="Times New Roman" w:hAnsi="Times New Roman"/>
          <w:szCs w:val="24"/>
          <w:lang w:eastAsia="it-IT"/>
        </w:rPr>
      </w:pPr>
      <w:r w:rsidRPr="001A3B30">
        <w:rPr>
          <w:rFonts w:cs="Arial"/>
          <w:szCs w:val="24"/>
          <w:lang w:eastAsia="it-IT"/>
        </w:rPr>
        <w:t>Some indirect indexes seem to confirm a stable picture up to the end of 2018. The main index concerns the reception capacity of the facilities, which can be obtained from the residential facilities Register Office managed by the National Guarantor for the Rights of Persons Detained or Deprived of Personal Liberty (GNPL) by cross-checking the data from various national and local databases. The data show a high level of stability in the amount of available sleeping accommodation in residential facilities in 2018 with respect to previous</w:t>
      </w:r>
      <w:r w:rsidRPr="001A3B30">
        <w:rPr>
          <w:rFonts w:ascii="Times New Roman" w:hAnsi="Times New Roman"/>
          <w:szCs w:val="24"/>
          <w:lang w:eastAsia="it-IT"/>
        </w:rPr>
        <w:t xml:space="preserve"> </w:t>
      </w:r>
      <w:r w:rsidRPr="001A3B30">
        <w:rPr>
          <w:rFonts w:cs="Arial"/>
          <w:szCs w:val="24"/>
          <w:lang w:eastAsia="it-IT"/>
        </w:rPr>
        <w:t xml:space="preserve">years. Furthermore, the geographical distribution of sleeping accommodation seems fairly stable from a macro standpoint. The type of usage of residential facilities is also stable. The Register Office of the GNPL is not publicly accessible, but it is tasked with monitoring the health and social care institutions. Some differences in the percentages can arise due to the fact that regions and municipalities, which are the main sources of data for the Register Office, do not </w:t>
      </w:r>
      <w:r w:rsidRPr="001A3B30">
        <w:rPr>
          <w:rFonts w:cs="Arial"/>
          <w:szCs w:val="24"/>
          <w:lang w:eastAsia="it-IT"/>
        </w:rPr>
        <w:lastRenderedPageBreak/>
        <w:t>update their databases on official residential facilities at the same time. Nonetheless, these tools are useful for obtaining a picture of the present situation, given the lack of data coming from ISTAT or from Government ministries.</w:t>
      </w:r>
    </w:p>
    <w:p w14:paraId="6A7FF8E9" w14:textId="77777777" w:rsidR="001A3B30" w:rsidRPr="001A3B30" w:rsidRDefault="001A3B30" w:rsidP="001A3B30">
      <w:pPr>
        <w:jc w:val="both"/>
        <w:rPr>
          <w:rFonts w:ascii="Times New Roman" w:hAnsi="Times New Roman"/>
          <w:b/>
          <w:bCs/>
          <w:szCs w:val="24"/>
          <w:lang w:eastAsia="it-IT"/>
        </w:rPr>
      </w:pPr>
    </w:p>
    <w:p w14:paraId="4A7CFF53" w14:textId="77777777" w:rsidR="001A3B30" w:rsidRPr="001A3B30" w:rsidRDefault="001A3B30" w:rsidP="001A3B30">
      <w:pPr>
        <w:jc w:val="both"/>
        <w:rPr>
          <w:rFonts w:cs="Arial"/>
          <w:b/>
          <w:bCs/>
          <w:szCs w:val="24"/>
          <w:lang w:eastAsia="it-IT"/>
        </w:rPr>
      </w:pPr>
      <w:r w:rsidRPr="001A3B30">
        <w:rPr>
          <w:rFonts w:cs="Arial"/>
          <w:b/>
          <w:bCs/>
          <w:szCs w:val="24"/>
          <w:lang w:eastAsia="it-IT"/>
        </w:rPr>
        <w:t>Analytical summary</w:t>
      </w:r>
    </w:p>
    <w:p w14:paraId="385BF695" w14:textId="77777777" w:rsidR="001A3B30" w:rsidRPr="001A3B30" w:rsidRDefault="001A3B30" w:rsidP="001A3B30">
      <w:pPr>
        <w:jc w:val="both"/>
        <w:rPr>
          <w:rFonts w:cs="Arial"/>
          <w:b/>
          <w:bCs/>
          <w:szCs w:val="24"/>
          <w:lang w:eastAsia="it-IT"/>
        </w:rPr>
      </w:pPr>
    </w:p>
    <w:p w14:paraId="3B0F8D64" w14:textId="77777777" w:rsidR="001A3B30" w:rsidRPr="001A3B30" w:rsidRDefault="001A3B30" w:rsidP="001A3B30">
      <w:pPr>
        <w:jc w:val="both"/>
        <w:rPr>
          <w:rFonts w:cs="Arial"/>
          <w:szCs w:val="24"/>
          <w:lang w:eastAsia="it-IT"/>
        </w:rPr>
      </w:pPr>
      <w:r w:rsidRPr="001A3B30">
        <w:rPr>
          <w:rFonts w:cs="Arial"/>
          <w:szCs w:val="24"/>
          <w:lang w:eastAsia="it-IT"/>
        </w:rPr>
        <w:t>During 2017, Italy permanently ended the process of abandoning judicial psychiatric institutions (OPGs), which had been replaced with residences for the execution of security measures (REMS). Admission to residential social and health care facilities replaced home care, day care or hospitalisation in judicial psychiatric hospitals. REMS are solutions of last resort, since the current legislation prefers solutions other than institutionalisation.</w:t>
      </w:r>
      <w:r w:rsidRPr="001A3B30">
        <w:rPr>
          <w:rFonts w:cs="Arial"/>
          <w:szCs w:val="24"/>
          <w:vertAlign w:val="superscript"/>
          <w:lang w:eastAsia="it-IT"/>
        </w:rPr>
        <w:footnoteReference w:id="7"/>
      </w:r>
    </w:p>
    <w:p w14:paraId="5EB0184F" w14:textId="77777777" w:rsidR="001A3B30" w:rsidRPr="001A3B30" w:rsidRDefault="001A3B30" w:rsidP="001A3B30">
      <w:pPr>
        <w:jc w:val="both"/>
        <w:rPr>
          <w:rFonts w:cs="Arial"/>
          <w:szCs w:val="24"/>
          <w:lang w:eastAsia="it-IT"/>
        </w:rPr>
      </w:pPr>
    </w:p>
    <w:p w14:paraId="24A16684" w14:textId="77777777" w:rsidR="001A3B30" w:rsidRPr="001A3B30" w:rsidRDefault="001A3B30" w:rsidP="001A3B30">
      <w:pPr>
        <w:jc w:val="both"/>
        <w:rPr>
          <w:rFonts w:cs="Arial"/>
          <w:szCs w:val="24"/>
          <w:lang w:eastAsia="it-IT"/>
        </w:rPr>
      </w:pPr>
      <w:r w:rsidRPr="001A3B30">
        <w:rPr>
          <w:rFonts w:cs="Arial"/>
          <w:szCs w:val="24"/>
          <w:lang w:eastAsia="it-IT"/>
        </w:rPr>
        <w:t>This change is just the latest event in a long process of deinstitutionalisation and criticism of the culture of segregation, which led, in 1977, to the abolition of specific classes devoted to students with disabilities</w:t>
      </w:r>
      <w:r w:rsidRPr="001A3B30">
        <w:rPr>
          <w:rFonts w:cs="Arial"/>
          <w:szCs w:val="24"/>
          <w:vertAlign w:val="superscript"/>
          <w:lang w:eastAsia="it-IT"/>
        </w:rPr>
        <w:footnoteReference w:id="8"/>
      </w:r>
      <w:r w:rsidRPr="001A3B30">
        <w:rPr>
          <w:rFonts w:cs="Arial"/>
          <w:szCs w:val="24"/>
          <w:lang w:eastAsia="it-IT"/>
        </w:rPr>
        <w:t xml:space="preserve"> and, in 1978, to the abolition of the system of state mental institutions.</w:t>
      </w:r>
      <w:r w:rsidRPr="001A3B30">
        <w:rPr>
          <w:rFonts w:cs="Arial"/>
          <w:szCs w:val="24"/>
          <w:vertAlign w:val="superscript"/>
          <w:lang w:eastAsia="it-IT"/>
        </w:rPr>
        <w:footnoteReference w:id="9"/>
      </w:r>
    </w:p>
    <w:p w14:paraId="5EE6AB4B" w14:textId="77777777" w:rsidR="001A3B30" w:rsidRPr="001A3B30" w:rsidRDefault="001A3B30" w:rsidP="001A3B30">
      <w:pPr>
        <w:jc w:val="both"/>
        <w:rPr>
          <w:rFonts w:cs="Arial"/>
          <w:szCs w:val="24"/>
          <w:lang w:eastAsia="it-IT"/>
        </w:rPr>
      </w:pPr>
    </w:p>
    <w:p w14:paraId="5246582D" w14:textId="77777777" w:rsidR="001A3B30" w:rsidRPr="001A3B30" w:rsidRDefault="001A3B30" w:rsidP="001A3B30">
      <w:pPr>
        <w:jc w:val="both"/>
        <w:rPr>
          <w:rFonts w:cs="Arial"/>
          <w:szCs w:val="24"/>
          <w:lang w:eastAsia="it-IT"/>
        </w:rPr>
      </w:pPr>
      <w:r w:rsidRPr="001A3B30">
        <w:rPr>
          <w:rFonts w:cs="Arial"/>
          <w:szCs w:val="24"/>
          <w:lang w:eastAsia="it-IT"/>
        </w:rPr>
        <w:t>Nevertheless, in Italy the institutionalisation of persons with disabilities is still an essentially accepted practice, which particularly concerns persons with intellectual and/or psychosocial disabilities and non-self-sufficient elderly people.</w:t>
      </w:r>
      <w:r w:rsidRPr="001A3B30">
        <w:rPr>
          <w:rFonts w:cs="Arial"/>
          <w:vertAlign w:val="superscript"/>
          <w:lang w:eastAsia="it-IT"/>
        </w:rPr>
        <w:footnoteReference w:id="10"/>
      </w:r>
      <w:r w:rsidRPr="001A3B30">
        <w:rPr>
          <w:rFonts w:cs="Arial"/>
          <w:sz w:val="32"/>
          <w:szCs w:val="24"/>
          <w:lang w:eastAsia="it-IT"/>
        </w:rPr>
        <w:t xml:space="preserve"> </w:t>
      </w:r>
    </w:p>
    <w:p w14:paraId="6FB1A0D1" w14:textId="77777777" w:rsidR="001A3B30" w:rsidRPr="00311E18" w:rsidRDefault="001A3B30" w:rsidP="001A3B30">
      <w:pPr>
        <w:jc w:val="both"/>
        <w:rPr>
          <w:rFonts w:cs="Arial"/>
          <w:szCs w:val="24"/>
          <w:lang w:eastAsia="it-IT"/>
        </w:rPr>
      </w:pPr>
    </w:p>
    <w:p w14:paraId="0C737667" w14:textId="77777777" w:rsidR="00000C42" w:rsidRPr="001A3B30" w:rsidRDefault="00E86322" w:rsidP="00000C42">
      <w:pPr>
        <w:pStyle w:val="Heading2"/>
        <w:rPr>
          <w:u w:color="000000"/>
          <w:bdr w:val="nil"/>
          <w:lang w:eastAsia="it-IT"/>
        </w:rPr>
      </w:pPr>
      <w:bookmarkStart w:id="6" w:name="_Toc5724439"/>
      <w:r w:rsidRPr="001A3B30">
        <w:rPr>
          <w:u w:color="000000"/>
          <w:bdr w:val="nil"/>
          <w:lang w:eastAsia="it-IT"/>
        </w:rPr>
        <w:t>Overall spending on institutional care versus support services for living independently and being included in the community, including information about proportion/amount of funding provided from EU funds</w:t>
      </w:r>
      <w:bookmarkEnd w:id="6"/>
    </w:p>
    <w:p w14:paraId="4492064A" w14:textId="77777777" w:rsidR="001A3B30" w:rsidRPr="00311E18" w:rsidRDefault="001A3B30" w:rsidP="001A3B30">
      <w:pPr>
        <w:jc w:val="both"/>
        <w:rPr>
          <w:rFonts w:cs="Arial"/>
          <w:szCs w:val="24"/>
          <w:lang w:eastAsia="it-IT"/>
        </w:rPr>
      </w:pPr>
    </w:p>
    <w:p w14:paraId="3108198E" w14:textId="77777777" w:rsidR="00000C42" w:rsidRPr="001A3B30" w:rsidRDefault="00E86322" w:rsidP="00000C42">
      <w:pPr>
        <w:pStyle w:val="Heading3"/>
        <w:rPr>
          <w:u w:color="000000"/>
          <w:bdr w:val="nil"/>
          <w:lang w:eastAsia="it-IT"/>
        </w:rPr>
      </w:pPr>
      <w:r w:rsidRPr="001A3B30">
        <w:rPr>
          <w:u w:color="000000"/>
          <w:bdr w:val="nil"/>
          <w:lang w:eastAsia="it-IT"/>
        </w:rPr>
        <w:t>Current figures</w:t>
      </w:r>
    </w:p>
    <w:p w14:paraId="1EC919CE" w14:textId="77777777" w:rsidR="001A3B30" w:rsidRPr="00311E18" w:rsidRDefault="001A3B30" w:rsidP="001A3B30">
      <w:pPr>
        <w:rPr>
          <w:rFonts w:cs="Arial"/>
          <w:szCs w:val="24"/>
          <w:lang w:eastAsia="it-IT"/>
        </w:rPr>
      </w:pPr>
    </w:p>
    <w:p w14:paraId="23EFB6AD" w14:textId="77777777" w:rsidR="001A3B30" w:rsidRPr="001A3B30" w:rsidRDefault="001A3B30" w:rsidP="001A3B30">
      <w:pPr>
        <w:jc w:val="both"/>
        <w:rPr>
          <w:rFonts w:cs="Arial"/>
          <w:szCs w:val="24"/>
          <w:lang w:eastAsia="it-IT"/>
        </w:rPr>
      </w:pPr>
      <w:r w:rsidRPr="001A3B30">
        <w:rPr>
          <w:rFonts w:cs="Arial"/>
          <w:szCs w:val="24"/>
          <w:lang w:eastAsia="it-IT"/>
        </w:rPr>
        <w:t>There are neither national data with respect to overall spending on institutional care nor data concerning the overall spending on support services for living independently and being included in the community. Thus, there are no available data on the proportion/amount of funding provided out of EU funds.</w:t>
      </w:r>
    </w:p>
    <w:p w14:paraId="3E3FBF39" w14:textId="77777777" w:rsidR="001A3B30" w:rsidRPr="00311E18" w:rsidRDefault="001A3B30" w:rsidP="001A3B30">
      <w:pPr>
        <w:jc w:val="both"/>
        <w:rPr>
          <w:rFonts w:cs="Arial"/>
          <w:szCs w:val="24"/>
          <w:lang w:eastAsia="it-IT"/>
        </w:rPr>
      </w:pPr>
    </w:p>
    <w:p w14:paraId="2E97C646" w14:textId="77777777" w:rsidR="001A3B30" w:rsidRPr="001A3B30" w:rsidRDefault="001A3B30" w:rsidP="001A3B30">
      <w:pPr>
        <w:jc w:val="both"/>
        <w:rPr>
          <w:rFonts w:cs="Arial"/>
          <w:szCs w:val="24"/>
          <w:lang w:eastAsia="it-IT"/>
        </w:rPr>
      </w:pPr>
      <w:r w:rsidRPr="001A3B30">
        <w:rPr>
          <w:rFonts w:cs="Arial"/>
          <w:szCs w:val="24"/>
          <w:lang w:eastAsia="it-IT"/>
        </w:rPr>
        <w:t xml:space="preserve">In 2013, the </w:t>
      </w:r>
      <w:proofErr w:type="spellStart"/>
      <w:r w:rsidRPr="001A3B30">
        <w:rPr>
          <w:rFonts w:cs="Arial"/>
          <w:i/>
          <w:iCs/>
          <w:szCs w:val="24"/>
          <w:lang w:eastAsia="it-IT"/>
        </w:rPr>
        <w:t>Programma</w:t>
      </w:r>
      <w:proofErr w:type="spellEnd"/>
      <w:r w:rsidRPr="001A3B30">
        <w:rPr>
          <w:rFonts w:cs="Arial"/>
          <w:i/>
          <w:iCs/>
          <w:szCs w:val="24"/>
          <w:lang w:eastAsia="it-IT"/>
        </w:rPr>
        <w:t xml:space="preserve"> di </w:t>
      </w:r>
      <w:proofErr w:type="spellStart"/>
      <w:r w:rsidRPr="001A3B30">
        <w:rPr>
          <w:rFonts w:cs="Arial"/>
          <w:i/>
          <w:iCs/>
          <w:szCs w:val="24"/>
          <w:lang w:eastAsia="it-IT"/>
        </w:rPr>
        <w:t>azione</w:t>
      </w:r>
      <w:proofErr w:type="spellEnd"/>
      <w:r w:rsidRPr="001A3B30">
        <w:rPr>
          <w:rFonts w:cs="Arial"/>
          <w:i/>
          <w:iCs/>
          <w:szCs w:val="24"/>
          <w:lang w:eastAsia="it-IT"/>
        </w:rPr>
        <w:t xml:space="preserve"> biennale per la </w:t>
      </w:r>
      <w:proofErr w:type="spellStart"/>
      <w:r w:rsidRPr="001A3B30">
        <w:rPr>
          <w:rFonts w:cs="Arial"/>
          <w:i/>
          <w:iCs/>
          <w:szCs w:val="24"/>
          <w:lang w:eastAsia="it-IT"/>
        </w:rPr>
        <w:t>promozione</w:t>
      </w:r>
      <w:proofErr w:type="spellEnd"/>
      <w:r w:rsidRPr="001A3B30">
        <w:rPr>
          <w:rFonts w:cs="Arial"/>
          <w:i/>
          <w:iCs/>
          <w:szCs w:val="24"/>
          <w:lang w:eastAsia="it-IT"/>
        </w:rPr>
        <w:t xml:space="preserve"> </w:t>
      </w:r>
      <w:proofErr w:type="spellStart"/>
      <w:r w:rsidRPr="001A3B30">
        <w:rPr>
          <w:rFonts w:cs="Arial"/>
          <w:i/>
          <w:iCs/>
          <w:szCs w:val="24"/>
          <w:lang w:eastAsia="it-IT"/>
        </w:rPr>
        <w:t>dei</w:t>
      </w:r>
      <w:proofErr w:type="spellEnd"/>
      <w:r w:rsidRPr="001A3B30">
        <w:rPr>
          <w:rFonts w:cs="Arial"/>
          <w:i/>
          <w:iCs/>
          <w:szCs w:val="24"/>
          <w:lang w:eastAsia="it-IT"/>
        </w:rPr>
        <w:t xml:space="preserve"> </w:t>
      </w:r>
      <w:proofErr w:type="spellStart"/>
      <w:r w:rsidRPr="001A3B30">
        <w:rPr>
          <w:rFonts w:cs="Arial"/>
          <w:i/>
          <w:iCs/>
          <w:szCs w:val="24"/>
          <w:lang w:eastAsia="it-IT"/>
        </w:rPr>
        <w:t>diritti</w:t>
      </w:r>
      <w:proofErr w:type="spellEnd"/>
      <w:r w:rsidRPr="001A3B30">
        <w:rPr>
          <w:rFonts w:cs="Arial"/>
          <w:i/>
          <w:iCs/>
          <w:szCs w:val="24"/>
          <w:lang w:eastAsia="it-IT"/>
        </w:rPr>
        <w:t xml:space="preserve"> e </w:t>
      </w:r>
      <w:proofErr w:type="spellStart"/>
      <w:r w:rsidRPr="001A3B30">
        <w:rPr>
          <w:rFonts w:cs="Arial"/>
          <w:i/>
          <w:iCs/>
          <w:szCs w:val="24"/>
          <w:lang w:eastAsia="it-IT"/>
        </w:rPr>
        <w:t>l’integrazione</w:t>
      </w:r>
      <w:proofErr w:type="spellEnd"/>
      <w:r w:rsidRPr="001A3B30">
        <w:rPr>
          <w:rFonts w:cs="Arial"/>
          <w:i/>
          <w:iCs/>
          <w:szCs w:val="24"/>
          <w:lang w:eastAsia="it-IT"/>
        </w:rPr>
        <w:t xml:space="preserve"> </w:t>
      </w:r>
      <w:proofErr w:type="spellStart"/>
      <w:r w:rsidRPr="001A3B30">
        <w:rPr>
          <w:rFonts w:cs="Arial"/>
          <w:i/>
          <w:iCs/>
          <w:szCs w:val="24"/>
          <w:lang w:eastAsia="it-IT"/>
        </w:rPr>
        <w:t>delle</w:t>
      </w:r>
      <w:proofErr w:type="spellEnd"/>
      <w:r w:rsidRPr="001A3B30">
        <w:rPr>
          <w:rFonts w:cs="Arial"/>
          <w:i/>
          <w:iCs/>
          <w:szCs w:val="24"/>
          <w:lang w:eastAsia="it-IT"/>
        </w:rPr>
        <w:t xml:space="preserve"> </w:t>
      </w:r>
      <w:proofErr w:type="spellStart"/>
      <w:r w:rsidRPr="001A3B30">
        <w:rPr>
          <w:rFonts w:cs="Arial"/>
          <w:i/>
          <w:iCs/>
          <w:szCs w:val="24"/>
          <w:lang w:eastAsia="it-IT"/>
        </w:rPr>
        <w:t>persone</w:t>
      </w:r>
      <w:proofErr w:type="spellEnd"/>
      <w:r w:rsidRPr="001A3B30">
        <w:rPr>
          <w:rFonts w:cs="Arial"/>
          <w:i/>
          <w:iCs/>
          <w:szCs w:val="24"/>
          <w:lang w:eastAsia="it-IT"/>
        </w:rPr>
        <w:t xml:space="preserve"> con </w:t>
      </w:r>
      <w:proofErr w:type="spellStart"/>
      <w:r w:rsidRPr="001A3B30">
        <w:rPr>
          <w:rFonts w:cs="Arial"/>
          <w:i/>
          <w:iCs/>
          <w:szCs w:val="24"/>
          <w:lang w:eastAsia="it-IT"/>
        </w:rPr>
        <w:t>disabilità</w:t>
      </w:r>
      <w:proofErr w:type="spellEnd"/>
      <w:r w:rsidRPr="001A3B30">
        <w:rPr>
          <w:rFonts w:cs="Arial"/>
          <w:szCs w:val="24"/>
          <w:lang w:eastAsia="it-IT"/>
        </w:rPr>
        <w:t xml:space="preserve"> (Biannual National Action Programme on Disability) planned three actions related to Article 19 of the CRPD.</w:t>
      </w:r>
      <w:r w:rsidRPr="001A3B30">
        <w:rPr>
          <w:rFonts w:eastAsia="Arial" w:cs="Arial"/>
          <w:szCs w:val="24"/>
          <w:vertAlign w:val="superscript"/>
          <w:lang w:eastAsia="it-IT"/>
        </w:rPr>
        <w:footnoteReference w:id="11"/>
      </w:r>
      <w:r w:rsidRPr="001A3B30">
        <w:rPr>
          <w:rFonts w:cs="Arial"/>
          <w:szCs w:val="24"/>
          <w:lang w:eastAsia="it-IT"/>
        </w:rPr>
        <w:t xml:space="preserve"> The Ministry of Labour and </w:t>
      </w:r>
      <w:r w:rsidRPr="001A3B30">
        <w:rPr>
          <w:rFonts w:cs="Arial"/>
          <w:szCs w:val="24"/>
          <w:lang w:eastAsia="it-IT"/>
        </w:rPr>
        <w:lastRenderedPageBreak/>
        <w:t xml:space="preserve">Social Policy planned for the funding of pilot programmes, as proposed by regions and autonomous provinces, to adopt a uniform model of intervention for support for living independently and for the inclusion of persons with disabilities throughout the country (see section 3.1). This programme, with a budget of EUR 15 million, was mainly funded from the </w:t>
      </w:r>
      <w:proofErr w:type="spellStart"/>
      <w:r w:rsidRPr="001A3B30">
        <w:rPr>
          <w:rFonts w:cs="Arial"/>
          <w:szCs w:val="24"/>
          <w:lang w:eastAsia="it-IT"/>
        </w:rPr>
        <w:t>Fondo</w:t>
      </w:r>
      <w:proofErr w:type="spellEnd"/>
      <w:r w:rsidRPr="001A3B30">
        <w:rPr>
          <w:rFonts w:cs="Arial"/>
          <w:szCs w:val="24"/>
          <w:lang w:eastAsia="it-IT"/>
        </w:rPr>
        <w:t xml:space="preserve"> Nazionale per la non </w:t>
      </w:r>
      <w:proofErr w:type="spellStart"/>
      <w:r w:rsidRPr="001A3B30">
        <w:rPr>
          <w:rFonts w:cs="Arial"/>
          <w:szCs w:val="24"/>
          <w:lang w:eastAsia="it-IT"/>
        </w:rPr>
        <w:t>autosufficienza</w:t>
      </w:r>
      <w:proofErr w:type="spellEnd"/>
      <w:r w:rsidRPr="001A3B30">
        <w:rPr>
          <w:rFonts w:cs="Arial"/>
          <w:szCs w:val="24"/>
          <w:lang w:eastAsia="it-IT"/>
        </w:rPr>
        <w:t xml:space="preserve"> (the FNA, the National Fund for Non-self-sufficiency). This represented 3.75 % of the annual fund. </w:t>
      </w:r>
    </w:p>
    <w:p w14:paraId="0F9E39BC" w14:textId="77777777" w:rsidR="001A3B30" w:rsidRPr="001A3B30" w:rsidRDefault="001A3B30" w:rsidP="001A3B30">
      <w:pPr>
        <w:jc w:val="both"/>
        <w:rPr>
          <w:rFonts w:cs="Arial"/>
          <w:szCs w:val="24"/>
          <w:lang w:eastAsia="it-IT"/>
        </w:rPr>
      </w:pPr>
    </w:p>
    <w:p w14:paraId="44198DA8" w14:textId="77777777" w:rsidR="001A3B30" w:rsidRPr="001A3B30" w:rsidRDefault="001A3B30" w:rsidP="001A3B30">
      <w:pPr>
        <w:jc w:val="both"/>
        <w:rPr>
          <w:rFonts w:cs="Arial"/>
          <w:szCs w:val="24"/>
          <w:lang w:eastAsia="it-IT"/>
        </w:rPr>
      </w:pPr>
      <w:r w:rsidRPr="001A3B30">
        <w:rPr>
          <w:rFonts w:cs="Arial"/>
          <w:szCs w:val="24"/>
          <w:lang w:eastAsia="it-IT"/>
        </w:rPr>
        <w:t>The only other available data on this topic concern the expenditure of municipalities on institutional facilities and home care. The expenditure on home care is simply an index with respect to policies supporting services for living independently.</w:t>
      </w:r>
      <w:r w:rsidRPr="001A3B30">
        <w:rPr>
          <w:rFonts w:cs="Arial"/>
          <w:szCs w:val="24"/>
          <w:lang w:eastAsia="it-IT"/>
        </w:rPr>
        <w:br/>
      </w:r>
    </w:p>
    <w:p w14:paraId="235C2DE4" w14:textId="77777777" w:rsidR="001A3B30" w:rsidRPr="001A3B30" w:rsidRDefault="001A3B30" w:rsidP="001A3B30">
      <w:pPr>
        <w:jc w:val="both"/>
        <w:rPr>
          <w:rFonts w:cs="Arial"/>
          <w:szCs w:val="24"/>
          <w:lang w:eastAsia="it-IT"/>
        </w:rPr>
      </w:pPr>
      <w:r w:rsidRPr="001A3B30">
        <w:rPr>
          <w:rFonts w:cs="Arial"/>
          <w:szCs w:val="24"/>
          <w:lang w:eastAsia="it-IT"/>
        </w:rPr>
        <w:t>The most recent definitive data on the expenditure by municipalities on residential facilities and on home care concern 2014. In January 2019, ISTAT made available provisional data concerning 2016, but they are still not available with respect to a disaggregated representation of types of expenditure.</w:t>
      </w:r>
    </w:p>
    <w:p w14:paraId="22593EB9" w14:textId="77777777" w:rsidR="001A3B30" w:rsidRPr="001A3B30" w:rsidRDefault="001A3B30" w:rsidP="001A3B30">
      <w:pPr>
        <w:jc w:val="both"/>
        <w:rPr>
          <w:rFonts w:cs="Arial"/>
          <w:szCs w:val="24"/>
          <w:lang w:eastAsia="it-IT"/>
        </w:rPr>
      </w:pPr>
    </w:p>
    <w:p w14:paraId="54C81034" w14:textId="389224C3" w:rsidR="001A3B30" w:rsidRPr="001A3B30" w:rsidRDefault="001A3B30" w:rsidP="001A3B30">
      <w:pPr>
        <w:jc w:val="both"/>
        <w:rPr>
          <w:rFonts w:cs="Arial"/>
          <w:szCs w:val="24"/>
          <w:lang w:eastAsia="it-IT"/>
        </w:rPr>
      </w:pPr>
      <w:r w:rsidRPr="001A3B30">
        <w:rPr>
          <w:rFonts w:cs="Arial"/>
          <w:szCs w:val="24"/>
          <w:lang w:eastAsia="it-IT"/>
        </w:rPr>
        <w:t>The contributions of municipalities to residential expenditure for persons with disabilities vary between 30 % and 60 % and come to 50 % for elderly people; the remaining share goes towards the National Health Service and, in proportion to salary, to users. Thus, the contribution of municipalities to the total expenditure on residential facilities is only partial</w:t>
      </w:r>
      <w:r w:rsidR="00BF4791">
        <w:rPr>
          <w:rFonts w:cs="Arial"/>
          <w:szCs w:val="24"/>
          <w:lang w:eastAsia="it-IT"/>
        </w:rPr>
        <w:t xml:space="preserve"> </w:t>
      </w:r>
      <w:r w:rsidRPr="001A3B30">
        <w:rPr>
          <w:rFonts w:cs="Arial"/>
          <w:szCs w:val="24"/>
          <w:lang w:eastAsia="it-IT"/>
        </w:rPr>
        <w:t>and is usually minor.</w:t>
      </w:r>
    </w:p>
    <w:p w14:paraId="1A22824B" w14:textId="77777777" w:rsidR="001A3B30" w:rsidRPr="001A3B30" w:rsidRDefault="001A3B30" w:rsidP="001A3B30">
      <w:pPr>
        <w:jc w:val="both"/>
        <w:rPr>
          <w:rFonts w:ascii="Times New Roman" w:hAnsi="Times New Roman"/>
          <w:szCs w:val="24"/>
          <w:lang w:eastAsia="it-IT"/>
        </w:rPr>
      </w:pPr>
    </w:p>
    <w:p w14:paraId="38ED4433" w14:textId="77777777" w:rsidR="001A3B30" w:rsidRPr="001A3B30" w:rsidRDefault="001A3B30" w:rsidP="001A3B30">
      <w:pPr>
        <w:jc w:val="both"/>
        <w:rPr>
          <w:rFonts w:cs="Arial"/>
          <w:szCs w:val="24"/>
          <w:lang w:eastAsia="it-IT"/>
        </w:rPr>
      </w:pPr>
      <w:r w:rsidRPr="001A3B30">
        <w:rPr>
          <w:rFonts w:cs="Arial"/>
          <w:szCs w:val="24"/>
          <w:lang w:eastAsia="it-IT"/>
        </w:rPr>
        <w:t>In 2014, the expenditure of municipalities on residential facilities amounted to EUR 809.4 million</w:t>
      </w:r>
      <w:r w:rsidRPr="001A3B30" w:rsidDel="00797B60">
        <w:rPr>
          <w:rFonts w:cs="Arial"/>
          <w:szCs w:val="24"/>
          <w:lang w:eastAsia="it-IT"/>
        </w:rPr>
        <w:t xml:space="preserve"> </w:t>
      </w:r>
      <w:r w:rsidRPr="001A3B30">
        <w:rPr>
          <w:rFonts w:cs="Arial"/>
          <w:szCs w:val="24"/>
          <w:lang w:eastAsia="it-IT"/>
        </w:rPr>
        <w:t>with 313 million was devoted to disability and EUR 469.3 million for elderly people.</w:t>
      </w:r>
    </w:p>
    <w:p w14:paraId="015E20EA" w14:textId="77777777" w:rsidR="001A3B30" w:rsidRPr="001A3B30" w:rsidRDefault="001A3B30" w:rsidP="001A3B30">
      <w:pPr>
        <w:jc w:val="both"/>
        <w:rPr>
          <w:rFonts w:cs="Arial"/>
          <w:szCs w:val="24"/>
          <w:lang w:eastAsia="it-IT"/>
        </w:rPr>
      </w:pPr>
    </w:p>
    <w:p w14:paraId="13214FF5" w14:textId="77777777" w:rsidR="001A3B30" w:rsidRPr="001A3B30" w:rsidRDefault="001A3B30" w:rsidP="001A3B30">
      <w:pPr>
        <w:jc w:val="both"/>
        <w:rPr>
          <w:rFonts w:cs="Arial"/>
          <w:szCs w:val="24"/>
          <w:lang w:eastAsia="it-IT"/>
        </w:rPr>
      </w:pPr>
      <w:r w:rsidRPr="001A3B30">
        <w:rPr>
          <w:rFonts w:cs="Arial"/>
          <w:szCs w:val="24"/>
          <w:lang w:eastAsia="it-IT"/>
        </w:rPr>
        <w:t>Municipal expenditure for home care in 2014 amounted to EUR 678.1 million, with EUR 223 million devoted to disability and EUR 455.1 million for elderly people.</w:t>
      </w:r>
    </w:p>
    <w:p w14:paraId="00051E29" w14:textId="77777777" w:rsidR="001A3B30" w:rsidRPr="001A3B30" w:rsidRDefault="001A3B30" w:rsidP="001A3B30">
      <w:pPr>
        <w:jc w:val="both"/>
        <w:rPr>
          <w:rFonts w:cs="Arial"/>
          <w:szCs w:val="24"/>
          <w:lang w:eastAsia="it-IT"/>
        </w:rPr>
      </w:pPr>
    </w:p>
    <w:p w14:paraId="5F62B3B1" w14:textId="77777777" w:rsidR="001A3B30" w:rsidRPr="001A3B30" w:rsidRDefault="001A3B30" w:rsidP="001A3B30">
      <w:pPr>
        <w:jc w:val="both"/>
        <w:rPr>
          <w:rFonts w:cs="Arial"/>
          <w:szCs w:val="24"/>
          <w:lang w:eastAsia="it-IT"/>
        </w:rPr>
      </w:pPr>
      <w:r w:rsidRPr="001A3B30">
        <w:rPr>
          <w:rFonts w:cs="Arial"/>
          <w:szCs w:val="24"/>
          <w:lang w:eastAsia="it-IT"/>
        </w:rPr>
        <w:t>Expenditure for home care for disabled persons includes EUR 147.9 million for social assistance home care, EUR 25.7 million for home care integrated with health services (ADI), and EUR 49.4 million for vouchers, care allowance and social health vouchers.</w:t>
      </w:r>
    </w:p>
    <w:p w14:paraId="6894769D" w14:textId="77777777" w:rsidR="001A3B30" w:rsidRPr="001A3B30" w:rsidRDefault="001A3B30" w:rsidP="001A3B30">
      <w:pPr>
        <w:jc w:val="both"/>
        <w:rPr>
          <w:rFonts w:cs="Arial"/>
          <w:szCs w:val="24"/>
          <w:lang w:eastAsia="it-IT"/>
        </w:rPr>
      </w:pPr>
    </w:p>
    <w:p w14:paraId="229744DF" w14:textId="77777777" w:rsidR="001A3B30" w:rsidRPr="001A3B30" w:rsidRDefault="001A3B30" w:rsidP="001A3B30">
      <w:pPr>
        <w:jc w:val="both"/>
        <w:rPr>
          <w:rFonts w:cs="Arial"/>
          <w:szCs w:val="24"/>
          <w:lang w:eastAsia="it-IT"/>
        </w:rPr>
      </w:pPr>
      <w:r w:rsidRPr="001A3B30">
        <w:rPr>
          <w:rFonts w:cs="Arial"/>
          <w:szCs w:val="24"/>
          <w:lang w:eastAsia="it-IT"/>
        </w:rPr>
        <w:t>Expenditure for home care for elderly people includes EUR 312.3 million for social assistance home care, EUR 64.7 million for home care integrated with health services (ADI), and EUR 78.1 million for vouchers, care allowance and social health vouchers.</w:t>
      </w:r>
    </w:p>
    <w:p w14:paraId="2039DEB4" w14:textId="77777777" w:rsidR="001A3B30" w:rsidRPr="001A3B30" w:rsidRDefault="001A3B30" w:rsidP="001A3B30">
      <w:pPr>
        <w:pBdr>
          <w:top w:val="nil"/>
          <w:left w:val="nil"/>
          <w:bottom w:val="nil"/>
          <w:right w:val="nil"/>
          <w:between w:val="nil"/>
          <w:bar w:val="nil"/>
        </w:pBdr>
        <w:rPr>
          <w:rFonts w:ascii="Times New Roman" w:hAnsi="Times New Roman"/>
          <w:szCs w:val="24"/>
          <w:lang w:eastAsia="it-IT"/>
        </w:rPr>
      </w:pPr>
      <w:r w:rsidRPr="001A3B30">
        <w:rPr>
          <w:rFonts w:ascii="Times New Roman" w:hAnsi="Times New Roman"/>
          <w:szCs w:val="24"/>
          <w:lang w:eastAsia="it-IT"/>
        </w:rPr>
        <w:br w:type="page"/>
      </w:r>
    </w:p>
    <w:p w14:paraId="67216200" w14:textId="77777777" w:rsidR="00000C42" w:rsidRPr="001A3B30" w:rsidRDefault="00E86322" w:rsidP="00000C42">
      <w:pPr>
        <w:pStyle w:val="Heading3"/>
        <w:rPr>
          <w:u w:color="000000"/>
          <w:bdr w:val="nil"/>
          <w:lang w:eastAsia="it-IT"/>
        </w:rPr>
      </w:pPr>
      <w:r w:rsidRPr="001A3B30">
        <w:rPr>
          <w:u w:color="000000"/>
          <w:bdr w:val="nil"/>
          <w:lang w:eastAsia="it-IT"/>
        </w:rPr>
        <w:lastRenderedPageBreak/>
        <w:t>Trend since 2013</w:t>
      </w:r>
    </w:p>
    <w:p w14:paraId="06B98633" w14:textId="77777777" w:rsidR="001A3B30" w:rsidRPr="00311E18" w:rsidRDefault="001A3B30" w:rsidP="001A3B30">
      <w:pPr>
        <w:rPr>
          <w:rFonts w:cs="Arial"/>
          <w:szCs w:val="24"/>
          <w:lang w:eastAsia="it-IT"/>
        </w:rPr>
      </w:pPr>
    </w:p>
    <w:p w14:paraId="165E1118" w14:textId="77777777" w:rsidR="00000C42" w:rsidRPr="001A3B30" w:rsidRDefault="00E86322" w:rsidP="00BF4791">
      <w:pPr>
        <w:rPr>
          <w:rFonts w:eastAsia="Arial"/>
          <w:u w:color="000000"/>
          <w:bdr w:val="nil"/>
          <w:lang w:eastAsia="it-IT"/>
        </w:rPr>
      </w:pPr>
      <w:r w:rsidRPr="001A3B30">
        <w:rPr>
          <w:rFonts w:eastAsia="Arial"/>
          <w:u w:color="000000"/>
          <w:bdr w:val="nil"/>
          <w:lang w:eastAsia="it-IT"/>
        </w:rPr>
        <w:t>In this case as well, due to the reasons stated in the methodological note in 1.1.2, we assume a broader time horizon.</w:t>
      </w:r>
    </w:p>
    <w:p w14:paraId="31C292E5" w14:textId="77777777" w:rsidR="001A3B30" w:rsidRPr="00311E18" w:rsidRDefault="001A3B30" w:rsidP="001A3B30">
      <w:pPr>
        <w:rPr>
          <w:rFonts w:cs="Arial"/>
          <w:szCs w:val="24"/>
          <w:lang w:eastAsia="it-IT"/>
        </w:rPr>
      </w:pPr>
    </w:p>
    <w:p w14:paraId="108A387B" w14:textId="77777777" w:rsidR="001A3B30" w:rsidRPr="001A3B30" w:rsidRDefault="001A3B30" w:rsidP="001A3B30">
      <w:pPr>
        <w:rPr>
          <w:rFonts w:cs="Arial"/>
          <w:b/>
          <w:bCs/>
          <w:szCs w:val="24"/>
          <w:lang w:eastAsia="it-IT"/>
        </w:rPr>
      </w:pPr>
      <w:r w:rsidRPr="001A3B30">
        <w:rPr>
          <w:rFonts w:cs="Arial"/>
          <w:b/>
          <w:bCs/>
          <w:szCs w:val="24"/>
          <w:lang w:eastAsia="it-IT"/>
        </w:rPr>
        <w:t>Funds from the ministerial programme</w:t>
      </w:r>
    </w:p>
    <w:p w14:paraId="21A57FA2" w14:textId="77777777" w:rsidR="001A3B30" w:rsidRPr="001A3B30" w:rsidRDefault="001A3B30" w:rsidP="001A3B30">
      <w:pPr>
        <w:rPr>
          <w:rFonts w:cs="Arial"/>
          <w:b/>
          <w:bCs/>
          <w:szCs w:val="24"/>
          <w:lang w:eastAsia="it-IT"/>
        </w:rPr>
      </w:pPr>
    </w:p>
    <w:p w14:paraId="651E1F20" w14:textId="77777777" w:rsidR="001A3B30" w:rsidRPr="001A3B30" w:rsidRDefault="001A3B30" w:rsidP="001A3B30">
      <w:pPr>
        <w:jc w:val="both"/>
        <w:rPr>
          <w:rFonts w:cs="Arial"/>
          <w:szCs w:val="24"/>
          <w:lang w:eastAsia="it-IT"/>
        </w:rPr>
      </w:pPr>
      <w:r w:rsidRPr="001A3B30">
        <w:rPr>
          <w:rFonts w:cs="Arial"/>
          <w:szCs w:val="24"/>
          <w:lang w:eastAsia="it-IT"/>
        </w:rPr>
        <w:t>The pilot programme received EUR 10 million of funding for 2014-15 and EUR 15 million between 2016 and 2018 (3.1).</w:t>
      </w:r>
    </w:p>
    <w:p w14:paraId="4F9CEE15" w14:textId="77777777" w:rsidR="001A3B30" w:rsidRPr="001A3B30" w:rsidRDefault="001A3B30" w:rsidP="001A3B30">
      <w:pPr>
        <w:jc w:val="both"/>
        <w:rPr>
          <w:rFonts w:ascii="Times New Roman" w:hAnsi="Times New Roman"/>
          <w:b/>
          <w:bCs/>
          <w:szCs w:val="24"/>
          <w:lang w:eastAsia="it-IT"/>
        </w:rPr>
      </w:pPr>
    </w:p>
    <w:p w14:paraId="52668534" w14:textId="77777777" w:rsidR="001A3B30" w:rsidRPr="001A3B30" w:rsidRDefault="001A3B30" w:rsidP="001A3B30">
      <w:pPr>
        <w:jc w:val="both"/>
        <w:rPr>
          <w:rFonts w:cs="Arial"/>
          <w:b/>
          <w:bCs/>
          <w:lang w:eastAsia="it-IT"/>
        </w:rPr>
      </w:pPr>
      <w:r w:rsidRPr="001A3B30">
        <w:rPr>
          <w:rFonts w:cs="Arial"/>
          <w:b/>
          <w:bCs/>
          <w:lang w:eastAsia="it-IT"/>
        </w:rPr>
        <w:t>Expenditure on residential facilities</w:t>
      </w:r>
    </w:p>
    <w:tbl>
      <w:tblPr>
        <w:tblW w:w="9067" w:type="dxa"/>
        <w:tblInd w:w="-5" w:type="dxa"/>
        <w:tblCellMar>
          <w:left w:w="70" w:type="dxa"/>
          <w:right w:w="70" w:type="dxa"/>
        </w:tblCellMar>
        <w:tblLook w:val="04A0" w:firstRow="1" w:lastRow="0" w:firstColumn="1" w:lastColumn="0" w:noHBand="0" w:noVBand="1"/>
      </w:tblPr>
      <w:tblGrid>
        <w:gridCol w:w="846"/>
        <w:gridCol w:w="1984"/>
        <w:gridCol w:w="1560"/>
        <w:gridCol w:w="1275"/>
        <w:gridCol w:w="1701"/>
        <w:gridCol w:w="1701"/>
      </w:tblGrid>
      <w:tr w:rsidR="001A3B30" w:rsidRPr="001A3B30" w14:paraId="4173B21A" w14:textId="77777777" w:rsidTr="00000C42">
        <w:trPr>
          <w:trHeight w:val="1273"/>
        </w:trPr>
        <w:tc>
          <w:tcPr>
            <w:tcW w:w="84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210F31B"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Year</w:t>
            </w:r>
          </w:p>
        </w:tc>
        <w:tc>
          <w:tcPr>
            <w:tcW w:w="1984"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1F4B3D22"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Total expenditure by municipalities on residential facilities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56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24751187"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Expenditure on people with disabilities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275"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3A2E2928"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 of total expenditure on people with disabilities</w:t>
            </w:r>
          </w:p>
        </w:tc>
        <w:tc>
          <w:tcPr>
            <w:tcW w:w="170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17EDB774"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Expenditure on elderly people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70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15A3A167"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 of total expenditure on elderly people</w:t>
            </w:r>
          </w:p>
        </w:tc>
      </w:tr>
      <w:tr w:rsidR="001A3B30" w:rsidRPr="001A3B30" w14:paraId="46251A81"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E846671"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2009</w:t>
            </w:r>
          </w:p>
        </w:tc>
        <w:tc>
          <w:tcPr>
            <w:tcW w:w="198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5AAC1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691 549.75</w:t>
            </w:r>
          </w:p>
        </w:tc>
        <w:tc>
          <w:tcPr>
            <w:tcW w:w="1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896459"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256 681.67</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6DB6A52"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37.12</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A8AAA45"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434 868.08</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4B31B2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62.88</w:t>
            </w:r>
          </w:p>
        </w:tc>
      </w:tr>
      <w:tr w:rsidR="001A3B30" w:rsidRPr="001A3B30" w14:paraId="650F51C3"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6AC52"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2010</w:t>
            </w:r>
          </w:p>
        </w:tc>
        <w:tc>
          <w:tcPr>
            <w:tcW w:w="1984" w:type="dxa"/>
            <w:tcBorders>
              <w:top w:val="nil"/>
              <w:left w:val="nil"/>
              <w:bottom w:val="single" w:sz="4" w:space="0" w:color="auto"/>
              <w:right w:val="single" w:sz="4" w:space="0" w:color="auto"/>
            </w:tcBorders>
            <w:shd w:val="clear" w:color="auto" w:fill="auto"/>
            <w:noWrap/>
            <w:vAlign w:val="bottom"/>
            <w:hideMark/>
          </w:tcPr>
          <w:p w14:paraId="1BBD7705"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707 308.78</w:t>
            </w:r>
          </w:p>
        </w:tc>
        <w:tc>
          <w:tcPr>
            <w:tcW w:w="1560" w:type="dxa"/>
            <w:tcBorders>
              <w:top w:val="nil"/>
              <w:left w:val="nil"/>
              <w:bottom w:val="single" w:sz="4" w:space="0" w:color="auto"/>
              <w:right w:val="single" w:sz="4" w:space="0" w:color="auto"/>
            </w:tcBorders>
            <w:shd w:val="clear" w:color="auto" w:fill="auto"/>
            <w:noWrap/>
            <w:vAlign w:val="bottom"/>
            <w:hideMark/>
          </w:tcPr>
          <w:p w14:paraId="4E8BBB4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264 361.34</w:t>
            </w:r>
          </w:p>
        </w:tc>
        <w:tc>
          <w:tcPr>
            <w:tcW w:w="1275" w:type="dxa"/>
            <w:tcBorders>
              <w:top w:val="nil"/>
              <w:left w:val="nil"/>
              <w:bottom w:val="single" w:sz="4" w:space="0" w:color="auto"/>
              <w:right w:val="single" w:sz="4" w:space="0" w:color="auto"/>
            </w:tcBorders>
            <w:shd w:val="clear" w:color="auto" w:fill="auto"/>
            <w:noWrap/>
            <w:vAlign w:val="bottom"/>
            <w:hideMark/>
          </w:tcPr>
          <w:p w14:paraId="619B8E8B"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37.38</w:t>
            </w:r>
          </w:p>
        </w:tc>
        <w:tc>
          <w:tcPr>
            <w:tcW w:w="1701" w:type="dxa"/>
            <w:tcBorders>
              <w:top w:val="nil"/>
              <w:left w:val="nil"/>
              <w:bottom w:val="single" w:sz="4" w:space="0" w:color="auto"/>
              <w:right w:val="single" w:sz="4" w:space="0" w:color="auto"/>
            </w:tcBorders>
            <w:shd w:val="clear" w:color="auto" w:fill="auto"/>
            <w:noWrap/>
            <w:vAlign w:val="bottom"/>
            <w:hideMark/>
          </w:tcPr>
          <w:p w14:paraId="27B853D9"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442 947.44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56E2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62.62</w:t>
            </w:r>
          </w:p>
        </w:tc>
      </w:tr>
      <w:tr w:rsidR="001A3B30" w:rsidRPr="001A3B30" w14:paraId="50971914"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17C09B41"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2011</w:t>
            </w:r>
          </w:p>
        </w:tc>
        <w:tc>
          <w:tcPr>
            <w:tcW w:w="198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310D84A"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678 295.93</w:t>
            </w:r>
          </w:p>
        </w:tc>
        <w:tc>
          <w:tcPr>
            <w:tcW w:w="1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467A4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264 224.52</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2CCF49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38.95</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BD1258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414 071.41</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9A1EA9"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61.05</w:t>
            </w:r>
          </w:p>
        </w:tc>
      </w:tr>
      <w:tr w:rsidR="001A3B30" w:rsidRPr="001A3B30" w14:paraId="2E0AF555"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9EC61"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2012</w:t>
            </w:r>
          </w:p>
        </w:tc>
        <w:tc>
          <w:tcPr>
            <w:tcW w:w="1984" w:type="dxa"/>
            <w:tcBorders>
              <w:top w:val="nil"/>
              <w:left w:val="nil"/>
              <w:bottom w:val="single" w:sz="4" w:space="0" w:color="auto"/>
              <w:right w:val="single" w:sz="4" w:space="0" w:color="auto"/>
            </w:tcBorders>
            <w:shd w:val="clear" w:color="auto" w:fill="auto"/>
            <w:noWrap/>
            <w:vAlign w:val="bottom"/>
            <w:hideMark/>
          </w:tcPr>
          <w:p w14:paraId="44DE367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706 976.23</w:t>
            </w:r>
          </w:p>
        </w:tc>
        <w:tc>
          <w:tcPr>
            <w:tcW w:w="1560" w:type="dxa"/>
            <w:tcBorders>
              <w:top w:val="nil"/>
              <w:left w:val="nil"/>
              <w:bottom w:val="single" w:sz="4" w:space="0" w:color="auto"/>
              <w:right w:val="single" w:sz="4" w:space="0" w:color="auto"/>
            </w:tcBorders>
            <w:shd w:val="clear" w:color="auto" w:fill="auto"/>
            <w:noWrap/>
            <w:vAlign w:val="bottom"/>
            <w:hideMark/>
          </w:tcPr>
          <w:p w14:paraId="1BDBEB97"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282 840.60</w:t>
            </w:r>
          </w:p>
        </w:tc>
        <w:tc>
          <w:tcPr>
            <w:tcW w:w="1275" w:type="dxa"/>
            <w:tcBorders>
              <w:top w:val="nil"/>
              <w:left w:val="nil"/>
              <w:bottom w:val="single" w:sz="4" w:space="0" w:color="auto"/>
              <w:right w:val="single" w:sz="4" w:space="0" w:color="auto"/>
            </w:tcBorders>
            <w:shd w:val="clear" w:color="auto" w:fill="auto"/>
            <w:noWrap/>
            <w:vAlign w:val="bottom"/>
            <w:hideMark/>
          </w:tcPr>
          <w:p w14:paraId="5EE9C576"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40.00</w:t>
            </w:r>
          </w:p>
        </w:tc>
        <w:tc>
          <w:tcPr>
            <w:tcW w:w="1701" w:type="dxa"/>
            <w:tcBorders>
              <w:top w:val="nil"/>
              <w:left w:val="nil"/>
              <w:bottom w:val="single" w:sz="4" w:space="0" w:color="auto"/>
              <w:right w:val="single" w:sz="4" w:space="0" w:color="auto"/>
            </w:tcBorders>
            <w:shd w:val="clear" w:color="auto" w:fill="auto"/>
            <w:noWrap/>
            <w:vAlign w:val="bottom"/>
            <w:hideMark/>
          </w:tcPr>
          <w:p w14:paraId="4949364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424 135.63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33528"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60.00</w:t>
            </w:r>
          </w:p>
        </w:tc>
      </w:tr>
      <w:tr w:rsidR="001A3B30" w:rsidRPr="001A3B30" w14:paraId="6BBC8B21"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75728163"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2013</w:t>
            </w:r>
          </w:p>
        </w:tc>
        <w:tc>
          <w:tcPr>
            <w:tcW w:w="198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4DAA60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795 910.10</w:t>
            </w:r>
          </w:p>
        </w:tc>
        <w:tc>
          <w:tcPr>
            <w:tcW w:w="1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32140E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297 668.02</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DC495C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37.40</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B27FF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498 242.08</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FE3A84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62.60</w:t>
            </w:r>
          </w:p>
        </w:tc>
      </w:tr>
      <w:tr w:rsidR="001A3B30" w:rsidRPr="001A3B30" w14:paraId="1D428F54"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2662D"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2014</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6A97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809 360.85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0CB6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313 013.10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8ABC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38.67</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1C376"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496 347.75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45020"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61.33</w:t>
            </w:r>
          </w:p>
        </w:tc>
      </w:tr>
    </w:tbl>
    <w:p w14:paraId="1D8149BB" w14:textId="77777777" w:rsidR="001A3B30" w:rsidRPr="001A3B30" w:rsidRDefault="001A3B30" w:rsidP="001A3B30">
      <w:pPr>
        <w:jc w:val="both"/>
        <w:rPr>
          <w:rFonts w:ascii="Times New Roman" w:hAnsi="Times New Roman"/>
          <w:b/>
          <w:bCs/>
          <w:szCs w:val="24"/>
          <w:lang w:eastAsia="it-IT"/>
        </w:rPr>
      </w:pPr>
    </w:p>
    <w:p w14:paraId="03F657F7" w14:textId="77777777" w:rsidR="001A3B30" w:rsidRPr="001A3B30" w:rsidRDefault="001A3B30" w:rsidP="001A3B30">
      <w:pPr>
        <w:jc w:val="both"/>
        <w:rPr>
          <w:rFonts w:ascii="Times New Roman" w:hAnsi="Times New Roman"/>
          <w:b/>
          <w:bCs/>
          <w:szCs w:val="24"/>
          <w:lang w:eastAsia="it-IT"/>
        </w:rPr>
      </w:pPr>
      <w:r w:rsidRPr="001A3B30">
        <w:rPr>
          <w:rFonts w:ascii="Times New Roman" w:hAnsi="Times New Roman"/>
          <w:noProof/>
          <w:szCs w:val="24"/>
          <w:lang w:val="it-IT" w:eastAsia="it-IT"/>
        </w:rPr>
        <w:drawing>
          <wp:inline distT="0" distB="0" distL="0" distR="0" wp14:anchorId="274B5790" wp14:editId="106AF7C5">
            <wp:extent cx="5755640" cy="343598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640" cy="3435985"/>
                    </a:xfrm>
                    <a:prstGeom prst="rect">
                      <a:avLst/>
                    </a:prstGeom>
                  </pic:spPr>
                </pic:pic>
              </a:graphicData>
            </a:graphic>
          </wp:inline>
        </w:drawing>
      </w:r>
    </w:p>
    <w:p w14:paraId="1C9947B8" w14:textId="77777777" w:rsidR="001A3B30" w:rsidRPr="001A3B30" w:rsidRDefault="001A3B30" w:rsidP="001A3B30">
      <w:pPr>
        <w:jc w:val="both"/>
        <w:rPr>
          <w:rFonts w:ascii="Times New Roman" w:hAnsi="Times New Roman"/>
          <w:b/>
          <w:bCs/>
          <w:szCs w:val="24"/>
          <w:lang w:eastAsia="it-IT"/>
        </w:rPr>
      </w:pPr>
    </w:p>
    <w:p w14:paraId="3F611F08" w14:textId="77777777" w:rsidR="001A3B30" w:rsidRPr="001A3B30" w:rsidRDefault="001A3B30" w:rsidP="001A3B30">
      <w:pPr>
        <w:pBdr>
          <w:top w:val="nil"/>
          <w:left w:val="nil"/>
          <w:bottom w:val="nil"/>
          <w:right w:val="nil"/>
          <w:between w:val="nil"/>
          <w:bar w:val="nil"/>
        </w:pBdr>
        <w:rPr>
          <w:rFonts w:cs="Arial"/>
          <w:b/>
          <w:bCs/>
          <w:sz w:val="20"/>
          <w:lang w:eastAsia="it-IT"/>
        </w:rPr>
      </w:pPr>
      <w:r w:rsidRPr="001A3B30">
        <w:rPr>
          <w:rFonts w:cs="Arial"/>
          <w:b/>
          <w:bCs/>
          <w:sz w:val="20"/>
          <w:lang w:eastAsia="it-IT"/>
        </w:rPr>
        <w:br w:type="page"/>
      </w:r>
    </w:p>
    <w:p w14:paraId="0BF050CC" w14:textId="77777777" w:rsidR="001A3B30" w:rsidRPr="001A3B30" w:rsidRDefault="001A3B30" w:rsidP="001A3B30">
      <w:pPr>
        <w:jc w:val="both"/>
        <w:rPr>
          <w:rFonts w:cs="Arial"/>
          <w:lang w:eastAsia="it-IT"/>
        </w:rPr>
      </w:pPr>
      <w:r w:rsidRPr="001A3B30">
        <w:rPr>
          <w:rFonts w:cs="Arial"/>
          <w:b/>
          <w:bCs/>
          <w:lang w:eastAsia="it-IT"/>
        </w:rPr>
        <w:lastRenderedPageBreak/>
        <w:t>Expenditure on home care</w:t>
      </w:r>
    </w:p>
    <w:tbl>
      <w:tblPr>
        <w:tblW w:w="9067" w:type="dxa"/>
        <w:tblCellMar>
          <w:left w:w="70" w:type="dxa"/>
          <w:right w:w="70" w:type="dxa"/>
        </w:tblCellMar>
        <w:tblLook w:val="04A0" w:firstRow="1" w:lastRow="0" w:firstColumn="1" w:lastColumn="0" w:noHBand="0" w:noVBand="1"/>
      </w:tblPr>
      <w:tblGrid>
        <w:gridCol w:w="846"/>
        <w:gridCol w:w="1701"/>
        <w:gridCol w:w="1701"/>
        <w:gridCol w:w="1559"/>
        <w:gridCol w:w="1985"/>
        <w:gridCol w:w="1275"/>
      </w:tblGrid>
      <w:tr w:rsidR="001A3B30" w:rsidRPr="001A3B30" w14:paraId="0E9E1E00" w14:textId="77777777" w:rsidTr="00000C42">
        <w:trPr>
          <w:trHeight w:val="1400"/>
        </w:trPr>
        <w:tc>
          <w:tcPr>
            <w:tcW w:w="84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1D586240"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Year</w:t>
            </w:r>
          </w:p>
        </w:tc>
        <w:tc>
          <w:tcPr>
            <w:tcW w:w="170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2BDF74E"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Total expenditure by municipalities on home care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701"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2CC5652C"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Expenditure on people with disabilities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559"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2BC709CD"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 of total expenditure on people with disabilities</w:t>
            </w:r>
          </w:p>
        </w:tc>
        <w:tc>
          <w:tcPr>
            <w:tcW w:w="1985"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0DCFB586"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Expenditure on elderly people (m</w:t>
            </w:r>
            <w:r w:rsidRPr="001A3B30">
              <w:rPr>
                <w:rFonts w:cs="Arial"/>
                <w:b/>
                <w:bCs/>
                <w:color w:val="FFFFFF"/>
                <w:sz w:val="20"/>
                <w:lang w:val="it-IT" w:eastAsia="it-IT"/>
              </w:rPr>
              <w:t xml:space="preserve">illion of </w:t>
            </w:r>
            <w:r w:rsidRPr="001A3B30">
              <w:rPr>
                <w:rFonts w:cs="Arial"/>
                <w:color w:val="FFFFFF"/>
                <w:sz w:val="20"/>
                <w:lang w:val="it-IT" w:eastAsia="it-IT"/>
              </w:rPr>
              <w:t>€</w:t>
            </w:r>
            <w:r w:rsidRPr="001A3B30">
              <w:rPr>
                <w:rFonts w:cs="Arial"/>
                <w:b/>
                <w:bCs/>
                <w:color w:val="FFFFFF"/>
                <w:sz w:val="20"/>
                <w:lang w:eastAsia="it-IT"/>
              </w:rPr>
              <w:t>)</w:t>
            </w:r>
          </w:p>
        </w:tc>
        <w:tc>
          <w:tcPr>
            <w:tcW w:w="1275"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7473840F" w14:textId="77777777" w:rsidR="001A3B30" w:rsidRPr="001A3B30" w:rsidRDefault="001A3B30" w:rsidP="001A3B30">
            <w:pPr>
              <w:jc w:val="center"/>
              <w:rPr>
                <w:rFonts w:cs="Arial"/>
                <w:b/>
                <w:bCs/>
                <w:color w:val="FFFFFF"/>
                <w:sz w:val="20"/>
                <w:lang w:eastAsia="it-IT"/>
              </w:rPr>
            </w:pPr>
            <w:r w:rsidRPr="001A3B30">
              <w:rPr>
                <w:rFonts w:cs="Arial"/>
                <w:b/>
                <w:bCs/>
                <w:color w:val="FFFFFF"/>
                <w:sz w:val="20"/>
                <w:lang w:eastAsia="it-IT"/>
              </w:rPr>
              <w:t>% of total expenditure on elderly people</w:t>
            </w:r>
          </w:p>
        </w:tc>
      </w:tr>
      <w:tr w:rsidR="001A3B30" w:rsidRPr="001A3B30" w14:paraId="2E1E8CD7"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2F1A4DD"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2009</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B4E9B55"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717 918.95</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1A9FF0B"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191 032.96</w:t>
            </w:r>
          </w:p>
        </w:tc>
        <w:tc>
          <w:tcPr>
            <w:tcW w:w="15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1AA29E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26.61</w:t>
            </w:r>
          </w:p>
        </w:tc>
        <w:tc>
          <w:tcPr>
            <w:tcW w:w="19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157141"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526 886.00</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9A6C69F"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73.39</w:t>
            </w:r>
          </w:p>
        </w:tc>
      </w:tr>
      <w:tr w:rsidR="001A3B30" w:rsidRPr="001A3B30" w14:paraId="48676530"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DEE18"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2010</w:t>
            </w:r>
          </w:p>
        </w:tc>
        <w:tc>
          <w:tcPr>
            <w:tcW w:w="1701" w:type="dxa"/>
            <w:tcBorders>
              <w:top w:val="nil"/>
              <w:left w:val="nil"/>
              <w:bottom w:val="single" w:sz="4" w:space="0" w:color="auto"/>
              <w:right w:val="single" w:sz="4" w:space="0" w:color="auto"/>
            </w:tcBorders>
            <w:shd w:val="clear" w:color="auto" w:fill="auto"/>
            <w:noWrap/>
            <w:vAlign w:val="bottom"/>
            <w:hideMark/>
          </w:tcPr>
          <w:p w14:paraId="6273EE53"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751 004.41</w:t>
            </w:r>
          </w:p>
        </w:tc>
        <w:tc>
          <w:tcPr>
            <w:tcW w:w="1701" w:type="dxa"/>
            <w:tcBorders>
              <w:top w:val="nil"/>
              <w:left w:val="nil"/>
              <w:bottom w:val="single" w:sz="4" w:space="0" w:color="auto"/>
              <w:right w:val="single" w:sz="4" w:space="0" w:color="auto"/>
            </w:tcBorders>
            <w:shd w:val="clear" w:color="auto" w:fill="auto"/>
            <w:noWrap/>
            <w:vAlign w:val="bottom"/>
            <w:hideMark/>
          </w:tcPr>
          <w:p w14:paraId="148ADDAA"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209 472.66</w:t>
            </w:r>
          </w:p>
        </w:tc>
        <w:tc>
          <w:tcPr>
            <w:tcW w:w="1559" w:type="dxa"/>
            <w:tcBorders>
              <w:top w:val="nil"/>
              <w:left w:val="nil"/>
              <w:bottom w:val="single" w:sz="4" w:space="0" w:color="auto"/>
              <w:right w:val="single" w:sz="4" w:space="0" w:color="auto"/>
            </w:tcBorders>
            <w:shd w:val="clear" w:color="auto" w:fill="auto"/>
            <w:noWrap/>
            <w:vAlign w:val="bottom"/>
            <w:hideMark/>
          </w:tcPr>
          <w:p w14:paraId="2E6691B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27.89</w:t>
            </w:r>
          </w:p>
        </w:tc>
        <w:tc>
          <w:tcPr>
            <w:tcW w:w="1985" w:type="dxa"/>
            <w:tcBorders>
              <w:top w:val="nil"/>
              <w:left w:val="nil"/>
              <w:bottom w:val="single" w:sz="4" w:space="0" w:color="auto"/>
              <w:right w:val="single" w:sz="4" w:space="0" w:color="auto"/>
            </w:tcBorders>
            <w:shd w:val="clear" w:color="auto" w:fill="auto"/>
            <w:noWrap/>
            <w:vAlign w:val="bottom"/>
            <w:hideMark/>
          </w:tcPr>
          <w:p w14:paraId="2FF19E02"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541 531.75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77BDB"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72.11</w:t>
            </w:r>
          </w:p>
        </w:tc>
      </w:tr>
      <w:tr w:rsidR="001A3B30" w:rsidRPr="001A3B30" w14:paraId="712156B2"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1A1BA1B"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2011</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46D6536"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726 512.78</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3D0CCCB"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212 508.32</w:t>
            </w:r>
          </w:p>
        </w:tc>
        <w:tc>
          <w:tcPr>
            <w:tcW w:w="15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C4D4B1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29.25</w:t>
            </w:r>
          </w:p>
        </w:tc>
        <w:tc>
          <w:tcPr>
            <w:tcW w:w="19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C472FF6"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514 004.45</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07D273"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70.75</w:t>
            </w:r>
          </w:p>
        </w:tc>
      </w:tr>
      <w:tr w:rsidR="001A3B30" w:rsidRPr="001A3B30" w14:paraId="75E448D4"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7F176"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2012</w:t>
            </w:r>
          </w:p>
        </w:tc>
        <w:tc>
          <w:tcPr>
            <w:tcW w:w="1701" w:type="dxa"/>
            <w:tcBorders>
              <w:top w:val="nil"/>
              <w:left w:val="nil"/>
              <w:bottom w:val="single" w:sz="4" w:space="0" w:color="auto"/>
              <w:right w:val="single" w:sz="4" w:space="0" w:color="auto"/>
            </w:tcBorders>
            <w:shd w:val="clear" w:color="auto" w:fill="auto"/>
            <w:noWrap/>
            <w:vAlign w:val="bottom"/>
            <w:hideMark/>
          </w:tcPr>
          <w:p w14:paraId="76C70D03"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699 125.94</w:t>
            </w:r>
          </w:p>
        </w:tc>
        <w:tc>
          <w:tcPr>
            <w:tcW w:w="1701" w:type="dxa"/>
            <w:tcBorders>
              <w:top w:val="nil"/>
              <w:left w:val="nil"/>
              <w:bottom w:val="single" w:sz="4" w:space="0" w:color="auto"/>
              <w:right w:val="single" w:sz="4" w:space="0" w:color="auto"/>
            </w:tcBorders>
            <w:shd w:val="clear" w:color="auto" w:fill="auto"/>
            <w:noWrap/>
            <w:vAlign w:val="bottom"/>
            <w:hideMark/>
          </w:tcPr>
          <w:p w14:paraId="4D4B216D"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211 658.87</w:t>
            </w:r>
          </w:p>
        </w:tc>
        <w:tc>
          <w:tcPr>
            <w:tcW w:w="1559" w:type="dxa"/>
            <w:tcBorders>
              <w:top w:val="nil"/>
              <w:left w:val="nil"/>
              <w:bottom w:val="single" w:sz="4" w:space="0" w:color="auto"/>
              <w:right w:val="single" w:sz="4" w:space="0" w:color="auto"/>
            </w:tcBorders>
            <w:shd w:val="clear" w:color="auto" w:fill="auto"/>
            <w:noWrap/>
            <w:vAlign w:val="bottom"/>
            <w:hideMark/>
          </w:tcPr>
          <w:p w14:paraId="564E3DD2"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30.27</w:t>
            </w:r>
          </w:p>
        </w:tc>
        <w:tc>
          <w:tcPr>
            <w:tcW w:w="1985" w:type="dxa"/>
            <w:tcBorders>
              <w:top w:val="nil"/>
              <w:left w:val="nil"/>
              <w:bottom w:val="single" w:sz="4" w:space="0" w:color="auto"/>
              <w:right w:val="single" w:sz="4" w:space="0" w:color="auto"/>
            </w:tcBorders>
            <w:shd w:val="clear" w:color="auto" w:fill="auto"/>
            <w:noWrap/>
            <w:vAlign w:val="bottom"/>
            <w:hideMark/>
          </w:tcPr>
          <w:p w14:paraId="12A6785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487 467.07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1773"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69.73</w:t>
            </w:r>
          </w:p>
        </w:tc>
      </w:tr>
      <w:tr w:rsidR="001A3B30" w:rsidRPr="001A3B30" w14:paraId="2D2FCB67"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1CAD3BE"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2013</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D29FB0F"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676 765.68</w:t>
            </w:r>
          </w:p>
        </w:tc>
        <w:tc>
          <w:tcPr>
            <w:tcW w:w="170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E9162E2"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219 667.02</w:t>
            </w:r>
          </w:p>
        </w:tc>
        <w:tc>
          <w:tcPr>
            <w:tcW w:w="1559"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A8B82C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32.46</w:t>
            </w:r>
          </w:p>
        </w:tc>
        <w:tc>
          <w:tcPr>
            <w:tcW w:w="19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2587FA"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457 098.66</w:t>
            </w:r>
          </w:p>
        </w:tc>
        <w:tc>
          <w:tcPr>
            <w:tcW w:w="12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BDE60A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67.54</w:t>
            </w:r>
          </w:p>
        </w:tc>
      </w:tr>
      <w:tr w:rsidR="001A3B30" w:rsidRPr="001A3B30" w14:paraId="774A2629" w14:textId="77777777" w:rsidTr="00000C42">
        <w:trPr>
          <w:trHeight w:val="320"/>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B003E" w14:textId="77777777" w:rsidR="001A3B30" w:rsidRPr="001A3B30" w:rsidRDefault="001A3B30" w:rsidP="001A3B30">
            <w:pPr>
              <w:jc w:val="both"/>
              <w:rPr>
                <w:rFonts w:cs="Arial"/>
                <w:color w:val="000000"/>
                <w:sz w:val="20"/>
                <w:lang w:eastAsia="it-IT"/>
              </w:rPr>
            </w:pPr>
            <w:r w:rsidRPr="001A3B30">
              <w:rPr>
                <w:rFonts w:cs="Arial"/>
                <w:color w:val="000000"/>
                <w:sz w:val="20"/>
                <w:lang w:eastAsia="it-IT"/>
              </w:rPr>
              <w:t>2014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50B7C"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678 080.82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68064"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223 012.13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86F32"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32.89</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9619"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455 068.69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1B1E" w14:textId="77777777" w:rsidR="001A3B30" w:rsidRPr="001A3B30" w:rsidRDefault="001A3B30" w:rsidP="001A3B30">
            <w:pPr>
              <w:jc w:val="right"/>
              <w:rPr>
                <w:rFonts w:cs="Arial"/>
                <w:color w:val="000000"/>
                <w:sz w:val="20"/>
                <w:lang w:eastAsia="it-IT"/>
              </w:rPr>
            </w:pPr>
            <w:r w:rsidRPr="001A3B30">
              <w:rPr>
                <w:rFonts w:cs="Arial"/>
                <w:color w:val="000000"/>
                <w:sz w:val="20"/>
                <w:lang w:eastAsia="it-IT"/>
              </w:rPr>
              <w:t>67.11</w:t>
            </w:r>
          </w:p>
        </w:tc>
      </w:tr>
    </w:tbl>
    <w:p w14:paraId="72A6F20C" w14:textId="77777777" w:rsidR="001A3B30" w:rsidRPr="001A3B30" w:rsidRDefault="001A3B30" w:rsidP="001A3B30">
      <w:pPr>
        <w:jc w:val="both"/>
        <w:rPr>
          <w:rFonts w:ascii="Times New Roman" w:hAnsi="Times New Roman"/>
          <w:szCs w:val="24"/>
          <w:lang w:eastAsia="it-IT"/>
        </w:rPr>
      </w:pPr>
    </w:p>
    <w:p w14:paraId="09A099A5" w14:textId="77777777" w:rsidR="001A3B30" w:rsidRPr="001A3B30" w:rsidRDefault="001A3B30" w:rsidP="001A3B30">
      <w:pPr>
        <w:jc w:val="both"/>
        <w:rPr>
          <w:rFonts w:ascii="Times New Roman" w:hAnsi="Times New Roman"/>
          <w:szCs w:val="24"/>
          <w:lang w:eastAsia="it-IT"/>
        </w:rPr>
      </w:pPr>
      <w:r w:rsidRPr="001A3B30">
        <w:rPr>
          <w:rFonts w:ascii="Times New Roman" w:hAnsi="Times New Roman"/>
          <w:noProof/>
          <w:szCs w:val="24"/>
          <w:lang w:val="it-IT" w:eastAsia="it-IT"/>
        </w:rPr>
        <w:drawing>
          <wp:inline distT="0" distB="0" distL="0" distR="0" wp14:anchorId="72B00CD7" wp14:editId="66E990DC">
            <wp:extent cx="5755640" cy="425069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640" cy="4250690"/>
                    </a:xfrm>
                    <a:prstGeom prst="rect">
                      <a:avLst/>
                    </a:prstGeom>
                  </pic:spPr>
                </pic:pic>
              </a:graphicData>
            </a:graphic>
          </wp:inline>
        </w:drawing>
      </w:r>
    </w:p>
    <w:p w14:paraId="7132F5FA" w14:textId="77777777" w:rsidR="001A3B30" w:rsidRPr="001A3B30" w:rsidRDefault="001A3B30" w:rsidP="001A3B30">
      <w:pPr>
        <w:jc w:val="both"/>
        <w:rPr>
          <w:rFonts w:ascii="Times New Roman" w:hAnsi="Times New Roman"/>
          <w:szCs w:val="24"/>
          <w:lang w:eastAsia="it-IT"/>
        </w:rPr>
      </w:pPr>
    </w:p>
    <w:p w14:paraId="4B136A03" w14:textId="77777777" w:rsidR="001A3B30" w:rsidRPr="001A3B30" w:rsidRDefault="001A3B30" w:rsidP="001A3B30">
      <w:pPr>
        <w:jc w:val="both"/>
        <w:rPr>
          <w:rFonts w:cs="Arial"/>
          <w:szCs w:val="24"/>
          <w:lang w:eastAsia="it-IT"/>
        </w:rPr>
      </w:pPr>
      <w:r w:rsidRPr="001A3B30">
        <w:rPr>
          <w:rFonts w:cs="Arial"/>
          <w:szCs w:val="24"/>
          <w:lang w:eastAsia="it-IT"/>
        </w:rPr>
        <w:t>From the time series analysis of the expenditure on residential facilities, it is possible to observe moderate fluctuations until 2012, a significant increase in 2013 (+12.58 %) and a further increase in expenditure in 2014. This increase has to be mainly attributed to the increase in expenditure for residential facilities for elderly people.</w:t>
      </w:r>
    </w:p>
    <w:p w14:paraId="42D6C809" w14:textId="77777777" w:rsidR="001A3B30" w:rsidRPr="001A3B30" w:rsidRDefault="001A3B30" w:rsidP="001A3B30">
      <w:pPr>
        <w:jc w:val="both"/>
        <w:rPr>
          <w:rFonts w:cs="Arial"/>
          <w:szCs w:val="24"/>
          <w:lang w:eastAsia="it-IT"/>
        </w:rPr>
      </w:pPr>
    </w:p>
    <w:p w14:paraId="44C4DE08" w14:textId="77777777" w:rsidR="001A3B30" w:rsidRPr="001A3B30" w:rsidRDefault="001A3B30" w:rsidP="001A3B30">
      <w:pPr>
        <w:jc w:val="both"/>
        <w:rPr>
          <w:rFonts w:cs="Arial"/>
          <w:szCs w:val="24"/>
          <w:lang w:eastAsia="it-IT"/>
        </w:rPr>
      </w:pPr>
      <w:r w:rsidRPr="001A3B30">
        <w:rPr>
          <w:rFonts w:cs="Arial"/>
          <w:szCs w:val="24"/>
          <w:lang w:eastAsia="it-IT"/>
        </w:rPr>
        <w:t>During the same period, municipalities’ expenditure on home care shows the same trends, characterised by an increase in 2010, followed by a progressive and constant decrease until 2013, which stabilised in 2014.</w:t>
      </w:r>
    </w:p>
    <w:p w14:paraId="4F86ADCD" w14:textId="77777777" w:rsidR="001A3B30" w:rsidRPr="001A3B30" w:rsidRDefault="001A3B30" w:rsidP="001A3B30">
      <w:pPr>
        <w:jc w:val="both"/>
        <w:rPr>
          <w:rFonts w:cs="Arial"/>
          <w:szCs w:val="24"/>
          <w:lang w:eastAsia="it-IT"/>
        </w:rPr>
      </w:pPr>
      <w:r w:rsidRPr="001A3B30">
        <w:rPr>
          <w:rFonts w:cs="Arial"/>
          <w:szCs w:val="24"/>
          <w:lang w:eastAsia="it-IT"/>
        </w:rPr>
        <w:lastRenderedPageBreak/>
        <w:t>Considering the fact that municipal expenditure represents just part of total expenditure on residential facilities, a significant structural disequilibrium is evident in expenditure on institutional care.</w:t>
      </w:r>
    </w:p>
    <w:p w14:paraId="7CC66397" w14:textId="77777777" w:rsidR="001A3B30" w:rsidRPr="001A3B30" w:rsidRDefault="001A3B30" w:rsidP="001A3B30">
      <w:pPr>
        <w:rPr>
          <w:rFonts w:ascii="Times New Roman" w:hAnsi="Times New Roman"/>
          <w:szCs w:val="24"/>
          <w:lang w:eastAsia="it-IT"/>
        </w:rPr>
      </w:pPr>
    </w:p>
    <w:p w14:paraId="61E79B0E" w14:textId="77777777" w:rsidR="001A3B30" w:rsidRPr="001A3B30" w:rsidRDefault="00E86322" w:rsidP="00000C42">
      <w:pPr>
        <w:pStyle w:val="Heading1"/>
        <w:rPr>
          <w:u w:color="000000"/>
          <w:bdr w:val="nil"/>
          <w:lang w:eastAsia="it-IT"/>
        </w:rPr>
      </w:pPr>
      <w:bookmarkStart w:id="7" w:name="_Toc5724440"/>
      <w:r w:rsidRPr="001A3B30">
        <w:rPr>
          <w:u w:color="000000"/>
          <w:bdr w:val="nil"/>
          <w:lang w:eastAsia="it-IT"/>
        </w:rPr>
        <w:t>Government commitments on living independently and being included in the community, including the transition from institutional care to community-based living</w:t>
      </w:r>
      <w:bookmarkEnd w:id="7"/>
      <w:r w:rsidRPr="001A3B30">
        <w:rPr>
          <w:u w:color="000000"/>
          <w:bdr w:val="nil"/>
          <w:lang w:eastAsia="it-IT"/>
        </w:rPr>
        <w:t xml:space="preserve"> </w:t>
      </w:r>
    </w:p>
    <w:p w14:paraId="0D344407" w14:textId="77777777" w:rsidR="001A3B30" w:rsidRPr="001A3B30" w:rsidRDefault="001A3B30" w:rsidP="001A3B30">
      <w:pPr>
        <w:rPr>
          <w:rFonts w:ascii="Times New Roman" w:hAnsi="Times New Roman"/>
          <w:szCs w:val="24"/>
          <w:lang w:eastAsia="it-IT"/>
        </w:rPr>
      </w:pPr>
    </w:p>
    <w:p w14:paraId="29226F26" w14:textId="77777777" w:rsidR="00000C42" w:rsidRPr="001A3B30" w:rsidRDefault="00E86322" w:rsidP="00000C42">
      <w:pPr>
        <w:pStyle w:val="Heading2"/>
        <w:rPr>
          <w:u w:color="000000"/>
          <w:bdr w:val="nil"/>
          <w:lang w:eastAsia="it-IT"/>
        </w:rPr>
      </w:pPr>
      <w:bookmarkStart w:id="8" w:name="_Toc5724441"/>
      <w:r w:rsidRPr="001A3B30">
        <w:rPr>
          <w:u w:color="000000"/>
          <w:bdr w:val="nil"/>
          <w:lang w:eastAsia="it-IT"/>
        </w:rPr>
        <w:t>In which document(s) are Government commitments and plans concerning support for independent living in the community set out?</w:t>
      </w:r>
      <w:bookmarkEnd w:id="8"/>
    </w:p>
    <w:p w14:paraId="290EDDE5" w14:textId="77777777" w:rsidR="001A3B30" w:rsidRPr="001A3B30" w:rsidRDefault="001A3B30" w:rsidP="001A3B30">
      <w:pPr>
        <w:rPr>
          <w:rFonts w:ascii="Times New Roman" w:hAnsi="Times New Roman"/>
          <w:szCs w:val="24"/>
          <w:lang w:eastAsia="it-IT"/>
        </w:rPr>
      </w:pPr>
    </w:p>
    <w:p w14:paraId="3A6372E8" w14:textId="77777777" w:rsidR="001A3B30" w:rsidRPr="001A3B30" w:rsidRDefault="001A3B30" w:rsidP="001A3B30">
      <w:pPr>
        <w:jc w:val="both"/>
        <w:rPr>
          <w:rFonts w:cs="Arial"/>
          <w:szCs w:val="24"/>
          <w:lang w:eastAsia="it-IT"/>
        </w:rPr>
      </w:pPr>
      <w:r w:rsidRPr="001A3B30">
        <w:rPr>
          <w:rFonts w:cs="Arial"/>
          <w:szCs w:val="24"/>
          <w:lang w:eastAsia="it-IT"/>
        </w:rPr>
        <w:t>As well as having an advisory role, the National Observatory on the Condition of Persons with Disabilities, established by the Ministry of Labour and Social Policy under Act No 18 of 3 March 2009, has an additional role of providing technical and scientific support for the development of national policies on disabilities.</w:t>
      </w:r>
      <w:r w:rsidRPr="001A3B30">
        <w:rPr>
          <w:rFonts w:cs="Arial"/>
          <w:szCs w:val="24"/>
          <w:vertAlign w:val="superscript"/>
          <w:lang w:eastAsia="it-IT"/>
        </w:rPr>
        <w:footnoteReference w:id="12"/>
      </w:r>
      <w:r w:rsidRPr="001A3B30">
        <w:rPr>
          <w:rFonts w:cs="Arial"/>
          <w:szCs w:val="24"/>
          <w:lang w:eastAsia="it-IT"/>
        </w:rPr>
        <w:t xml:space="preserve"> On 18 October 2016, the Observatory approved the </w:t>
      </w:r>
      <w:r w:rsidRPr="001A3B30">
        <w:rPr>
          <w:rFonts w:cs="Arial"/>
          <w:i/>
          <w:iCs/>
          <w:szCs w:val="24"/>
          <w:lang w:eastAsia="it-IT"/>
        </w:rPr>
        <w:t xml:space="preserve">Secondo </w:t>
      </w:r>
      <w:proofErr w:type="spellStart"/>
      <w:r w:rsidRPr="001A3B30">
        <w:rPr>
          <w:rFonts w:cs="Arial"/>
          <w:i/>
          <w:iCs/>
          <w:szCs w:val="24"/>
          <w:lang w:eastAsia="it-IT"/>
        </w:rPr>
        <w:t>programma</w:t>
      </w:r>
      <w:proofErr w:type="spellEnd"/>
      <w:r w:rsidRPr="001A3B30">
        <w:rPr>
          <w:rFonts w:cs="Arial"/>
          <w:i/>
          <w:iCs/>
          <w:szCs w:val="24"/>
          <w:lang w:eastAsia="it-IT"/>
        </w:rPr>
        <w:t xml:space="preserve"> di </w:t>
      </w:r>
      <w:proofErr w:type="spellStart"/>
      <w:r w:rsidRPr="001A3B30">
        <w:rPr>
          <w:rFonts w:cs="Arial"/>
          <w:i/>
          <w:iCs/>
          <w:szCs w:val="24"/>
          <w:lang w:eastAsia="it-IT"/>
        </w:rPr>
        <w:t>azione</w:t>
      </w:r>
      <w:proofErr w:type="spellEnd"/>
      <w:r w:rsidRPr="001A3B30">
        <w:rPr>
          <w:rFonts w:cs="Arial"/>
          <w:i/>
          <w:iCs/>
          <w:szCs w:val="24"/>
          <w:lang w:eastAsia="it-IT"/>
        </w:rPr>
        <w:t xml:space="preserve"> biennale per la </w:t>
      </w:r>
      <w:proofErr w:type="spellStart"/>
      <w:r w:rsidRPr="001A3B30">
        <w:rPr>
          <w:rFonts w:cs="Arial"/>
          <w:i/>
          <w:iCs/>
          <w:szCs w:val="24"/>
          <w:lang w:eastAsia="it-IT"/>
        </w:rPr>
        <w:t>promozione</w:t>
      </w:r>
      <w:proofErr w:type="spellEnd"/>
      <w:r w:rsidRPr="001A3B30">
        <w:rPr>
          <w:rFonts w:cs="Arial"/>
          <w:i/>
          <w:iCs/>
          <w:szCs w:val="24"/>
          <w:lang w:eastAsia="it-IT"/>
        </w:rPr>
        <w:t xml:space="preserve"> </w:t>
      </w:r>
      <w:proofErr w:type="spellStart"/>
      <w:r w:rsidRPr="001A3B30">
        <w:rPr>
          <w:rFonts w:cs="Arial"/>
          <w:i/>
          <w:iCs/>
          <w:szCs w:val="24"/>
          <w:lang w:eastAsia="it-IT"/>
        </w:rPr>
        <w:t>dei</w:t>
      </w:r>
      <w:proofErr w:type="spellEnd"/>
      <w:r w:rsidRPr="001A3B30">
        <w:rPr>
          <w:rFonts w:cs="Arial"/>
          <w:i/>
          <w:iCs/>
          <w:szCs w:val="24"/>
          <w:lang w:eastAsia="it-IT"/>
        </w:rPr>
        <w:t xml:space="preserve"> </w:t>
      </w:r>
      <w:proofErr w:type="spellStart"/>
      <w:r w:rsidRPr="001A3B30">
        <w:rPr>
          <w:rFonts w:cs="Arial"/>
          <w:i/>
          <w:iCs/>
          <w:szCs w:val="24"/>
          <w:lang w:eastAsia="it-IT"/>
        </w:rPr>
        <w:t>diritti</w:t>
      </w:r>
      <w:proofErr w:type="spellEnd"/>
      <w:r w:rsidRPr="001A3B30">
        <w:rPr>
          <w:rFonts w:cs="Arial"/>
          <w:i/>
          <w:iCs/>
          <w:szCs w:val="24"/>
          <w:lang w:eastAsia="it-IT"/>
        </w:rPr>
        <w:t xml:space="preserve"> e </w:t>
      </w:r>
      <w:proofErr w:type="spellStart"/>
      <w:r w:rsidRPr="001A3B30">
        <w:rPr>
          <w:rFonts w:cs="Arial"/>
          <w:i/>
          <w:iCs/>
          <w:szCs w:val="24"/>
          <w:lang w:eastAsia="it-IT"/>
        </w:rPr>
        <w:t>l’integrazione</w:t>
      </w:r>
      <w:proofErr w:type="spellEnd"/>
      <w:r w:rsidRPr="001A3B30">
        <w:rPr>
          <w:rFonts w:cs="Arial"/>
          <w:i/>
          <w:iCs/>
          <w:szCs w:val="24"/>
          <w:lang w:eastAsia="it-IT"/>
        </w:rPr>
        <w:t xml:space="preserve"> </w:t>
      </w:r>
      <w:proofErr w:type="spellStart"/>
      <w:r w:rsidRPr="001A3B30">
        <w:rPr>
          <w:rFonts w:cs="Arial"/>
          <w:i/>
          <w:iCs/>
          <w:szCs w:val="24"/>
          <w:lang w:eastAsia="it-IT"/>
        </w:rPr>
        <w:t>delle</w:t>
      </w:r>
      <w:proofErr w:type="spellEnd"/>
      <w:r w:rsidRPr="001A3B30">
        <w:rPr>
          <w:rFonts w:cs="Arial"/>
          <w:i/>
          <w:iCs/>
          <w:szCs w:val="24"/>
          <w:lang w:eastAsia="it-IT"/>
        </w:rPr>
        <w:t xml:space="preserve"> </w:t>
      </w:r>
      <w:proofErr w:type="spellStart"/>
      <w:r w:rsidRPr="001A3B30">
        <w:rPr>
          <w:rFonts w:cs="Arial"/>
          <w:i/>
          <w:iCs/>
          <w:szCs w:val="24"/>
          <w:lang w:eastAsia="it-IT"/>
        </w:rPr>
        <w:t>persone</w:t>
      </w:r>
      <w:proofErr w:type="spellEnd"/>
      <w:r w:rsidRPr="001A3B30">
        <w:rPr>
          <w:rFonts w:cs="Arial"/>
          <w:i/>
          <w:iCs/>
          <w:szCs w:val="24"/>
          <w:lang w:eastAsia="it-IT"/>
        </w:rPr>
        <w:t xml:space="preserve"> con </w:t>
      </w:r>
      <w:proofErr w:type="spellStart"/>
      <w:r w:rsidRPr="001A3B30">
        <w:rPr>
          <w:rFonts w:cs="Arial"/>
          <w:i/>
          <w:iCs/>
          <w:szCs w:val="24"/>
          <w:lang w:eastAsia="it-IT"/>
        </w:rPr>
        <w:t>disabilità</w:t>
      </w:r>
      <w:proofErr w:type="spellEnd"/>
      <w:r w:rsidRPr="001A3B30">
        <w:rPr>
          <w:rFonts w:cs="Arial"/>
          <w:szCs w:val="24"/>
          <w:vertAlign w:val="superscript"/>
          <w:lang w:eastAsia="it-IT"/>
        </w:rPr>
        <w:footnoteReference w:id="13"/>
      </w:r>
      <w:r w:rsidRPr="001A3B30">
        <w:rPr>
          <w:rFonts w:cs="Arial"/>
          <w:i/>
          <w:iCs/>
          <w:szCs w:val="24"/>
          <w:lang w:eastAsia="it-IT"/>
        </w:rPr>
        <w:t xml:space="preserve"> </w:t>
      </w:r>
      <w:r w:rsidRPr="001A3B30">
        <w:rPr>
          <w:rFonts w:cs="Arial"/>
          <w:szCs w:val="24"/>
          <w:lang w:eastAsia="it-IT"/>
        </w:rPr>
        <w:t>(Second Biennial National Action Programme on Disability). The title of action line 2 of the programme is ‘</w:t>
      </w:r>
      <w:proofErr w:type="spellStart"/>
      <w:r w:rsidRPr="001A3B30">
        <w:rPr>
          <w:rFonts w:cs="Arial"/>
          <w:szCs w:val="24"/>
          <w:lang w:eastAsia="it-IT"/>
        </w:rPr>
        <w:t>Politiche</w:t>
      </w:r>
      <w:proofErr w:type="spellEnd"/>
      <w:r w:rsidRPr="001A3B30">
        <w:rPr>
          <w:rFonts w:cs="Arial"/>
          <w:szCs w:val="24"/>
          <w:lang w:eastAsia="it-IT"/>
        </w:rPr>
        <w:t xml:space="preserve">, </w:t>
      </w:r>
      <w:proofErr w:type="spellStart"/>
      <w:r w:rsidRPr="001A3B30">
        <w:rPr>
          <w:rFonts w:cs="Arial"/>
          <w:szCs w:val="24"/>
          <w:lang w:eastAsia="it-IT"/>
        </w:rPr>
        <w:t>servizi</w:t>
      </w:r>
      <w:proofErr w:type="spellEnd"/>
      <w:r w:rsidRPr="001A3B30">
        <w:rPr>
          <w:rFonts w:cs="Arial"/>
          <w:szCs w:val="24"/>
          <w:lang w:eastAsia="it-IT"/>
        </w:rPr>
        <w:t xml:space="preserve"> e </w:t>
      </w:r>
      <w:proofErr w:type="spellStart"/>
      <w:r w:rsidRPr="001A3B30">
        <w:rPr>
          <w:rFonts w:cs="Arial"/>
          <w:szCs w:val="24"/>
          <w:lang w:eastAsia="it-IT"/>
        </w:rPr>
        <w:t>modelli</w:t>
      </w:r>
      <w:proofErr w:type="spellEnd"/>
      <w:r w:rsidRPr="001A3B30">
        <w:rPr>
          <w:rFonts w:cs="Arial"/>
          <w:szCs w:val="24"/>
          <w:lang w:eastAsia="it-IT"/>
        </w:rPr>
        <w:t xml:space="preserve"> </w:t>
      </w:r>
      <w:proofErr w:type="spellStart"/>
      <w:r w:rsidRPr="001A3B30">
        <w:rPr>
          <w:rFonts w:cs="Arial"/>
          <w:szCs w:val="24"/>
          <w:lang w:eastAsia="it-IT"/>
        </w:rPr>
        <w:t>organizzativi</w:t>
      </w:r>
      <w:proofErr w:type="spellEnd"/>
      <w:r w:rsidRPr="001A3B30">
        <w:rPr>
          <w:rFonts w:cs="Arial"/>
          <w:szCs w:val="24"/>
          <w:lang w:eastAsia="it-IT"/>
        </w:rPr>
        <w:t xml:space="preserve"> per la vita </w:t>
      </w:r>
      <w:proofErr w:type="spellStart"/>
      <w:r w:rsidRPr="001A3B30">
        <w:rPr>
          <w:rFonts w:cs="Arial"/>
          <w:szCs w:val="24"/>
          <w:lang w:eastAsia="it-IT"/>
        </w:rPr>
        <w:t>indipendente</w:t>
      </w:r>
      <w:proofErr w:type="spellEnd"/>
      <w:r w:rsidRPr="001A3B30">
        <w:rPr>
          <w:rFonts w:cs="Arial"/>
          <w:szCs w:val="24"/>
          <w:lang w:eastAsia="it-IT"/>
        </w:rPr>
        <w:t xml:space="preserve"> e </w:t>
      </w:r>
      <w:proofErr w:type="spellStart"/>
      <w:r w:rsidRPr="001A3B30">
        <w:rPr>
          <w:rFonts w:cs="Arial"/>
          <w:szCs w:val="24"/>
          <w:lang w:eastAsia="it-IT"/>
        </w:rPr>
        <w:t>l’inclusione</w:t>
      </w:r>
      <w:proofErr w:type="spellEnd"/>
      <w:r w:rsidRPr="001A3B30">
        <w:rPr>
          <w:rFonts w:cs="Arial"/>
          <w:szCs w:val="24"/>
          <w:lang w:eastAsia="it-IT"/>
        </w:rPr>
        <w:t xml:space="preserve"> </w:t>
      </w:r>
      <w:proofErr w:type="spellStart"/>
      <w:r w:rsidRPr="001A3B30">
        <w:rPr>
          <w:rFonts w:cs="Arial"/>
          <w:szCs w:val="24"/>
          <w:lang w:eastAsia="it-IT"/>
        </w:rPr>
        <w:t>nella</w:t>
      </w:r>
      <w:proofErr w:type="spellEnd"/>
      <w:r w:rsidRPr="001A3B30">
        <w:rPr>
          <w:rFonts w:cs="Arial"/>
          <w:szCs w:val="24"/>
          <w:lang w:eastAsia="it-IT"/>
        </w:rPr>
        <w:t xml:space="preserve"> </w:t>
      </w:r>
      <w:proofErr w:type="spellStart"/>
      <w:r w:rsidRPr="001A3B30">
        <w:rPr>
          <w:rFonts w:cs="Arial"/>
          <w:szCs w:val="24"/>
          <w:lang w:eastAsia="it-IT"/>
        </w:rPr>
        <w:t>società</w:t>
      </w:r>
      <w:proofErr w:type="spellEnd"/>
      <w:r w:rsidRPr="001A3B30">
        <w:rPr>
          <w:rFonts w:cs="Arial"/>
          <w:szCs w:val="24"/>
          <w:lang w:eastAsia="it-IT"/>
        </w:rPr>
        <w:t xml:space="preserve">’ (Policies, services and organisational models for living independently and inclusion in society). </w:t>
      </w:r>
    </w:p>
    <w:p w14:paraId="143C0A85" w14:textId="77777777" w:rsidR="001A3B30" w:rsidRPr="001A3B30" w:rsidRDefault="001A3B30" w:rsidP="001A3B30">
      <w:pPr>
        <w:jc w:val="both"/>
        <w:rPr>
          <w:rFonts w:cs="Arial"/>
          <w:szCs w:val="24"/>
          <w:lang w:eastAsia="it-IT"/>
        </w:rPr>
      </w:pPr>
    </w:p>
    <w:p w14:paraId="5E6C5ACB" w14:textId="77777777" w:rsidR="001A3B30" w:rsidRPr="001A3B30" w:rsidRDefault="001A3B30" w:rsidP="001A3B30">
      <w:pPr>
        <w:jc w:val="both"/>
        <w:rPr>
          <w:rFonts w:cs="Arial"/>
          <w:szCs w:val="24"/>
          <w:lang w:eastAsia="it-IT"/>
        </w:rPr>
      </w:pPr>
      <w:r w:rsidRPr="001A3B30">
        <w:rPr>
          <w:rFonts w:cs="Arial"/>
          <w:szCs w:val="24"/>
          <w:lang w:eastAsia="it-IT"/>
        </w:rPr>
        <w:t>In Italy, the regions have primary legislative competence and regulatory power in planning and coordinating health and social services, in compliance with the minimum levels of service with respect to civil and social rights which have to be secured throughout the country, as established by the state.</w:t>
      </w:r>
    </w:p>
    <w:p w14:paraId="7DE40CB6" w14:textId="77777777" w:rsidR="001A3B30" w:rsidRPr="001A3B30" w:rsidRDefault="001A3B30" w:rsidP="001A3B30">
      <w:pPr>
        <w:jc w:val="both"/>
        <w:rPr>
          <w:rFonts w:cs="Arial"/>
          <w:szCs w:val="24"/>
          <w:lang w:eastAsia="it-IT"/>
        </w:rPr>
      </w:pPr>
    </w:p>
    <w:p w14:paraId="30C8A2B2" w14:textId="77777777" w:rsidR="001A3B30" w:rsidRPr="001A3B30" w:rsidRDefault="001A3B30" w:rsidP="001A3B30">
      <w:pPr>
        <w:jc w:val="both"/>
        <w:rPr>
          <w:rFonts w:cs="Arial"/>
          <w:szCs w:val="24"/>
          <w:lang w:eastAsia="it-IT"/>
        </w:rPr>
      </w:pPr>
      <w:r w:rsidRPr="001A3B30">
        <w:rPr>
          <w:rFonts w:cs="Arial"/>
          <w:szCs w:val="24"/>
          <w:lang w:eastAsia="it-IT"/>
        </w:rPr>
        <w:t>In this regulatory system, some regions have approved or are in the process of discussing laws or measures inspired by the principles of living independently. These acts vary with respect to their conceptual structure, the solutions foreseen and the potential recipients. At time of writing, those regions that have issued measures on the topic are Abruzzo, Emilia-Romagna, Friuli</w:t>
      </w:r>
      <w:r w:rsidRPr="001A3B30">
        <w:rPr>
          <w:rFonts w:ascii="Times New Roman" w:hAnsi="Times New Roman"/>
          <w:szCs w:val="24"/>
          <w:lang w:val="it-IT" w:eastAsia="it-IT"/>
        </w:rPr>
        <w:t>-</w:t>
      </w:r>
      <w:r w:rsidRPr="001A3B30">
        <w:rPr>
          <w:rFonts w:cs="Arial"/>
          <w:szCs w:val="24"/>
          <w:lang w:eastAsia="it-IT"/>
        </w:rPr>
        <w:t>Venezia Giulia, Lazio, Lombardy, Marche, Molise, Piedmont, Tuscany, Umbria and Veneto.</w:t>
      </w:r>
    </w:p>
    <w:p w14:paraId="1C1654D1" w14:textId="77777777" w:rsidR="001A3B30" w:rsidRPr="001A3B30" w:rsidRDefault="001A3B30" w:rsidP="001A3B30">
      <w:pPr>
        <w:ind w:left="567" w:hanging="567"/>
        <w:jc w:val="both"/>
        <w:rPr>
          <w:rFonts w:ascii="Times New Roman" w:hAnsi="Times New Roman"/>
          <w:szCs w:val="24"/>
          <w:lang w:eastAsia="it-IT"/>
        </w:rPr>
      </w:pPr>
      <w:r w:rsidRPr="001A3B30">
        <w:rPr>
          <w:rFonts w:ascii="Times New Roman" w:hAnsi="Times New Roman"/>
          <w:b/>
          <w:bCs/>
          <w:szCs w:val="24"/>
          <w:lang w:eastAsia="it-IT"/>
        </w:rPr>
        <w:tab/>
      </w:r>
    </w:p>
    <w:p w14:paraId="1FC09AB6" w14:textId="77777777" w:rsidR="00000C42" w:rsidRPr="001A3B30" w:rsidRDefault="00E86322" w:rsidP="00000C42">
      <w:pPr>
        <w:pStyle w:val="Heading2"/>
        <w:rPr>
          <w:u w:color="000000"/>
          <w:bdr w:val="nil"/>
          <w:lang w:eastAsia="it-IT"/>
        </w:rPr>
      </w:pPr>
      <w:bookmarkStart w:id="9" w:name="_Toc5724442"/>
      <w:r w:rsidRPr="001A3B30">
        <w:rPr>
          <w:u w:color="000000"/>
          <w:bdr w:val="nil"/>
          <w:lang w:eastAsia="it-IT"/>
        </w:rPr>
        <w:t>What are the aims and objectives of the relevant strategies, including the relevant targets and milestones? Are they linked to European Structural and Investment Funds (ESIF)?</w:t>
      </w:r>
      <w:bookmarkEnd w:id="9"/>
    </w:p>
    <w:p w14:paraId="3AFC0837" w14:textId="77777777" w:rsidR="001A3B30" w:rsidRPr="001A3B30" w:rsidRDefault="001A3B30" w:rsidP="001A3B30">
      <w:pPr>
        <w:rPr>
          <w:rFonts w:ascii="Times New Roman" w:hAnsi="Times New Roman"/>
          <w:szCs w:val="24"/>
          <w:lang w:eastAsia="it-IT"/>
        </w:rPr>
      </w:pPr>
    </w:p>
    <w:p w14:paraId="71D4067C" w14:textId="77777777" w:rsidR="001A3B30" w:rsidRPr="001A3B30" w:rsidRDefault="001A3B30" w:rsidP="001A3B30">
      <w:pPr>
        <w:jc w:val="both"/>
        <w:rPr>
          <w:rFonts w:cs="Arial"/>
          <w:szCs w:val="24"/>
          <w:lang w:eastAsia="it-IT"/>
        </w:rPr>
      </w:pPr>
      <w:r w:rsidRPr="001A3B30">
        <w:rPr>
          <w:rFonts w:cs="Arial"/>
          <w:szCs w:val="24"/>
          <w:lang w:eastAsia="it-IT"/>
        </w:rPr>
        <w:t>Action line 2, ‘</w:t>
      </w:r>
      <w:proofErr w:type="spellStart"/>
      <w:r w:rsidRPr="001A3B30">
        <w:rPr>
          <w:rFonts w:cs="Arial"/>
          <w:szCs w:val="24"/>
          <w:lang w:eastAsia="it-IT"/>
        </w:rPr>
        <w:t>Politiche</w:t>
      </w:r>
      <w:proofErr w:type="spellEnd"/>
      <w:r w:rsidRPr="001A3B30">
        <w:rPr>
          <w:rFonts w:cs="Arial"/>
          <w:szCs w:val="24"/>
          <w:lang w:eastAsia="it-IT"/>
        </w:rPr>
        <w:t xml:space="preserve">, </w:t>
      </w:r>
      <w:proofErr w:type="spellStart"/>
      <w:r w:rsidRPr="001A3B30">
        <w:rPr>
          <w:rFonts w:cs="Arial"/>
          <w:szCs w:val="24"/>
          <w:lang w:eastAsia="it-IT"/>
        </w:rPr>
        <w:t>servizi</w:t>
      </w:r>
      <w:proofErr w:type="spellEnd"/>
      <w:r w:rsidRPr="001A3B30">
        <w:rPr>
          <w:rFonts w:cs="Arial"/>
          <w:szCs w:val="24"/>
          <w:lang w:eastAsia="it-IT"/>
        </w:rPr>
        <w:t xml:space="preserve"> e </w:t>
      </w:r>
      <w:proofErr w:type="spellStart"/>
      <w:r w:rsidRPr="001A3B30">
        <w:rPr>
          <w:rFonts w:cs="Arial"/>
          <w:szCs w:val="24"/>
          <w:lang w:eastAsia="it-IT"/>
        </w:rPr>
        <w:t>modelli</w:t>
      </w:r>
      <w:proofErr w:type="spellEnd"/>
      <w:r w:rsidRPr="001A3B30">
        <w:rPr>
          <w:rFonts w:cs="Arial"/>
          <w:szCs w:val="24"/>
          <w:lang w:eastAsia="it-IT"/>
        </w:rPr>
        <w:t xml:space="preserve"> </w:t>
      </w:r>
      <w:proofErr w:type="spellStart"/>
      <w:r w:rsidRPr="001A3B30">
        <w:rPr>
          <w:rFonts w:cs="Arial"/>
          <w:szCs w:val="24"/>
          <w:lang w:eastAsia="it-IT"/>
        </w:rPr>
        <w:t>organizzativi</w:t>
      </w:r>
      <w:proofErr w:type="spellEnd"/>
      <w:r w:rsidRPr="001A3B30">
        <w:rPr>
          <w:rFonts w:cs="Arial"/>
          <w:szCs w:val="24"/>
          <w:lang w:eastAsia="it-IT"/>
        </w:rPr>
        <w:t xml:space="preserve"> per la vita </w:t>
      </w:r>
      <w:proofErr w:type="spellStart"/>
      <w:r w:rsidRPr="001A3B30">
        <w:rPr>
          <w:rFonts w:cs="Arial"/>
          <w:szCs w:val="24"/>
          <w:lang w:eastAsia="it-IT"/>
        </w:rPr>
        <w:t>indipendente</w:t>
      </w:r>
      <w:proofErr w:type="spellEnd"/>
      <w:r w:rsidRPr="001A3B30">
        <w:rPr>
          <w:rFonts w:cs="Arial"/>
          <w:szCs w:val="24"/>
          <w:lang w:eastAsia="it-IT"/>
        </w:rPr>
        <w:t xml:space="preserve"> e </w:t>
      </w:r>
      <w:proofErr w:type="spellStart"/>
      <w:r w:rsidRPr="001A3B30">
        <w:rPr>
          <w:rFonts w:cs="Arial"/>
          <w:szCs w:val="24"/>
          <w:lang w:eastAsia="it-IT"/>
        </w:rPr>
        <w:t>l’inclusione</w:t>
      </w:r>
      <w:proofErr w:type="spellEnd"/>
      <w:r w:rsidRPr="001A3B30">
        <w:rPr>
          <w:rFonts w:cs="Arial"/>
          <w:szCs w:val="24"/>
          <w:lang w:eastAsia="it-IT"/>
        </w:rPr>
        <w:t xml:space="preserve"> </w:t>
      </w:r>
      <w:proofErr w:type="spellStart"/>
      <w:r w:rsidRPr="001A3B30">
        <w:rPr>
          <w:rFonts w:cs="Arial"/>
          <w:szCs w:val="24"/>
          <w:lang w:eastAsia="it-IT"/>
        </w:rPr>
        <w:t>nella</w:t>
      </w:r>
      <w:proofErr w:type="spellEnd"/>
      <w:r w:rsidRPr="001A3B30">
        <w:rPr>
          <w:rFonts w:cs="Arial"/>
          <w:szCs w:val="24"/>
          <w:lang w:eastAsia="it-IT"/>
        </w:rPr>
        <w:t xml:space="preserve"> </w:t>
      </w:r>
      <w:proofErr w:type="spellStart"/>
      <w:r w:rsidRPr="001A3B30">
        <w:rPr>
          <w:rFonts w:cs="Arial"/>
          <w:szCs w:val="24"/>
          <w:lang w:eastAsia="it-IT"/>
        </w:rPr>
        <w:t>società</w:t>
      </w:r>
      <w:proofErr w:type="spellEnd"/>
      <w:r w:rsidRPr="001A3B30">
        <w:rPr>
          <w:rFonts w:cs="Arial"/>
          <w:szCs w:val="24"/>
          <w:lang w:eastAsia="it-IT"/>
        </w:rPr>
        <w:t>’ (Policies, services and organisational models for independent living and inclusion in society) of the Second Biennial National Action Programme on Disability</w:t>
      </w:r>
      <w:r w:rsidRPr="001A3B30" w:rsidDel="005913CA">
        <w:rPr>
          <w:rFonts w:cs="Arial"/>
          <w:i/>
          <w:iCs/>
          <w:szCs w:val="24"/>
          <w:lang w:eastAsia="it-IT"/>
        </w:rPr>
        <w:t xml:space="preserve"> </w:t>
      </w:r>
      <w:r w:rsidRPr="001A3B30">
        <w:rPr>
          <w:rFonts w:cs="Arial"/>
          <w:szCs w:val="24"/>
          <w:lang w:eastAsia="it-IT"/>
        </w:rPr>
        <w:t xml:space="preserve">of the National Observatory on the Condition of Persons with Disabilities considers six programmatic actions: </w:t>
      </w:r>
    </w:p>
    <w:p w14:paraId="6E09C173" w14:textId="77777777" w:rsidR="001A3B30" w:rsidRPr="001A3B30" w:rsidRDefault="001A3B30" w:rsidP="001A3B30">
      <w:pPr>
        <w:jc w:val="both"/>
        <w:rPr>
          <w:rFonts w:cs="Arial"/>
          <w:szCs w:val="24"/>
          <w:lang w:eastAsia="it-IT"/>
        </w:rPr>
      </w:pPr>
    </w:p>
    <w:p w14:paraId="074F431B"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Tackling isolation and segregation in order to favour deinstitutionalisation;</w:t>
      </w:r>
    </w:p>
    <w:p w14:paraId="06CE0CB3"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lastRenderedPageBreak/>
        <w:t xml:space="preserve">Providing services and facilities for the community which should be available to persons with disabilities by </w:t>
      </w:r>
      <w:proofErr w:type="gramStart"/>
      <w:r w:rsidRPr="001A3B30">
        <w:rPr>
          <w:rFonts w:eastAsia="Arial" w:cs="Arial"/>
          <w:color w:val="000000"/>
          <w:szCs w:val="24"/>
          <w:u w:color="000000"/>
          <w:bdr w:val="nil"/>
          <w:lang w:eastAsia="it-IT"/>
        </w:rPr>
        <w:t>taking into account</w:t>
      </w:r>
      <w:proofErr w:type="gramEnd"/>
      <w:r w:rsidRPr="001A3B30">
        <w:rPr>
          <w:rFonts w:eastAsia="Arial" w:cs="Arial"/>
          <w:color w:val="000000"/>
          <w:szCs w:val="24"/>
          <w:u w:color="000000"/>
          <w:bdr w:val="nil"/>
          <w:lang w:eastAsia="it-IT"/>
        </w:rPr>
        <w:t xml:space="preserve"> their needs and in accordance with the principle of parity;</w:t>
      </w:r>
    </w:p>
    <w:p w14:paraId="29C9D0BF"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Promotion of living independently in houses; </w:t>
      </w:r>
    </w:p>
    <w:p w14:paraId="3E59FF30"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Providing stronger, more effective models of self-managed personal support;</w:t>
      </w:r>
    </w:p>
    <w:p w14:paraId="1D9F9913"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Sharing and disseminating the principles and tools of personal design and their application; </w:t>
      </w:r>
    </w:p>
    <w:p w14:paraId="0EC03011" w14:textId="77777777" w:rsidR="001A3B30" w:rsidRPr="001A3B30" w:rsidRDefault="001A3B30" w:rsidP="001A3B30">
      <w:pPr>
        <w:numPr>
          <w:ilvl w:val="0"/>
          <w:numId w:val="10"/>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Legal protection of persons with disabilities and their self-determination. </w:t>
      </w:r>
    </w:p>
    <w:p w14:paraId="7E00BE8F" w14:textId="77777777" w:rsidR="001A3B30" w:rsidRPr="001A3B30" w:rsidRDefault="001A3B30" w:rsidP="001A3B30">
      <w:pPr>
        <w:ind w:left="567" w:hanging="567"/>
        <w:jc w:val="both"/>
        <w:rPr>
          <w:rFonts w:ascii="Times New Roman" w:hAnsi="Times New Roman"/>
          <w:b/>
          <w:bCs/>
          <w:szCs w:val="24"/>
          <w:lang w:eastAsia="it-IT"/>
        </w:rPr>
      </w:pPr>
    </w:p>
    <w:p w14:paraId="7D9B719A" w14:textId="77777777" w:rsidR="00000C42" w:rsidRPr="001A3B30" w:rsidRDefault="00E86322" w:rsidP="00000C42">
      <w:pPr>
        <w:pStyle w:val="Heading2"/>
        <w:rPr>
          <w:u w:color="000000"/>
          <w:bdr w:val="nil"/>
          <w:lang w:eastAsia="it-IT"/>
        </w:rPr>
      </w:pPr>
      <w:bookmarkStart w:id="10" w:name="_Toc5724443"/>
      <w:r w:rsidRPr="001A3B30">
        <w:rPr>
          <w:u w:color="000000"/>
          <w:bdr w:val="nil"/>
          <w:lang w:eastAsia="it-IT"/>
        </w:rPr>
        <w:t>Please summarise the planned approach and the actions to be taken in relevant strategies</w:t>
      </w:r>
      <w:bookmarkEnd w:id="10"/>
      <w:r w:rsidRPr="001A3B30">
        <w:rPr>
          <w:u w:color="000000"/>
          <w:bdr w:val="nil"/>
          <w:lang w:eastAsia="it-IT"/>
        </w:rPr>
        <w:tab/>
      </w:r>
    </w:p>
    <w:p w14:paraId="4F621250" w14:textId="77777777" w:rsidR="001A3B30" w:rsidRPr="001A3B30" w:rsidRDefault="001A3B30" w:rsidP="001A3B30">
      <w:pPr>
        <w:rPr>
          <w:rFonts w:ascii="Times New Roman" w:hAnsi="Times New Roman"/>
          <w:szCs w:val="24"/>
          <w:lang w:eastAsia="it-IT"/>
        </w:rPr>
      </w:pPr>
    </w:p>
    <w:p w14:paraId="00655A2A" w14:textId="77777777" w:rsidR="001A3B30" w:rsidRPr="001A3B30" w:rsidRDefault="001A3B30" w:rsidP="001A3B30">
      <w:pPr>
        <w:jc w:val="both"/>
        <w:rPr>
          <w:rFonts w:cs="Arial"/>
          <w:szCs w:val="24"/>
          <w:lang w:eastAsia="it-IT"/>
        </w:rPr>
      </w:pPr>
      <w:r w:rsidRPr="001A3B30">
        <w:rPr>
          <w:rFonts w:cs="Arial"/>
          <w:szCs w:val="24"/>
          <w:lang w:eastAsia="it-IT"/>
        </w:rPr>
        <w:t>The Second Biennial National Action Programme on Disability</w:t>
      </w:r>
      <w:r w:rsidRPr="001A3B30" w:rsidDel="005913CA">
        <w:rPr>
          <w:rFonts w:cs="Arial"/>
          <w:i/>
          <w:iCs/>
          <w:szCs w:val="24"/>
          <w:lang w:eastAsia="it-IT"/>
        </w:rPr>
        <w:t xml:space="preserve"> </w:t>
      </w:r>
      <w:r w:rsidRPr="001A3B30">
        <w:rPr>
          <w:rFonts w:cs="Arial"/>
          <w:szCs w:val="24"/>
          <w:lang w:eastAsia="it-IT"/>
        </w:rPr>
        <w:t>is based on an articulate, consistent and synergistic approach. All the actions in it converge on the implementation of the rights ratified by the CRPD.</w:t>
      </w:r>
    </w:p>
    <w:p w14:paraId="4B409B3B" w14:textId="77777777" w:rsidR="001A3B30" w:rsidRPr="001A3B30" w:rsidRDefault="001A3B30" w:rsidP="001A3B30">
      <w:pPr>
        <w:jc w:val="both"/>
        <w:rPr>
          <w:rFonts w:cs="Arial"/>
          <w:szCs w:val="24"/>
          <w:lang w:eastAsia="it-IT"/>
        </w:rPr>
      </w:pPr>
    </w:p>
    <w:p w14:paraId="088FF317" w14:textId="77777777" w:rsidR="001A3B30" w:rsidRPr="001A3B30" w:rsidRDefault="001A3B30" w:rsidP="001A3B30">
      <w:pPr>
        <w:jc w:val="both"/>
        <w:rPr>
          <w:rFonts w:cs="Arial"/>
          <w:szCs w:val="24"/>
          <w:lang w:eastAsia="it-IT"/>
        </w:rPr>
      </w:pPr>
      <w:r w:rsidRPr="001A3B30">
        <w:rPr>
          <w:rFonts w:cs="Arial"/>
          <w:szCs w:val="24"/>
          <w:lang w:eastAsia="it-IT"/>
        </w:rPr>
        <w:t xml:space="preserve">The </w:t>
      </w:r>
      <w:r w:rsidRPr="001A3B30">
        <w:rPr>
          <w:rFonts w:cs="Arial"/>
          <w:iCs/>
          <w:szCs w:val="24"/>
          <w:lang w:eastAsia="it-IT"/>
        </w:rPr>
        <w:t>action programme</w:t>
      </w:r>
      <w:r w:rsidRPr="001A3B30">
        <w:rPr>
          <w:rFonts w:cs="Arial"/>
          <w:szCs w:val="24"/>
          <w:lang w:eastAsia="it-IT"/>
        </w:rPr>
        <w:t>, both in its writing and in its implementation phase, involves the main state institutions, local authorities, disabled persons’ organisations (DPOs) and social partners, using a working method that is extremely cooperative and respectful of the provisions of the CRPD.</w:t>
      </w:r>
    </w:p>
    <w:p w14:paraId="156D7441" w14:textId="77777777" w:rsidR="001A3B30" w:rsidRPr="001A3B30" w:rsidRDefault="001A3B30" w:rsidP="001A3B30">
      <w:pPr>
        <w:jc w:val="both"/>
        <w:rPr>
          <w:rFonts w:cs="Arial"/>
          <w:szCs w:val="24"/>
          <w:lang w:eastAsia="it-IT"/>
        </w:rPr>
      </w:pPr>
    </w:p>
    <w:p w14:paraId="23118C40" w14:textId="77777777" w:rsidR="001A3B30" w:rsidRPr="001A3B30" w:rsidRDefault="001A3B30" w:rsidP="001A3B30">
      <w:pPr>
        <w:jc w:val="both"/>
        <w:rPr>
          <w:rFonts w:cs="Arial"/>
          <w:szCs w:val="24"/>
          <w:lang w:eastAsia="it-IT"/>
        </w:rPr>
      </w:pPr>
      <w:r w:rsidRPr="001A3B30">
        <w:rPr>
          <w:rFonts w:cs="Arial"/>
          <w:szCs w:val="24"/>
          <w:lang w:eastAsia="it-IT"/>
        </w:rPr>
        <w:t>Within those actions proposed in action line 2, we highlight the following in particular:</w:t>
      </w:r>
    </w:p>
    <w:p w14:paraId="733E3449" w14:textId="77777777" w:rsidR="001A3B30" w:rsidRPr="001A3B30" w:rsidRDefault="001A3B30" w:rsidP="001A3B30">
      <w:pPr>
        <w:jc w:val="both"/>
        <w:rPr>
          <w:rFonts w:cs="Arial"/>
          <w:szCs w:val="24"/>
          <w:lang w:eastAsia="it-IT"/>
        </w:rPr>
      </w:pPr>
    </w:p>
    <w:p w14:paraId="3468C7D6" w14:textId="0947DF5E"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take UNI standard 11010/2016</w:t>
      </w:r>
      <w:r w:rsidRPr="001A3B30">
        <w:rPr>
          <w:rFonts w:eastAsia="Arial" w:cs="Arial"/>
          <w:i/>
          <w:iCs/>
          <w:color w:val="000000"/>
          <w:szCs w:val="24"/>
          <w:u w:color="000000"/>
          <w:bdr w:val="nil"/>
          <w:lang w:eastAsia="it-IT"/>
        </w:rPr>
        <w:t xml:space="preserve">, </w:t>
      </w:r>
      <w:r w:rsidRPr="001A3B30">
        <w:rPr>
          <w:rFonts w:eastAsia="Arial" w:cs="Arial"/>
          <w:iCs/>
          <w:color w:val="000000"/>
          <w:szCs w:val="24"/>
          <w:u w:color="000000"/>
          <w:bdr w:val="nil"/>
          <w:lang w:eastAsia="it-IT"/>
        </w:rPr>
        <w:t>‘</w:t>
      </w:r>
      <w:proofErr w:type="spellStart"/>
      <w:r w:rsidRPr="001A3B30">
        <w:rPr>
          <w:rFonts w:eastAsia="Arial" w:cs="Arial"/>
          <w:iCs/>
          <w:color w:val="000000"/>
          <w:szCs w:val="24"/>
          <w:u w:color="000000"/>
          <w:bdr w:val="nil"/>
          <w:lang w:eastAsia="it-IT"/>
        </w:rPr>
        <w:t>Servizi</w:t>
      </w:r>
      <w:proofErr w:type="spellEnd"/>
      <w:r w:rsidRPr="001A3B30">
        <w:rPr>
          <w:rFonts w:eastAsia="Arial" w:cs="Arial"/>
          <w:iCs/>
          <w:color w:val="000000"/>
          <w:szCs w:val="24"/>
          <w:u w:color="000000"/>
          <w:bdr w:val="nil"/>
          <w:lang w:eastAsia="it-IT"/>
        </w:rPr>
        <w:t xml:space="preserve"> socio </w:t>
      </w:r>
      <w:proofErr w:type="spellStart"/>
      <w:r w:rsidRPr="001A3B30">
        <w:rPr>
          <w:rFonts w:eastAsia="Arial" w:cs="Arial"/>
          <w:iCs/>
          <w:color w:val="000000"/>
          <w:szCs w:val="24"/>
          <w:u w:color="000000"/>
          <w:bdr w:val="nil"/>
          <w:lang w:eastAsia="it-IT"/>
        </w:rPr>
        <w:t>sanitari</w:t>
      </w:r>
      <w:proofErr w:type="spellEnd"/>
      <w:r w:rsidRPr="001A3B30">
        <w:rPr>
          <w:rFonts w:eastAsia="Arial" w:cs="Arial"/>
          <w:iCs/>
          <w:color w:val="000000"/>
          <w:szCs w:val="24"/>
          <w:u w:color="000000"/>
          <w:bdr w:val="nil"/>
          <w:lang w:eastAsia="it-IT"/>
        </w:rPr>
        <w:t xml:space="preserve"> e </w:t>
      </w:r>
      <w:proofErr w:type="spellStart"/>
      <w:r w:rsidRPr="001A3B30">
        <w:rPr>
          <w:rFonts w:eastAsia="Arial" w:cs="Arial"/>
          <w:iCs/>
          <w:color w:val="000000"/>
          <w:szCs w:val="24"/>
          <w:u w:color="000000"/>
          <w:bdr w:val="nil"/>
          <w:lang w:eastAsia="it-IT"/>
        </w:rPr>
        <w:t>sociali</w:t>
      </w:r>
      <w:proofErr w:type="spellEnd"/>
      <w:r w:rsidRPr="001A3B30">
        <w:rPr>
          <w:rFonts w:eastAsia="Arial" w:cs="Arial"/>
          <w:iCs/>
          <w:color w:val="000000"/>
          <w:szCs w:val="24"/>
          <w:u w:color="000000"/>
          <w:bdr w:val="nil"/>
          <w:lang w:eastAsia="it-IT"/>
        </w:rPr>
        <w:t xml:space="preserve"> - </w:t>
      </w:r>
      <w:proofErr w:type="spellStart"/>
      <w:r w:rsidRPr="001A3B30">
        <w:rPr>
          <w:rFonts w:eastAsia="Arial" w:cs="Arial"/>
          <w:iCs/>
          <w:color w:val="000000"/>
          <w:szCs w:val="24"/>
          <w:u w:color="000000"/>
          <w:bdr w:val="nil"/>
          <w:lang w:eastAsia="it-IT"/>
        </w:rPr>
        <w:t>Servizi</w:t>
      </w:r>
      <w:proofErr w:type="spellEnd"/>
      <w:r w:rsidRPr="001A3B30">
        <w:rPr>
          <w:rFonts w:eastAsia="Arial" w:cs="Arial"/>
          <w:iCs/>
          <w:color w:val="000000"/>
          <w:szCs w:val="24"/>
          <w:u w:color="000000"/>
          <w:bdr w:val="nil"/>
          <w:lang w:eastAsia="it-IT"/>
        </w:rPr>
        <w:t xml:space="preserve"> per </w:t>
      </w:r>
      <w:proofErr w:type="spellStart"/>
      <w:r w:rsidRPr="001A3B30">
        <w:rPr>
          <w:rFonts w:eastAsia="Arial" w:cs="Arial"/>
          <w:iCs/>
          <w:color w:val="000000"/>
          <w:szCs w:val="24"/>
          <w:u w:color="000000"/>
          <w:bdr w:val="nil"/>
          <w:lang w:eastAsia="it-IT"/>
        </w:rPr>
        <w:t>l’abitare</w:t>
      </w:r>
      <w:proofErr w:type="spellEnd"/>
      <w:r w:rsidRPr="001A3B30">
        <w:rPr>
          <w:rFonts w:eastAsia="Arial" w:cs="Arial"/>
          <w:iCs/>
          <w:color w:val="000000"/>
          <w:szCs w:val="24"/>
          <w:u w:color="000000"/>
          <w:bdr w:val="nil"/>
          <w:lang w:eastAsia="it-IT"/>
        </w:rPr>
        <w:t xml:space="preserve"> e </w:t>
      </w:r>
      <w:proofErr w:type="spellStart"/>
      <w:r w:rsidRPr="001A3B30">
        <w:rPr>
          <w:rFonts w:eastAsia="Arial" w:cs="Arial"/>
          <w:iCs/>
          <w:color w:val="000000"/>
          <w:szCs w:val="24"/>
          <w:u w:color="000000"/>
          <w:bdr w:val="nil"/>
          <w:lang w:eastAsia="it-IT"/>
        </w:rPr>
        <w:t>servizi</w:t>
      </w:r>
      <w:proofErr w:type="spellEnd"/>
      <w:r w:rsidRPr="001A3B30">
        <w:rPr>
          <w:rFonts w:eastAsia="Arial" w:cs="Arial"/>
          <w:iCs/>
          <w:color w:val="000000"/>
          <w:szCs w:val="24"/>
          <w:u w:color="000000"/>
          <w:bdr w:val="nil"/>
          <w:lang w:eastAsia="it-IT"/>
        </w:rPr>
        <w:t xml:space="preserve"> per </w:t>
      </w:r>
      <w:proofErr w:type="spellStart"/>
      <w:r w:rsidRPr="001A3B30">
        <w:rPr>
          <w:rFonts w:eastAsia="Arial" w:cs="Arial"/>
          <w:iCs/>
          <w:color w:val="000000"/>
          <w:szCs w:val="24"/>
          <w:u w:color="000000"/>
          <w:bdr w:val="nil"/>
          <w:lang w:eastAsia="it-IT"/>
        </w:rPr>
        <w:t>l’inclusione</w:t>
      </w:r>
      <w:proofErr w:type="spellEnd"/>
      <w:r w:rsidRPr="001A3B30">
        <w:rPr>
          <w:rFonts w:eastAsia="Arial" w:cs="Arial"/>
          <w:iCs/>
          <w:color w:val="000000"/>
          <w:szCs w:val="24"/>
          <w:u w:color="000000"/>
          <w:bdr w:val="nil"/>
          <w:lang w:eastAsia="it-IT"/>
        </w:rPr>
        <w:t xml:space="preserve"> </w:t>
      </w:r>
      <w:proofErr w:type="spellStart"/>
      <w:r w:rsidRPr="001A3B30">
        <w:rPr>
          <w:rFonts w:eastAsia="Arial" w:cs="Arial"/>
          <w:iCs/>
          <w:color w:val="000000"/>
          <w:szCs w:val="24"/>
          <w:u w:color="000000"/>
          <w:bdr w:val="nil"/>
          <w:lang w:eastAsia="it-IT"/>
        </w:rPr>
        <w:t>sociale</w:t>
      </w:r>
      <w:proofErr w:type="spellEnd"/>
      <w:r w:rsidRPr="001A3B30">
        <w:rPr>
          <w:rFonts w:eastAsia="Arial" w:cs="Arial"/>
          <w:iCs/>
          <w:color w:val="000000"/>
          <w:szCs w:val="24"/>
          <w:u w:color="000000"/>
          <w:bdr w:val="nil"/>
          <w:lang w:eastAsia="it-IT"/>
        </w:rPr>
        <w:t xml:space="preserve"> </w:t>
      </w:r>
      <w:proofErr w:type="spellStart"/>
      <w:r w:rsidRPr="001A3B30">
        <w:rPr>
          <w:rFonts w:eastAsia="Arial" w:cs="Arial"/>
          <w:iCs/>
          <w:color w:val="000000"/>
          <w:szCs w:val="24"/>
          <w:u w:color="000000"/>
          <w:bdr w:val="nil"/>
          <w:lang w:eastAsia="it-IT"/>
        </w:rPr>
        <w:t>delle</w:t>
      </w:r>
      <w:proofErr w:type="spellEnd"/>
      <w:r w:rsidRPr="001A3B30">
        <w:rPr>
          <w:rFonts w:eastAsia="Arial" w:cs="Arial"/>
          <w:iCs/>
          <w:color w:val="000000"/>
          <w:szCs w:val="24"/>
          <w:u w:color="000000"/>
          <w:bdr w:val="nil"/>
          <w:lang w:eastAsia="it-IT"/>
        </w:rPr>
        <w:t xml:space="preserve"> </w:t>
      </w:r>
      <w:proofErr w:type="spellStart"/>
      <w:r w:rsidRPr="001A3B30">
        <w:rPr>
          <w:rFonts w:eastAsia="Arial" w:cs="Arial"/>
          <w:iCs/>
          <w:color w:val="000000"/>
          <w:szCs w:val="24"/>
          <w:u w:color="000000"/>
          <w:bdr w:val="nil"/>
          <w:lang w:eastAsia="it-IT"/>
        </w:rPr>
        <w:t>persone</w:t>
      </w:r>
      <w:proofErr w:type="spellEnd"/>
      <w:r w:rsidRPr="001A3B30">
        <w:rPr>
          <w:rFonts w:eastAsia="Arial" w:cs="Arial"/>
          <w:iCs/>
          <w:color w:val="000000"/>
          <w:szCs w:val="24"/>
          <w:u w:color="000000"/>
          <w:bdr w:val="nil"/>
          <w:lang w:eastAsia="it-IT"/>
        </w:rPr>
        <w:t xml:space="preserve"> con </w:t>
      </w:r>
      <w:proofErr w:type="spellStart"/>
      <w:r w:rsidRPr="001A3B30">
        <w:rPr>
          <w:rFonts w:eastAsia="Arial" w:cs="Arial"/>
          <w:iCs/>
          <w:color w:val="000000"/>
          <w:szCs w:val="24"/>
          <w:u w:color="000000"/>
          <w:bdr w:val="nil"/>
          <w:lang w:eastAsia="it-IT"/>
        </w:rPr>
        <w:t>disabilità</w:t>
      </w:r>
      <w:proofErr w:type="spellEnd"/>
      <w:r w:rsidRPr="001A3B30">
        <w:rPr>
          <w:rFonts w:eastAsia="Arial" w:cs="Arial"/>
          <w:iCs/>
          <w:color w:val="000000"/>
          <w:szCs w:val="24"/>
          <w:u w:color="000000"/>
          <w:bdr w:val="nil"/>
          <w:lang w:eastAsia="it-IT"/>
        </w:rPr>
        <w:t xml:space="preserve"> (</w:t>
      </w:r>
      <w:proofErr w:type="spellStart"/>
      <w:r w:rsidRPr="001A3B30">
        <w:rPr>
          <w:rFonts w:eastAsia="Arial" w:cs="Arial"/>
          <w:iCs/>
          <w:color w:val="000000"/>
          <w:szCs w:val="24"/>
          <w:u w:color="000000"/>
          <w:bdr w:val="nil"/>
          <w:lang w:eastAsia="it-IT"/>
        </w:rPr>
        <w:t>PcD</w:t>
      </w:r>
      <w:proofErr w:type="spellEnd"/>
      <w:r w:rsidRPr="001A3B30">
        <w:rPr>
          <w:rFonts w:eastAsia="Arial" w:cs="Arial"/>
          <w:iCs/>
          <w:color w:val="000000"/>
          <w:szCs w:val="24"/>
          <w:u w:color="000000"/>
          <w:bdr w:val="nil"/>
          <w:lang w:eastAsia="it-IT"/>
        </w:rPr>
        <w:t xml:space="preserve">)— </w:t>
      </w:r>
      <w:proofErr w:type="spellStart"/>
      <w:r w:rsidRPr="001A3B30">
        <w:rPr>
          <w:rFonts w:eastAsia="Arial" w:cs="Arial"/>
          <w:iCs/>
          <w:color w:val="000000"/>
          <w:szCs w:val="24"/>
          <w:u w:color="000000"/>
          <w:bdr w:val="nil"/>
          <w:lang w:eastAsia="it-IT"/>
        </w:rPr>
        <w:t>Requisiti</w:t>
      </w:r>
      <w:proofErr w:type="spellEnd"/>
      <w:r w:rsidRPr="001A3B30">
        <w:rPr>
          <w:rFonts w:eastAsia="Arial" w:cs="Arial"/>
          <w:iCs/>
          <w:color w:val="000000"/>
          <w:szCs w:val="24"/>
          <w:u w:color="000000"/>
          <w:bdr w:val="nil"/>
          <w:lang w:eastAsia="it-IT"/>
        </w:rPr>
        <w:t xml:space="preserve"> del </w:t>
      </w:r>
      <w:proofErr w:type="spellStart"/>
      <w:r w:rsidRPr="001A3B30">
        <w:rPr>
          <w:rFonts w:eastAsia="Arial" w:cs="Arial"/>
          <w:iCs/>
          <w:color w:val="000000"/>
          <w:szCs w:val="24"/>
          <w:u w:color="000000"/>
          <w:bdr w:val="nil"/>
          <w:lang w:eastAsia="it-IT"/>
        </w:rPr>
        <w:t>servizio</w:t>
      </w:r>
      <w:proofErr w:type="spellEnd"/>
      <w:r w:rsidRPr="001A3B30">
        <w:rPr>
          <w:rFonts w:eastAsia="Arial" w:cs="Arial"/>
          <w:iCs/>
          <w:color w:val="000000"/>
          <w:szCs w:val="24"/>
          <w:u w:color="000000"/>
          <w:bdr w:val="nil"/>
          <w:lang w:eastAsia="it-IT"/>
        </w:rPr>
        <w:t xml:space="preserve">’ </w:t>
      </w:r>
      <w:r w:rsidRPr="001A3B30">
        <w:rPr>
          <w:rFonts w:eastAsia="Arial" w:cs="Arial"/>
          <w:szCs w:val="24"/>
          <w:u w:color="000000"/>
          <w:bdr w:val="nil"/>
          <w:lang w:val="en-US" w:eastAsia="it-IT"/>
        </w:rPr>
        <w:t>(Health and social services - Independent living services and social inclusion services of persons with disabilities. Requirement for services)</w:t>
      </w:r>
      <w:r w:rsidRPr="001A3B30">
        <w:rPr>
          <w:rFonts w:eastAsia="Arial" w:cs="Arial"/>
          <w:i/>
          <w:iCs/>
          <w:color w:val="000000"/>
          <w:szCs w:val="24"/>
          <w:u w:color="000000"/>
          <w:bdr w:val="nil"/>
          <w:lang w:eastAsia="it-IT"/>
        </w:rPr>
        <w:t xml:space="preserve"> </w:t>
      </w:r>
      <w:r w:rsidRPr="001A3B30">
        <w:rPr>
          <w:rFonts w:eastAsia="Arial" w:cs="Arial"/>
          <w:color w:val="000000"/>
          <w:szCs w:val="24"/>
          <w:u w:color="000000"/>
          <w:bdr w:val="nil"/>
          <w:lang w:eastAsia="it-IT"/>
        </w:rPr>
        <w:t>as a reference point for all future conventions or the institutional accreditation of facilities, and for prohibiting institutional accreditation — and, consequently, any form of direct or indirect funding to facilities that may potentially be segregated</w:t>
      </w:r>
      <w:r w:rsidR="00082413">
        <w:rPr>
          <w:rFonts w:eastAsia="Arial" w:cs="Arial"/>
          <w:color w:val="000000"/>
          <w:szCs w:val="24"/>
          <w:u w:color="000000"/>
          <w:bdr w:val="nil"/>
          <w:lang w:eastAsia="it-IT"/>
        </w:rPr>
        <w:t>.</w:t>
      </w:r>
    </w:p>
    <w:p w14:paraId="32C72533" w14:textId="277A86EE"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on the basis of agreed indexes, which should be identified with large participation, proceed to make a complete and systematic survey of the potentially segregated facilities by fixing a deadline for the appropriate and suitable release of the segregated persons on the basis of personal plans</w:t>
      </w:r>
      <w:r w:rsidR="00082413">
        <w:rPr>
          <w:rFonts w:eastAsia="Arial" w:cs="Arial"/>
          <w:color w:val="000000"/>
          <w:szCs w:val="24"/>
          <w:u w:color="000000"/>
          <w:bdr w:val="nil"/>
          <w:lang w:eastAsia="it-IT"/>
        </w:rPr>
        <w:t>.</w:t>
      </w:r>
    </w:p>
    <w:p w14:paraId="1CEAE1CF" w14:textId="1B499E7A"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review the </w:t>
      </w:r>
      <w:r w:rsidRPr="001A3B30">
        <w:rPr>
          <w:rFonts w:eastAsia="Arial" w:cs="Arial"/>
          <w:i/>
          <w:color w:val="000000"/>
          <w:szCs w:val="24"/>
          <w:u w:color="000000"/>
          <w:bdr w:val="nil"/>
          <w:lang w:eastAsia="it-IT"/>
        </w:rPr>
        <w:t xml:space="preserve">Nomenclature </w:t>
      </w:r>
      <w:proofErr w:type="spellStart"/>
      <w:r w:rsidRPr="001A3B30">
        <w:rPr>
          <w:rFonts w:eastAsia="Arial" w:cs="Arial"/>
          <w:i/>
          <w:color w:val="000000"/>
          <w:szCs w:val="24"/>
          <w:u w:color="000000"/>
          <w:bdr w:val="nil"/>
          <w:lang w:eastAsia="it-IT"/>
        </w:rPr>
        <w:t>degli</w:t>
      </w:r>
      <w:proofErr w:type="spellEnd"/>
      <w:r w:rsidRPr="001A3B30">
        <w:rPr>
          <w:rFonts w:eastAsia="Arial" w:cs="Arial"/>
          <w:i/>
          <w:color w:val="000000"/>
          <w:szCs w:val="24"/>
          <w:u w:color="000000"/>
          <w:bdr w:val="nil"/>
          <w:lang w:eastAsia="it-IT"/>
        </w:rPr>
        <w:t xml:space="preserve"> </w:t>
      </w:r>
      <w:proofErr w:type="spellStart"/>
      <w:r w:rsidRPr="001A3B30">
        <w:rPr>
          <w:rFonts w:eastAsia="Arial" w:cs="Arial"/>
          <w:i/>
          <w:color w:val="000000"/>
          <w:szCs w:val="24"/>
          <w:u w:color="000000"/>
          <w:bdr w:val="nil"/>
          <w:lang w:eastAsia="it-IT"/>
        </w:rPr>
        <w:t>interventi</w:t>
      </w:r>
      <w:proofErr w:type="spellEnd"/>
      <w:r w:rsidRPr="001A3B30">
        <w:rPr>
          <w:rFonts w:eastAsia="Arial" w:cs="Arial"/>
          <w:i/>
          <w:color w:val="000000"/>
          <w:szCs w:val="24"/>
          <w:u w:color="000000"/>
          <w:bdr w:val="nil"/>
          <w:lang w:eastAsia="it-IT"/>
        </w:rPr>
        <w:t xml:space="preserve"> e </w:t>
      </w:r>
      <w:proofErr w:type="spellStart"/>
      <w:r w:rsidRPr="001A3B30">
        <w:rPr>
          <w:rFonts w:eastAsia="Arial" w:cs="Arial"/>
          <w:i/>
          <w:color w:val="000000"/>
          <w:szCs w:val="24"/>
          <w:u w:color="000000"/>
          <w:bdr w:val="nil"/>
          <w:lang w:eastAsia="it-IT"/>
        </w:rPr>
        <w:t>servizi</w:t>
      </w:r>
      <w:proofErr w:type="spellEnd"/>
      <w:r w:rsidRPr="001A3B30">
        <w:rPr>
          <w:rFonts w:eastAsia="Arial" w:cs="Arial"/>
          <w:i/>
          <w:color w:val="000000"/>
          <w:szCs w:val="24"/>
          <w:u w:color="000000"/>
          <w:bdr w:val="nil"/>
          <w:lang w:eastAsia="it-IT"/>
        </w:rPr>
        <w:t xml:space="preserve"> </w:t>
      </w:r>
      <w:proofErr w:type="spellStart"/>
      <w:r w:rsidRPr="001A3B30">
        <w:rPr>
          <w:rFonts w:eastAsia="Arial" w:cs="Arial"/>
          <w:i/>
          <w:color w:val="000000"/>
          <w:szCs w:val="24"/>
          <w:u w:color="000000"/>
          <w:bdr w:val="nil"/>
          <w:lang w:eastAsia="it-IT"/>
        </w:rPr>
        <w:t>sociali</w:t>
      </w:r>
      <w:proofErr w:type="spellEnd"/>
      <w:r w:rsidRPr="001A3B30">
        <w:rPr>
          <w:rFonts w:eastAsia="Arial" w:cs="Arial"/>
          <w:color w:val="000000"/>
          <w:szCs w:val="24"/>
          <w:u w:color="000000"/>
          <w:bdr w:val="nil"/>
          <w:lang w:eastAsia="it-IT"/>
        </w:rPr>
        <w:t xml:space="preserve"> (Nomenclature of interventions and social services)</w:t>
      </w:r>
      <w:r w:rsidR="00082413">
        <w:rPr>
          <w:rFonts w:eastAsia="Arial" w:cs="Arial"/>
          <w:color w:val="000000"/>
          <w:szCs w:val="24"/>
          <w:u w:color="000000"/>
          <w:bdr w:val="nil"/>
          <w:lang w:eastAsia="it-IT"/>
        </w:rPr>
        <w:t>.</w:t>
      </w:r>
    </w:p>
    <w:p w14:paraId="79E5723A" w14:textId="3AA8382C"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identify service objectives for housing support, based on personal plans</w:t>
      </w:r>
      <w:r w:rsidR="00082413">
        <w:rPr>
          <w:rFonts w:eastAsia="Arial" w:cs="Arial"/>
          <w:color w:val="000000"/>
          <w:szCs w:val="24"/>
          <w:u w:color="000000"/>
          <w:bdr w:val="nil"/>
          <w:lang w:eastAsia="it-IT"/>
        </w:rPr>
        <w:t>.</w:t>
      </w:r>
    </w:p>
    <w:p w14:paraId="725C0577" w14:textId="5CE9E440"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develop and promote assignment models for ‘personalised budgets’ (care budgets, health budgets or however they are designated), which should provide a quantitative and qualitative definition of the economic, professional and human resources needed to activate a process whose goal must be the return of the person to proper social functioning by means of a personal plan, which should require the active participation of the persons with disability themselves, their families and their communities, optimising the integrated use of common resources along homogeneous lines</w:t>
      </w:r>
      <w:r w:rsidR="00082413">
        <w:rPr>
          <w:rFonts w:eastAsia="Arial" w:cs="Arial"/>
          <w:color w:val="000000"/>
          <w:szCs w:val="24"/>
          <w:u w:color="000000"/>
          <w:bdr w:val="nil"/>
          <w:lang w:eastAsia="it-IT"/>
        </w:rPr>
        <w:t>.</w:t>
      </w:r>
    </w:p>
    <w:p w14:paraId="4F4AA3BC" w14:textId="4BAB05AB"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propose a change in the Civil Code, which should introduce the potential abrogation of disqualification and incapacitation, maintaining administrative support as the sole means of legal protection, adjustable in various ways</w:t>
      </w:r>
      <w:r w:rsidR="00082413">
        <w:rPr>
          <w:rFonts w:eastAsia="Arial" w:cs="Arial"/>
          <w:color w:val="000000"/>
          <w:szCs w:val="24"/>
          <w:u w:color="000000"/>
          <w:bdr w:val="nil"/>
          <w:lang w:eastAsia="it-IT"/>
        </w:rPr>
        <w:t>.</w:t>
      </w:r>
    </w:p>
    <w:p w14:paraId="7D7846B9" w14:textId="77777777" w:rsidR="001A3B30" w:rsidRPr="001A3B30" w:rsidRDefault="001A3B30" w:rsidP="001A3B30">
      <w:pPr>
        <w:numPr>
          <w:ilvl w:val="0"/>
          <w:numId w:val="12"/>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lastRenderedPageBreak/>
        <w:t xml:space="preserve">instigate ad hoc advertising and promotion of learning and upgrading processes for magistrates through the </w:t>
      </w:r>
      <w:proofErr w:type="spellStart"/>
      <w:r w:rsidRPr="001A3B30">
        <w:rPr>
          <w:rFonts w:eastAsia="Arial" w:cs="Arial"/>
          <w:color w:val="000000"/>
          <w:szCs w:val="24"/>
          <w:u w:color="000000"/>
          <w:bdr w:val="nil"/>
          <w:lang w:eastAsia="it-IT"/>
        </w:rPr>
        <w:t>Consiglio</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Superiore</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della</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Magistratura</w:t>
      </w:r>
      <w:proofErr w:type="spellEnd"/>
      <w:r w:rsidRPr="001A3B30">
        <w:rPr>
          <w:rFonts w:eastAsia="Arial" w:cs="Arial"/>
          <w:color w:val="000000"/>
          <w:szCs w:val="24"/>
          <w:u w:color="000000"/>
          <w:bdr w:val="nil"/>
          <w:lang w:eastAsia="it-IT"/>
        </w:rPr>
        <w:t xml:space="preserve"> (Higher Judicial Council) and the </w:t>
      </w:r>
      <w:proofErr w:type="spellStart"/>
      <w:r w:rsidRPr="001A3B30">
        <w:rPr>
          <w:rFonts w:eastAsia="Arial" w:cs="Arial"/>
          <w:color w:val="000000"/>
          <w:szCs w:val="24"/>
          <w:u w:color="000000"/>
          <w:bdr w:val="nil"/>
          <w:lang w:eastAsia="it-IT"/>
        </w:rPr>
        <w:t>Scuola</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Superiore</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della</w:t>
      </w:r>
      <w:proofErr w:type="spellEnd"/>
      <w:r w:rsidRPr="001A3B30">
        <w:rPr>
          <w:rFonts w:eastAsia="Arial" w:cs="Arial"/>
          <w:color w:val="000000"/>
          <w:szCs w:val="24"/>
          <w:u w:color="000000"/>
          <w:bdr w:val="nil"/>
          <w:lang w:eastAsia="it-IT"/>
        </w:rPr>
        <w:t xml:space="preserve"> </w:t>
      </w:r>
      <w:proofErr w:type="spellStart"/>
      <w:r w:rsidRPr="001A3B30">
        <w:rPr>
          <w:rFonts w:eastAsia="Arial" w:cs="Arial"/>
          <w:color w:val="000000"/>
          <w:szCs w:val="24"/>
          <w:u w:color="000000"/>
          <w:bdr w:val="nil"/>
          <w:lang w:eastAsia="it-IT"/>
        </w:rPr>
        <w:t>Magistratura</w:t>
      </w:r>
      <w:proofErr w:type="spellEnd"/>
      <w:r w:rsidRPr="001A3B30">
        <w:rPr>
          <w:rFonts w:eastAsia="Arial" w:cs="Arial"/>
          <w:color w:val="000000"/>
          <w:szCs w:val="24"/>
          <w:u w:color="000000"/>
          <w:bdr w:val="nil"/>
          <w:lang w:eastAsia="it-IT"/>
        </w:rPr>
        <w:t xml:space="preserve"> (Higher Judicial School).</w:t>
      </w:r>
    </w:p>
    <w:p w14:paraId="0A3E28D6" w14:textId="77777777" w:rsidR="001A3B30" w:rsidRPr="001A3B30" w:rsidRDefault="001A3B30" w:rsidP="001A3B30">
      <w:pPr>
        <w:ind w:left="567" w:hanging="567"/>
        <w:jc w:val="both"/>
        <w:rPr>
          <w:rFonts w:ascii="Times New Roman" w:hAnsi="Times New Roman"/>
          <w:szCs w:val="24"/>
          <w:lang w:eastAsia="it-IT"/>
        </w:rPr>
      </w:pPr>
    </w:p>
    <w:p w14:paraId="0DB15683" w14:textId="77777777" w:rsidR="00000C42" w:rsidRPr="001A3B30" w:rsidRDefault="00E86322" w:rsidP="00000C42">
      <w:pPr>
        <w:pStyle w:val="Heading2"/>
        <w:rPr>
          <w:u w:color="000000"/>
          <w:bdr w:val="nil"/>
          <w:lang w:eastAsia="it-IT"/>
        </w:rPr>
      </w:pPr>
      <w:bookmarkStart w:id="11" w:name="_Toc5724444"/>
      <w:r w:rsidRPr="001A3B30">
        <w:rPr>
          <w:u w:color="000000"/>
          <w:bdr w:val="nil"/>
          <w:lang w:eastAsia="it-IT"/>
        </w:rPr>
        <w:t>What budgetary commitments are made to support these strategies, for both domestic and EU funds?</w:t>
      </w:r>
      <w:bookmarkEnd w:id="11"/>
    </w:p>
    <w:p w14:paraId="67509EFA" w14:textId="77777777" w:rsidR="001A3B30" w:rsidRPr="001A3B30" w:rsidRDefault="001A3B30" w:rsidP="001A3B30">
      <w:pPr>
        <w:rPr>
          <w:rFonts w:ascii="Times New Roman" w:hAnsi="Times New Roman"/>
          <w:szCs w:val="24"/>
          <w:lang w:eastAsia="it-IT"/>
        </w:rPr>
      </w:pPr>
    </w:p>
    <w:p w14:paraId="1AEFD04A" w14:textId="77777777" w:rsidR="001A3B30" w:rsidRPr="001A3B30" w:rsidRDefault="001A3B30" w:rsidP="001A3B30">
      <w:pPr>
        <w:jc w:val="both"/>
        <w:rPr>
          <w:rFonts w:cs="Arial"/>
          <w:szCs w:val="24"/>
          <w:lang w:eastAsia="it-IT"/>
        </w:rPr>
      </w:pPr>
      <w:r w:rsidRPr="001A3B30">
        <w:rPr>
          <w:rFonts w:cs="Arial"/>
          <w:szCs w:val="24"/>
          <w:lang w:eastAsia="it-IT"/>
        </w:rPr>
        <w:t>None of the programme’s interventions requires additional costs. On the contrary, the outcomes can lead to a significant qualification (improvement in the way of spending) of public expenditure.</w:t>
      </w:r>
    </w:p>
    <w:p w14:paraId="7D1656D5" w14:textId="77777777" w:rsidR="001A3B30" w:rsidRPr="001A3B30" w:rsidRDefault="001A3B30" w:rsidP="001A3B30">
      <w:pPr>
        <w:jc w:val="both"/>
        <w:rPr>
          <w:rFonts w:cs="Arial"/>
          <w:szCs w:val="24"/>
          <w:lang w:eastAsia="it-IT"/>
        </w:rPr>
      </w:pPr>
    </w:p>
    <w:p w14:paraId="5D0E332C" w14:textId="77777777" w:rsidR="001A3B30" w:rsidRPr="001A3B30" w:rsidRDefault="001A3B30" w:rsidP="001A3B30">
      <w:pPr>
        <w:jc w:val="both"/>
        <w:rPr>
          <w:rFonts w:cs="Arial"/>
          <w:szCs w:val="24"/>
          <w:lang w:eastAsia="it-IT"/>
        </w:rPr>
      </w:pPr>
      <w:r w:rsidRPr="001A3B30">
        <w:rPr>
          <w:rFonts w:cs="Arial"/>
          <w:szCs w:val="24"/>
          <w:lang w:eastAsia="it-IT"/>
        </w:rPr>
        <w:t>Data on investments by regions and municipalities, aggregated over deinstitutionalisation measures and independent living plans, is not available.</w:t>
      </w:r>
    </w:p>
    <w:p w14:paraId="04CDFA53" w14:textId="77777777" w:rsidR="001A3B30" w:rsidRPr="001A3B30" w:rsidRDefault="001A3B30" w:rsidP="001A3B30">
      <w:pPr>
        <w:jc w:val="both"/>
        <w:rPr>
          <w:rFonts w:ascii="Times New Roman" w:hAnsi="Times New Roman"/>
          <w:b/>
          <w:bCs/>
          <w:szCs w:val="24"/>
          <w:lang w:eastAsia="it-IT"/>
        </w:rPr>
      </w:pPr>
    </w:p>
    <w:p w14:paraId="6D0905BC" w14:textId="77777777" w:rsidR="00000C42" w:rsidRPr="001A3B30" w:rsidRDefault="00E86322" w:rsidP="00000C42">
      <w:pPr>
        <w:pStyle w:val="Heading2"/>
        <w:rPr>
          <w:u w:color="000000"/>
          <w:bdr w:val="nil"/>
          <w:lang w:eastAsia="it-IT"/>
        </w:rPr>
      </w:pPr>
      <w:bookmarkStart w:id="12" w:name="_Toc5724445"/>
      <w:r w:rsidRPr="001A3B30">
        <w:rPr>
          <w:u w:color="000000"/>
          <w:bdr w:val="nil"/>
          <w:lang w:eastAsia="it-IT"/>
        </w:rPr>
        <w:t>What is the (official) involvement of persons with disabilities and/or their representative organisations in the development of the strategies and plans?</w:t>
      </w:r>
      <w:bookmarkEnd w:id="12"/>
    </w:p>
    <w:p w14:paraId="0E2DF75C" w14:textId="77777777" w:rsidR="001A3B30" w:rsidRPr="001A3B30" w:rsidRDefault="001A3B30" w:rsidP="001A3B30">
      <w:pPr>
        <w:rPr>
          <w:rFonts w:ascii="Times New Roman" w:hAnsi="Times New Roman"/>
          <w:szCs w:val="24"/>
          <w:lang w:eastAsia="it-IT"/>
        </w:rPr>
      </w:pPr>
    </w:p>
    <w:p w14:paraId="147733DB" w14:textId="77777777" w:rsidR="001A3B30" w:rsidRPr="001A3B30" w:rsidRDefault="001A3B30" w:rsidP="001A3B30">
      <w:pPr>
        <w:jc w:val="both"/>
        <w:rPr>
          <w:rFonts w:cs="Arial"/>
          <w:szCs w:val="24"/>
          <w:lang w:eastAsia="it-IT"/>
        </w:rPr>
      </w:pPr>
      <w:r w:rsidRPr="001A3B30">
        <w:rPr>
          <w:rFonts w:cs="Arial"/>
          <w:szCs w:val="24"/>
          <w:lang w:eastAsia="it-IT"/>
        </w:rPr>
        <w:t xml:space="preserve">The National Observatory on the Condition of Persons with Disabilities, which is responsible for the implementation and monitoring process of the CRPD and the </w:t>
      </w:r>
      <w:r w:rsidRPr="001A3B30">
        <w:rPr>
          <w:rFonts w:cs="Arial"/>
          <w:iCs/>
          <w:szCs w:val="24"/>
          <w:lang w:eastAsia="it-IT"/>
        </w:rPr>
        <w:t>biannual action programme</w:t>
      </w:r>
      <w:r w:rsidRPr="001A3B30">
        <w:rPr>
          <w:rFonts w:cs="Arial"/>
          <w:szCs w:val="24"/>
          <w:lang w:eastAsia="it-IT"/>
        </w:rPr>
        <w:t>, has a total of 40 members, including 14 representatives of DPOs. At the local and regional levels, DPOs are involved in independent living policies.</w:t>
      </w:r>
    </w:p>
    <w:p w14:paraId="3C0D0B36" w14:textId="77777777" w:rsidR="001A3B30" w:rsidRPr="001A3B30" w:rsidRDefault="001A3B30" w:rsidP="001A3B30">
      <w:pPr>
        <w:jc w:val="both"/>
        <w:rPr>
          <w:rFonts w:ascii="Times New Roman" w:hAnsi="Times New Roman"/>
          <w:b/>
          <w:bCs/>
          <w:szCs w:val="24"/>
          <w:lang w:eastAsia="it-IT"/>
        </w:rPr>
      </w:pPr>
    </w:p>
    <w:p w14:paraId="5B73E85D" w14:textId="77777777" w:rsidR="00000C42" w:rsidRPr="001A3B30" w:rsidRDefault="00E86322" w:rsidP="00000C42">
      <w:pPr>
        <w:pStyle w:val="Heading1"/>
        <w:rPr>
          <w:u w:color="000000"/>
          <w:bdr w:val="nil"/>
          <w:lang w:eastAsia="it-IT"/>
        </w:rPr>
      </w:pPr>
      <w:bookmarkStart w:id="13" w:name="_Toc5724446"/>
      <w:r w:rsidRPr="001A3B30">
        <w:rPr>
          <w:u w:color="000000"/>
          <w:bdr w:val="nil"/>
          <w:lang w:eastAsia="it-IT"/>
        </w:rPr>
        <w:t>Implementation and monitoring</w:t>
      </w:r>
      <w:bookmarkEnd w:id="13"/>
    </w:p>
    <w:p w14:paraId="08A61826" w14:textId="77777777" w:rsidR="001A3B30" w:rsidRPr="001A3B30" w:rsidRDefault="001A3B30" w:rsidP="001A3B30">
      <w:pPr>
        <w:jc w:val="both"/>
        <w:rPr>
          <w:rFonts w:ascii="Times New Roman" w:hAnsi="Times New Roman"/>
          <w:b/>
          <w:bCs/>
          <w:szCs w:val="24"/>
          <w:lang w:eastAsia="it-IT"/>
        </w:rPr>
      </w:pPr>
    </w:p>
    <w:p w14:paraId="66F90D8B" w14:textId="77777777" w:rsidR="00000C42" w:rsidRPr="001A3B30" w:rsidRDefault="00E86322" w:rsidP="00000C42">
      <w:pPr>
        <w:pStyle w:val="Heading2"/>
        <w:rPr>
          <w:u w:color="000000"/>
          <w:bdr w:val="nil"/>
          <w:lang w:eastAsia="it-IT"/>
        </w:rPr>
      </w:pPr>
      <w:bookmarkStart w:id="14" w:name="_Toc5724447"/>
      <w:r w:rsidRPr="001A3B30">
        <w:rPr>
          <w:u w:color="000000"/>
          <w:bdr w:val="nil"/>
          <w:lang w:eastAsia="it-IT"/>
        </w:rPr>
        <w:t>Summary of relevant calls for proposals</w:t>
      </w:r>
      <w:bookmarkEnd w:id="14"/>
    </w:p>
    <w:p w14:paraId="7B897FFC" w14:textId="77777777" w:rsidR="001A3B30" w:rsidRPr="001A3B30" w:rsidRDefault="001A3B30" w:rsidP="001A3B30">
      <w:pPr>
        <w:rPr>
          <w:rFonts w:ascii="Times New Roman" w:hAnsi="Times New Roman"/>
          <w:szCs w:val="24"/>
          <w:lang w:eastAsia="it-IT"/>
        </w:rPr>
      </w:pPr>
    </w:p>
    <w:p w14:paraId="64FFD55D" w14:textId="77777777" w:rsidR="001A3B30" w:rsidRPr="001A3B30" w:rsidRDefault="001A3B30" w:rsidP="001A3B30">
      <w:pPr>
        <w:jc w:val="both"/>
        <w:rPr>
          <w:rFonts w:cs="Arial"/>
          <w:szCs w:val="24"/>
          <w:lang w:eastAsia="it-IT"/>
        </w:rPr>
      </w:pPr>
      <w:r w:rsidRPr="001A3B30">
        <w:rPr>
          <w:rFonts w:cs="Arial"/>
          <w:szCs w:val="24"/>
          <w:lang w:eastAsia="it-IT"/>
        </w:rPr>
        <w:t xml:space="preserve">One of the seven action lines of the </w:t>
      </w:r>
      <w:r w:rsidRPr="001A3B30">
        <w:rPr>
          <w:rFonts w:cs="Arial"/>
          <w:i/>
          <w:iCs/>
          <w:szCs w:val="24"/>
          <w:lang w:eastAsia="it-IT"/>
        </w:rPr>
        <w:t xml:space="preserve">Primo </w:t>
      </w:r>
      <w:proofErr w:type="spellStart"/>
      <w:r w:rsidRPr="001A3B30">
        <w:rPr>
          <w:rFonts w:cs="Arial"/>
          <w:i/>
          <w:iCs/>
          <w:szCs w:val="24"/>
          <w:lang w:eastAsia="it-IT"/>
        </w:rPr>
        <w:t>programma</w:t>
      </w:r>
      <w:proofErr w:type="spellEnd"/>
      <w:r w:rsidRPr="001A3B30">
        <w:rPr>
          <w:rFonts w:cs="Arial"/>
          <w:i/>
          <w:iCs/>
          <w:szCs w:val="24"/>
          <w:lang w:eastAsia="it-IT"/>
        </w:rPr>
        <w:t xml:space="preserve"> biennale di </w:t>
      </w:r>
      <w:proofErr w:type="spellStart"/>
      <w:r w:rsidRPr="001A3B30">
        <w:rPr>
          <w:rFonts w:cs="Arial"/>
          <w:i/>
          <w:iCs/>
          <w:szCs w:val="24"/>
          <w:lang w:eastAsia="it-IT"/>
        </w:rPr>
        <w:t>azione</w:t>
      </w:r>
      <w:proofErr w:type="spellEnd"/>
      <w:r w:rsidRPr="001A3B30">
        <w:rPr>
          <w:rFonts w:cs="Arial"/>
          <w:i/>
          <w:iCs/>
          <w:szCs w:val="24"/>
          <w:lang w:eastAsia="it-IT"/>
        </w:rPr>
        <w:t xml:space="preserve"> </w:t>
      </w:r>
      <w:proofErr w:type="spellStart"/>
      <w:r w:rsidRPr="001A3B30">
        <w:rPr>
          <w:rFonts w:cs="Arial"/>
          <w:i/>
          <w:iCs/>
          <w:szCs w:val="24"/>
          <w:lang w:eastAsia="it-IT"/>
        </w:rPr>
        <w:t>sulla</w:t>
      </w:r>
      <w:proofErr w:type="spellEnd"/>
      <w:r w:rsidRPr="001A3B30">
        <w:rPr>
          <w:rFonts w:cs="Arial"/>
          <w:i/>
          <w:iCs/>
          <w:szCs w:val="24"/>
          <w:lang w:eastAsia="it-IT"/>
        </w:rPr>
        <w:t xml:space="preserve"> </w:t>
      </w:r>
      <w:proofErr w:type="spellStart"/>
      <w:r w:rsidRPr="001A3B30">
        <w:rPr>
          <w:rFonts w:cs="Arial"/>
          <w:i/>
          <w:iCs/>
          <w:szCs w:val="24"/>
          <w:lang w:eastAsia="it-IT"/>
        </w:rPr>
        <w:t>disabilità</w:t>
      </w:r>
      <w:proofErr w:type="spellEnd"/>
      <w:r w:rsidRPr="001A3B30">
        <w:rPr>
          <w:rFonts w:cs="Arial"/>
          <w:szCs w:val="24"/>
          <w:lang w:eastAsia="it-IT"/>
        </w:rPr>
        <w:t xml:space="preserve">, action line 3 (which is also presented in a more encompassing form in action line 2, ‘Vita </w:t>
      </w:r>
      <w:proofErr w:type="spellStart"/>
      <w:r w:rsidRPr="001A3B30">
        <w:rPr>
          <w:rFonts w:cs="Arial"/>
          <w:szCs w:val="24"/>
          <w:lang w:eastAsia="it-IT"/>
        </w:rPr>
        <w:t>Indipendente</w:t>
      </w:r>
      <w:proofErr w:type="spellEnd"/>
      <w:r w:rsidRPr="001A3B30">
        <w:rPr>
          <w:rFonts w:cs="Arial"/>
          <w:szCs w:val="24"/>
          <w:lang w:eastAsia="it-IT"/>
        </w:rPr>
        <w:t xml:space="preserve"> e </w:t>
      </w:r>
      <w:proofErr w:type="spellStart"/>
      <w:r w:rsidRPr="001A3B30">
        <w:rPr>
          <w:rFonts w:cs="Arial"/>
          <w:szCs w:val="24"/>
          <w:lang w:eastAsia="it-IT"/>
        </w:rPr>
        <w:t>inclusione</w:t>
      </w:r>
      <w:proofErr w:type="spellEnd"/>
      <w:r w:rsidRPr="001A3B30">
        <w:rPr>
          <w:rFonts w:cs="Arial"/>
          <w:szCs w:val="24"/>
          <w:lang w:eastAsia="it-IT"/>
        </w:rPr>
        <w:t xml:space="preserve"> </w:t>
      </w:r>
      <w:proofErr w:type="spellStart"/>
      <w:r w:rsidRPr="001A3B30">
        <w:rPr>
          <w:rFonts w:cs="Arial"/>
          <w:szCs w:val="24"/>
          <w:lang w:eastAsia="it-IT"/>
        </w:rPr>
        <w:t>nella</w:t>
      </w:r>
      <w:proofErr w:type="spellEnd"/>
      <w:r w:rsidRPr="001A3B30">
        <w:rPr>
          <w:rFonts w:cs="Arial"/>
          <w:szCs w:val="24"/>
          <w:lang w:eastAsia="it-IT"/>
        </w:rPr>
        <w:t xml:space="preserve"> </w:t>
      </w:r>
      <w:proofErr w:type="spellStart"/>
      <w:r w:rsidRPr="001A3B30">
        <w:rPr>
          <w:rFonts w:cs="Arial"/>
          <w:szCs w:val="24"/>
          <w:lang w:eastAsia="it-IT"/>
        </w:rPr>
        <w:t>società</w:t>
      </w:r>
      <w:proofErr w:type="spellEnd"/>
      <w:r w:rsidRPr="001A3B30">
        <w:rPr>
          <w:rFonts w:cs="Arial"/>
          <w:szCs w:val="24"/>
          <w:lang w:eastAsia="it-IT"/>
        </w:rPr>
        <w:t>’ (‘Independent living and inclusion in society’), of the Second Biennial National Action Programme on Disability), mainly concerns policies, services and organisational models for independent living and the inclusion of persons with disabilities in society, with the goal of defining some common lines for the implementation of Article 19 of the CRPD by fixing the guiding principles for the granting of funds, interventions and service planning, as well as the drafting of individualised plans. In order to proceed with planning in this direction, the Ministry of Labour and Social Policy started to fund pilot programmes, submitted by regions and autonomous provinces, for the implementation of a uniform intervention model throughout Italy to support independent living and the social inclusion of persons with disabilities. This was done by means of five calls</w:t>
      </w:r>
      <w:r w:rsidRPr="001A3B30">
        <w:rPr>
          <w:rFonts w:cs="Arial"/>
          <w:szCs w:val="24"/>
          <w:vertAlign w:val="superscript"/>
          <w:lang w:eastAsia="it-IT"/>
        </w:rPr>
        <w:footnoteReference w:id="14"/>
      </w:r>
      <w:r w:rsidRPr="001A3B30">
        <w:rPr>
          <w:rFonts w:cs="Arial"/>
          <w:szCs w:val="24"/>
          <w:lang w:eastAsia="it-IT"/>
        </w:rPr>
        <w:t xml:space="preserve">, funded by the FNA. In these calls, it was expected that regions had to activate/make specific announcements directed towards the area of social spheres (under Act 328/2000), with funding of EUR 100 000 per 12 months and with the area social spheres in charge of a co-financing share of </w:t>
      </w:r>
      <w:r w:rsidRPr="001A3B30">
        <w:rPr>
          <w:rFonts w:cs="Arial"/>
          <w:szCs w:val="24"/>
          <w:lang w:eastAsia="it-IT"/>
        </w:rPr>
        <w:lastRenderedPageBreak/>
        <w:t xml:space="preserve">EUR 20 000. The number of territorial scopes (administrative areas) which could be funded in each region was identified on the basis of the resident regional population aged between 18 and 64. The calls required to be discussed with associations of persons with disabilities. Since 2016, a criterion has been introduced in these calls, according to which a 15 % share of the funds for the area social spheres in the regions has had to be devoted to work on training and information systems and to specific actions such as </w:t>
      </w:r>
      <w:r w:rsidRPr="001A3B30">
        <w:rPr>
          <w:rFonts w:cs="Arial"/>
          <w:iCs/>
          <w:szCs w:val="24"/>
          <w:lang w:eastAsia="it-IT"/>
        </w:rPr>
        <w:t>peer counselling</w:t>
      </w:r>
      <w:r w:rsidRPr="001A3B30">
        <w:rPr>
          <w:rFonts w:cs="Arial"/>
          <w:szCs w:val="24"/>
          <w:lang w:eastAsia="it-IT"/>
        </w:rPr>
        <w:t xml:space="preserve"> activities in some regions.</w:t>
      </w:r>
    </w:p>
    <w:p w14:paraId="45A94380" w14:textId="77777777" w:rsidR="001A3B30" w:rsidRPr="001A3B30" w:rsidRDefault="001A3B30" w:rsidP="001A3B30">
      <w:pPr>
        <w:ind w:left="567" w:hanging="567"/>
        <w:jc w:val="both"/>
        <w:rPr>
          <w:rFonts w:cs="Arial"/>
          <w:szCs w:val="24"/>
          <w:lang w:eastAsia="it-IT"/>
        </w:rPr>
      </w:pPr>
    </w:p>
    <w:p w14:paraId="098F62DD" w14:textId="77777777" w:rsidR="001A3B30" w:rsidRPr="001A3B30" w:rsidRDefault="001A3B30" w:rsidP="001A3B30">
      <w:pPr>
        <w:jc w:val="both"/>
        <w:rPr>
          <w:rFonts w:cs="Arial"/>
          <w:szCs w:val="24"/>
          <w:lang w:eastAsia="it-IT"/>
        </w:rPr>
      </w:pPr>
      <w:r w:rsidRPr="001A3B30">
        <w:rPr>
          <w:rFonts w:cs="Arial"/>
          <w:szCs w:val="24"/>
          <w:lang w:eastAsia="it-IT"/>
        </w:rPr>
        <w:t>Call 1 – Guideline for the presentation by the regions of a proposal to join the intervention model trial for independent living and the inclusion in society of persons with disabilities in 2014,</w:t>
      </w:r>
      <w:r w:rsidRPr="001A3B30">
        <w:rPr>
          <w:rFonts w:cs="Arial"/>
          <w:szCs w:val="24"/>
          <w:vertAlign w:val="superscript"/>
          <w:lang w:eastAsia="it-IT"/>
        </w:rPr>
        <w:footnoteReference w:id="15"/>
      </w:r>
      <w:r w:rsidRPr="001A3B30">
        <w:rPr>
          <w:rFonts w:cs="Arial"/>
          <w:szCs w:val="24"/>
          <w:lang w:eastAsia="it-IT"/>
        </w:rPr>
        <w:t xml:space="preserve"> with the FNA devoting EUR 9 987 721.28 to 129 regional territorial scopes. </w:t>
      </w:r>
    </w:p>
    <w:p w14:paraId="5CD07833" w14:textId="77777777" w:rsidR="001A3B30" w:rsidRPr="001A3B30" w:rsidRDefault="001A3B30" w:rsidP="001A3B30">
      <w:pPr>
        <w:jc w:val="both"/>
        <w:rPr>
          <w:rFonts w:cs="Arial"/>
          <w:szCs w:val="24"/>
          <w:lang w:eastAsia="it-IT"/>
        </w:rPr>
      </w:pPr>
      <w:r w:rsidRPr="001A3B30">
        <w:rPr>
          <w:rFonts w:cs="Arial"/>
          <w:szCs w:val="24"/>
          <w:lang w:eastAsia="it-IT"/>
        </w:rPr>
        <w:t>Call 2 – Guideline for the presentation by the regions of a proposal to join the intervention model trial for independent living and the inclusion in society of persons with disabilities in 2015,</w:t>
      </w:r>
      <w:r w:rsidRPr="001A3B30">
        <w:rPr>
          <w:rFonts w:cs="Arial"/>
          <w:szCs w:val="24"/>
          <w:vertAlign w:val="superscript"/>
          <w:lang w:eastAsia="it-IT"/>
        </w:rPr>
        <w:footnoteReference w:id="16"/>
      </w:r>
      <w:r w:rsidRPr="001A3B30">
        <w:rPr>
          <w:rFonts w:cs="Arial"/>
          <w:szCs w:val="24"/>
          <w:lang w:eastAsia="it-IT"/>
        </w:rPr>
        <w:t xml:space="preserve"> with the FNA devoting EUR 9 987 721.28 to 128 regional territorial scopes.</w:t>
      </w:r>
    </w:p>
    <w:p w14:paraId="44A0140B" w14:textId="77777777" w:rsidR="001A3B30" w:rsidRPr="001A3B30" w:rsidRDefault="001A3B30" w:rsidP="001A3B30">
      <w:pPr>
        <w:jc w:val="both"/>
        <w:rPr>
          <w:rFonts w:cs="Arial"/>
          <w:szCs w:val="24"/>
          <w:lang w:eastAsia="it-IT"/>
        </w:rPr>
      </w:pPr>
      <w:r w:rsidRPr="001A3B30">
        <w:rPr>
          <w:rFonts w:cs="Arial"/>
          <w:szCs w:val="24"/>
          <w:lang w:eastAsia="it-IT"/>
        </w:rPr>
        <w:t>Call 3 – Guideline for the presentation by the regions of a proposal to join the intervention model trial for independent living and the inclusion in society of persons with disabilities in 2016, with the FNA devoting approximately EUR 10 million to 187 regional territorial scopes.</w:t>
      </w:r>
    </w:p>
    <w:p w14:paraId="4C2DC9D4" w14:textId="77777777" w:rsidR="001A3B30" w:rsidRPr="001A3B30" w:rsidRDefault="001A3B30" w:rsidP="001A3B30">
      <w:pPr>
        <w:jc w:val="both"/>
        <w:rPr>
          <w:rFonts w:cs="Arial"/>
          <w:szCs w:val="24"/>
          <w:lang w:eastAsia="it-IT"/>
        </w:rPr>
      </w:pPr>
      <w:r w:rsidRPr="001A3B30">
        <w:rPr>
          <w:rFonts w:cs="Arial"/>
          <w:szCs w:val="24"/>
          <w:lang w:eastAsia="it-IT"/>
        </w:rPr>
        <w:t>Call 4 – Guideline for the presentation by the regions of a proposal to join the intervention model trial for independent living and the inclusion in society of persons with disabilities in 2017,</w:t>
      </w:r>
      <w:r w:rsidRPr="001A3B30">
        <w:rPr>
          <w:rFonts w:cs="Arial"/>
          <w:szCs w:val="24"/>
          <w:vertAlign w:val="superscript"/>
          <w:lang w:eastAsia="it-IT"/>
        </w:rPr>
        <w:footnoteReference w:id="17"/>
      </w:r>
      <w:r w:rsidRPr="001A3B30">
        <w:rPr>
          <w:rFonts w:cs="Arial"/>
          <w:szCs w:val="24"/>
          <w:lang w:eastAsia="it-IT"/>
        </w:rPr>
        <w:t xml:space="preserve"> with the FNA devoting approximately EUR 15 million to 187 regional territorial scopes.</w:t>
      </w:r>
    </w:p>
    <w:p w14:paraId="13A4B012" w14:textId="77777777" w:rsidR="001A3B30" w:rsidRPr="001A3B30" w:rsidRDefault="001A3B30" w:rsidP="001A3B30">
      <w:pPr>
        <w:jc w:val="both"/>
        <w:rPr>
          <w:rFonts w:cs="Arial"/>
          <w:szCs w:val="24"/>
          <w:lang w:eastAsia="it-IT"/>
        </w:rPr>
      </w:pPr>
      <w:r w:rsidRPr="001A3B30">
        <w:rPr>
          <w:rFonts w:cs="Arial"/>
          <w:szCs w:val="24"/>
          <w:lang w:eastAsia="it-IT"/>
        </w:rPr>
        <w:t>Call 5 – Guideline for the presentation by the regions of a proposal to join the intervention model trial for independent living and the inclusion in society of persons with disabilities in 2018,</w:t>
      </w:r>
      <w:r w:rsidRPr="001A3B30">
        <w:rPr>
          <w:rFonts w:cs="Arial"/>
          <w:szCs w:val="24"/>
          <w:vertAlign w:val="superscript"/>
          <w:lang w:eastAsia="it-IT"/>
        </w:rPr>
        <w:footnoteReference w:id="18"/>
      </w:r>
      <w:r w:rsidRPr="001A3B30">
        <w:rPr>
          <w:rFonts w:cs="Arial"/>
          <w:szCs w:val="24"/>
          <w:lang w:eastAsia="it-IT"/>
        </w:rPr>
        <w:t xml:space="preserve"> with the FNA devoting approximately EUR 15 million to 187 regional territorial scopes. This has not yet been activated.</w:t>
      </w:r>
    </w:p>
    <w:p w14:paraId="30036527" w14:textId="77777777" w:rsidR="001A3B30" w:rsidRPr="001A3B30" w:rsidRDefault="001A3B30" w:rsidP="001A3B30">
      <w:pPr>
        <w:jc w:val="both"/>
        <w:rPr>
          <w:rFonts w:cs="Arial"/>
          <w:szCs w:val="24"/>
          <w:lang w:eastAsia="it-IT"/>
        </w:rPr>
      </w:pPr>
    </w:p>
    <w:p w14:paraId="0D4C4F01" w14:textId="196837E6" w:rsidR="001A3B30" w:rsidRPr="001A3B30" w:rsidRDefault="001A3B30" w:rsidP="001A3B30">
      <w:pPr>
        <w:jc w:val="both"/>
        <w:rPr>
          <w:rFonts w:cs="Arial"/>
          <w:szCs w:val="24"/>
          <w:lang w:eastAsia="it-IT"/>
        </w:rPr>
      </w:pPr>
      <w:r w:rsidRPr="001A3B30">
        <w:rPr>
          <w:rFonts w:cs="Arial"/>
          <w:szCs w:val="24"/>
          <w:lang w:eastAsia="it-IT"/>
        </w:rPr>
        <w:t>The passing of Act 112/2016</w:t>
      </w:r>
      <w:r w:rsidRPr="001A3B30">
        <w:rPr>
          <w:rFonts w:cs="Arial"/>
          <w:vertAlign w:val="superscript"/>
          <w:lang w:eastAsia="it-IT"/>
        </w:rPr>
        <w:footnoteReference w:id="19"/>
      </w:r>
      <w:r w:rsidRPr="001A3B30">
        <w:rPr>
          <w:rFonts w:cs="Arial"/>
          <w:szCs w:val="24"/>
          <w:lang w:eastAsia="it-IT"/>
        </w:rPr>
        <w:t xml:space="preserve"> made it possible to identify interventions for persons in greater need of support who do not have family help. The law provides for ‘micro-apartments’ with a management structure similar to that provided for family accommodation. Alternatively, people may continue living in their own environment if they have adequate support. The initial endowment, in 2016, was of EUR 90 million, which went down to EUR 38.3 million in 2017 and then reached a stable level of </w:t>
      </w:r>
      <w:r w:rsidR="008E0D83">
        <w:rPr>
          <w:rFonts w:cs="Arial"/>
          <w:szCs w:val="24"/>
          <w:lang w:eastAsia="it-IT"/>
        </w:rPr>
        <w:t>€</w:t>
      </w:r>
      <w:r w:rsidRPr="001A3B30">
        <w:rPr>
          <w:rFonts w:cs="Arial"/>
          <w:szCs w:val="24"/>
          <w:lang w:eastAsia="it-IT"/>
        </w:rPr>
        <w:t xml:space="preserve"> 56.1 million from 2018 onwards. On the basis of the resident population and other heterogeneous criteria, regions issued their own announcements, for which there is still no monitoring process. </w:t>
      </w:r>
    </w:p>
    <w:p w14:paraId="437F97EE" w14:textId="349700F5" w:rsidR="001A3B30" w:rsidRDefault="001A3B30" w:rsidP="001A3B30">
      <w:pPr>
        <w:ind w:left="567" w:hanging="567"/>
        <w:jc w:val="both"/>
        <w:rPr>
          <w:rFonts w:ascii="Times New Roman" w:hAnsi="Times New Roman"/>
          <w:b/>
          <w:bCs/>
          <w:szCs w:val="24"/>
          <w:lang w:eastAsia="it-IT"/>
        </w:rPr>
      </w:pPr>
    </w:p>
    <w:p w14:paraId="200C83BC" w14:textId="77777777" w:rsidR="001D4E07" w:rsidRPr="001A3B30" w:rsidRDefault="001D4E07" w:rsidP="001A3B30">
      <w:pPr>
        <w:ind w:left="567" w:hanging="567"/>
        <w:jc w:val="both"/>
        <w:rPr>
          <w:rFonts w:ascii="Times New Roman" w:hAnsi="Times New Roman"/>
          <w:b/>
          <w:bCs/>
          <w:szCs w:val="24"/>
          <w:lang w:eastAsia="it-IT"/>
        </w:rPr>
      </w:pPr>
    </w:p>
    <w:p w14:paraId="08131481" w14:textId="1B2676C6" w:rsidR="001A3B30" w:rsidRDefault="00E86322" w:rsidP="001A3B30">
      <w:pPr>
        <w:pStyle w:val="Heading2"/>
        <w:rPr>
          <w:u w:color="000000"/>
          <w:bdr w:val="nil"/>
          <w:lang w:eastAsia="it-IT"/>
        </w:rPr>
      </w:pPr>
      <w:bookmarkStart w:id="15" w:name="_Toc5724448"/>
      <w:r w:rsidRPr="001A3B30">
        <w:rPr>
          <w:u w:color="000000"/>
          <w:bdr w:val="nil"/>
          <w:lang w:eastAsia="it-IT"/>
        </w:rPr>
        <w:lastRenderedPageBreak/>
        <w:t>Summary of relevant projects funded</w:t>
      </w:r>
      <w:bookmarkEnd w:id="15"/>
    </w:p>
    <w:p w14:paraId="2DA75B9A" w14:textId="77777777" w:rsidR="001D4E07" w:rsidRDefault="001D4E07" w:rsidP="001D4E07">
      <w:pPr>
        <w:rPr>
          <w:lang w:eastAsia="it-IT" w:bidi="en-US"/>
        </w:rPr>
      </w:pPr>
    </w:p>
    <w:p w14:paraId="1D233CE6" w14:textId="73189017" w:rsidR="008E0D83" w:rsidRDefault="008E0D83" w:rsidP="00C13131">
      <w:pPr>
        <w:jc w:val="both"/>
        <w:rPr>
          <w:lang w:eastAsia="it-IT" w:bidi="en-US"/>
        </w:rPr>
      </w:pPr>
      <w:r w:rsidRPr="0085596D">
        <w:rPr>
          <w:lang w:eastAsia="it-IT" w:bidi="en-US"/>
        </w:rPr>
        <w:t xml:space="preserve">The </w:t>
      </w:r>
      <w:r w:rsidR="00C13131" w:rsidRPr="0085596D">
        <w:rPr>
          <w:lang w:eastAsia="it-IT" w:bidi="en-US"/>
        </w:rPr>
        <w:t>A</w:t>
      </w:r>
      <w:r w:rsidRPr="0085596D">
        <w:rPr>
          <w:lang w:eastAsia="it-IT" w:bidi="en-US"/>
        </w:rPr>
        <w:t xml:space="preserve">ct </w:t>
      </w:r>
      <w:r w:rsidR="00C13131" w:rsidRPr="0085596D">
        <w:rPr>
          <w:lang w:eastAsia="it-IT" w:bidi="en-US"/>
        </w:rPr>
        <w:t>No.</w:t>
      </w:r>
      <w:r w:rsidRPr="0085596D">
        <w:rPr>
          <w:lang w:eastAsia="it-IT" w:bidi="en-US"/>
        </w:rPr>
        <w:t xml:space="preserve"> 112</w:t>
      </w:r>
      <w:r w:rsidR="00C13131" w:rsidRPr="0085596D">
        <w:rPr>
          <w:lang w:eastAsia="it-IT" w:bidi="en-US"/>
        </w:rPr>
        <w:t xml:space="preserve"> of </w:t>
      </w:r>
      <w:r w:rsidRPr="0085596D">
        <w:rPr>
          <w:lang w:eastAsia="it-IT" w:bidi="en-US"/>
        </w:rPr>
        <w:t>2016 finance</w:t>
      </w:r>
      <w:r w:rsidR="00C13131" w:rsidRPr="0085596D">
        <w:rPr>
          <w:lang w:eastAsia="it-IT" w:bidi="en-US"/>
        </w:rPr>
        <w:t>s</w:t>
      </w:r>
      <w:r w:rsidRPr="0085596D">
        <w:rPr>
          <w:lang w:eastAsia="it-IT" w:bidi="en-US"/>
        </w:rPr>
        <w:t xml:space="preserve"> personalised projects for persons with high level of condition of disability</w:t>
      </w:r>
      <w:r w:rsidR="00C13131" w:rsidRPr="0085596D">
        <w:rPr>
          <w:lang w:eastAsia="it-IT" w:bidi="en-US"/>
        </w:rPr>
        <w:t xml:space="preserve">, where </w:t>
      </w:r>
      <w:r w:rsidRPr="0085596D">
        <w:rPr>
          <w:lang w:eastAsia="it-IT" w:bidi="en-US"/>
        </w:rPr>
        <w:t xml:space="preserve">the family </w:t>
      </w:r>
      <w:r w:rsidR="00133840" w:rsidRPr="0085596D">
        <w:rPr>
          <w:lang w:eastAsia="it-IT" w:bidi="en-US"/>
        </w:rPr>
        <w:t>not have yet</w:t>
      </w:r>
      <w:r w:rsidRPr="0085596D">
        <w:rPr>
          <w:lang w:eastAsia="it-IT" w:bidi="en-US"/>
        </w:rPr>
        <w:t xml:space="preserve"> the capacity to assist</w:t>
      </w:r>
      <w:r w:rsidR="00133840" w:rsidRPr="0085596D">
        <w:rPr>
          <w:lang w:eastAsia="it-IT" w:bidi="en-US"/>
        </w:rPr>
        <w:t>, to prevent i</w:t>
      </w:r>
      <w:r w:rsidR="00C31032" w:rsidRPr="0085596D">
        <w:rPr>
          <w:lang w:eastAsia="it-IT" w:bidi="en-US"/>
        </w:rPr>
        <w:t>n</w:t>
      </w:r>
      <w:r w:rsidR="00133840" w:rsidRPr="0085596D">
        <w:rPr>
          <w:lang w:eastAsia="it-IT" w:bidi="en-US"/>
        </w:rPr>
        <w:t>stitutionali</w:t>
      </w:r>
      <w:r w:rsidR="00C31032" w:rsidRPr="0085596D">
        <w:rPr>
          <w:lang w:eastAsia="it-IT" w:bidi="en-US"/>
        </w:rPr>
        <w:t>s</w:t>
      </w:r>
      <w:r w:rsidR="00133840" w:rsidRPr="0085596D">
        <w:rPr>
          <w:lang w:eastAsia="it-IT" w:bidi="en-US"/>
        </w:rPr>
        <w:t>ation</w:t>
      </w:r>
      <w:r w:rsidR="00B1034F" w:rsidRPr="0085596D">
        <w:rPr>
          <w:lang w:eastAsia="it-IT" w:bidi="en-US"/>
        </w:rPr>
        <w:t>; Sardi</w:t>
      </w:r>
      <w:r w:rsidRPr="0085596D">
        <w:rPr>
          <w:lang w:eastAsia="it-IT" w:bidi="en-US"/>
        </w:rPr>
        <w:t>n</w:t>
      </w:r>
      <w:r w:rsidR="00B1034F" w:rsidRPr="0085596D">
        <w:rPr>
          <w:lang w:eastAsia="it-IT" w:bidi="en-US"/>
        </w:rPr>
        <w:t>i</w:t>
      </w:r>
      <w:r w:rsidRPr="0085596D">
        <w:rPr>
          <w:lang w:eastAsia="it-IT" w:bidi="en-US"/>
        </w:rPr>
        <w:t xml:space="preserve">a region invest €110 million for 35.000 personalised projects; Umbria region utilise 2,4. </w:t>
      </w:r>
      <w:r w:rsidR="00C13131" w:rsidRPr="0085596D">
        <w:rPr>
          <w:lang w:eastAsia="it-IT" w:bidi="en-US"/>
        </w:rPr>
        <w:t>m</w:t>
      </w:r>
      <w:r w:rsidRPr="0085596D">
        <w:rPr>
          <w:lang w:eastAsia="it-IT" w:bidi="en-US"/>
        </w:rPr>
        <w:t>illion from the EU structural funds to reform the regional welfare to</w:t>
      </w:r>
      <w:r w:rsidR="008C3835" w:rsidRPr="0085596D">
        <w:rPr>
          <w:lang w:eastAsia="it-IT" w:bidi="en-US"/>
        </w:rPr>
        <w:t>wards</w:t>
      </w:r>
      <w:r w:rsidRPr="0085596D">
        <w:rPr>
          <w:lang w:eastAsia="it-IT" w:bidi="en-US"/>
        </w:rPr>
        <w:t xml:space="preserve"> </w:t>
      </w:r>
      <w:r w:rsidR="008C3835" w:rsidRPr="0085596D">
        <w:rPr>
          <w:lang w:eastAsia="it-IT" w:bidi="en-US"/>
        </w:rPr>
        <w:t xml:space="preserve">independent living </w:t>
      </w:r>
      <w:r w:rsidR="00C31032" w:rsidRPr="0085596D">
        <w:rPr>
          <w:lang w:eastAsia="it-IT" w:bidi="en-US"/>
        </w:rPr>
        <w:t xml:space="preserve">support. These are the main </w:t>
      </w:r>
      <w:r w:rsidR="008C3835" w:rsidRPr="0085596D">
        <w:rPr>
          <w:lang w:eastAsia="it-IT" w:bidi="en-US"/>
        </w:rPr>
        <w:t>project</w:t>
      </w:r>
      <w:r w:rsidR="00C31032" w:rsidRPr="0085596D">
        <w:rPr>
          <w:lang w:eastAsia="it-IT" w:bidi="en-US"/>
        </w:rPr>
        <w:t>s</w:t>
      </w:r>
      <w:r w:rsidR="008C3835" w:rsidRPr="0085596D">
        <w:rPr>
          <w:lang w:eastAsia="it-IT" w:bidi="en-US"/>
        </w:rPr>
        <w:t>:</w:t>
      </w:r>
    </w:p>
    <w:p w14:paraId="133B92A2" w14:textId="77777777" w:rsidR="00C13131" w:rsidRPr="001D4E07" w:rsidRDefault="00C13131" w:rsidP="001D4E07">
      <w:pPr>
        <w:rPr>
          <w:lang w:eastAsia="it-IT" w:bidi="en-US"/>
        </w:rPr>
      </w:pPr>
    </w:p>
    <w:p w14:paraId="5F0651CF" w14:textId="78113234" w:rsidR="001A3B30" w:rsidRPr="001A3B30" w:rsidRDefault="001A3B30" w:rsidP="001A3B30">
      <w:pPr>
        <w:numPr>
          <w:ilvl w:val="0"/>
          <w:numId w:val="13"/>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Ministry of Labour and Social Policy: </w:t>
      </w:r>
      <w:r w:rsidRPr="001A3B30">
        <w:rPr>
          <w:rFonts w:eastAsia="Arial" w:cs="Arial"/>
          <w:i/>
          <w:iCs/>
          <w:color w:val="000000"/>
          <w:szCs w:val="24"/>
          <w:u w:color="000000"/>
          <w:bdr w:val="nil"/>
          <w:lang w:eastAsia="it-IT"/>
        </w:rPr>
        <w:t xml:space="preserve">Vita </w:t>
      </w:r>
      <w:proofErr w:type="spellStart"/>
      <w:r w:rsidRPr="001A3B30">
        <w:rPr>
          <w:rFonts w:eastAsia="Arial" w:cs="Arial"/>
          <w:i/>
          <w:iCs/>
          <w:color w:val="000000"/>
          <w:szCs w:val="24"/>
          <w:u w:color="000000"/>
          <w:bdr w:val="nil"/>
          <w:lang w:eastAsia="it-IT"/>
        </w:rPr>
        <w:t>Indipendente</w:t>
      </w:r>
      <w:proofErr w:type="spellEnd"/>
      <w:r w:rsidRPr="001A3B30">
        <w:rPr>
          <w:rFonts w:eastAsia="Arial" w:cs="Arial"/>
          <w:color w:val="000000"/>
          <w:szCs w:val="24"/>
          <w:u w:color="000000"/>
          <w:bdr w:val="nil"/>
          <w:lang w:eastAsia="it-IT"/>
        </w:rPr>
        <w:t xml:space="preserve"> programme (</w:t>
      </w:r>
      <w:r w:rsidR="00D134F3">
        <w:rPr>
          <w:rFonts w:eastAsia="Arial" w:cs="Arial"/>
          <w:color w:val="000000"/>
          <w:szCs w:val="24"/>
          <w:u w:color="000000"/>
          <w:bdr w:val="nil"/>
          <w:lang w:eastAsia="it-IT"/>
        </w:rPr>
        <w:t xml:space="preserve">see point </w:t>
      </w:r>
      <w:r w:rsidRPr="001A3B30">
        <w:rPr>
          <w:rFonts w:eastAsia="Arial" w:cs="Arial"/>
          <w:color w:val="000000"/>
          <w:szCs w:val="24"/>
          <w:u w:color="000000"/>
          <w:bdr w:val="nil"/>
          <w:lang w:eastAsia="it-IT"/>
        </w:rPr>
        <w:t>3.1);</w:t>
      </w:r>
    </w:p>
    <w:p w14:paraId="107D4DD7" w14:textId="77777777" w:rsidR="001A3B30" w:rsidRPr="001A3B30" w:rsidRDefault="001A3B30" w:rsidP="001A3B30">
      <w:pPr>
        <w:numPr>
          <w:ilvl w:val="0"/>
          <w:numId w:val="13"/>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Act No 112/2016: funding to support persons with serious disability without family support (3.1);</w:t>
      </w:r>
    </w:p>
    <w:p w14:paraId="321FEA34" w14:textId="77777777" w:rsidR="001A3B30" w:rsidRPr="001A3B30" w:rsidRDefault="001A3B30" w:rsidP="001A3B30">
      <w:pPr>
        <w:numPr>
          <w:ilvl w:val="0"/>
          <w:numId w:val="13"/>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Sardinia: personalised plans for persons with disabilities in need of a high level of care, in accordance with national Act No 162/1998(8); </w:t>
      </w:r>
    </w:p>
    <w:p w14:paraId="0D68901B" w14:textId="77777777" w:rsidR="001A3B30" w:rsidRPr="001A3B30" w:rsidRDefault="001A3B30" w:rsidP="001A3B30">
      <w:pPr>
        <w:numPr>
          <w:ilvl w:val="0"/>
          <w:numId w:val="13"/>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Sardinia: </w:t>
      </w:r>
      <w:proofErr w:type="spellStart"/>
      <w:r w:rsidRPr="001A3B30">
        <w:rPr>
          <w:rFonts w:eastAsia="Arial" w:cs="Arial"/>
          <w:i/>
          <w:iCs/>
          <w:color w:val="000000"/>
          <w:szCs w:val="24"/>
          <w:u w:color="000000"/>
          <w:bdr w:val="nil"/>
          <w:lang w:eastAsia="it-IT"/>
        </w:rPr>
        <w:t>Ritornare</w:t>
      </w:r>
      <w:proofErr w:type="spellEnd"/>
      <w:r w:rsidRPr="001A3B30">
        <w:rPr>
          <w:rFonts w:eastAsia="Arial" w:cs="Arial"/>
          <w:i/>
          <w:iCs/>
          <w:color w:val="000000"/>
          <w:szCs w:val="24"/>
          <w:u w:color="000000"/>
          <w:bdr w:val="nil"/>
          <w:lang w:eastAsia="it-IT"/>
        </w:rPr>
        <w:t xml:space="preserve"> in </w:t>
      </w:r>
      <w:proofErr w:type="spellStart"/>
      <w:r w:rsidRPr="001A3B30">
        <w:rPr>
          <w:rFonts w:eastAsia="Arial" w:cs="Arial"/>
          <w:i/>
          <w:iCs/>
          <w:color w:val="000000"/>
          <w:szCs w:val="24"/>
          <w:u w:color="000000"/>
          <w:bdr w:val="nil"/>
          <w:lang w:eastAsia="it-IT"/>
        </w:rPr>
        <w:t>famiglia</w:t>
      </w:r>
      <w:proofErr w:type="spellEnd"/>
      <w:r w:rsidRPr="001A3B30">
        <w:rPr>
          <w:rFonts w:eastAsia="Arial" w:cs="Arial"/>
          <w:color w:val="000000"/>
          <w:szCs w:val="24"/>
          <w:u w:color="000000"/>
          <w:bdr w:val="nil"/>
          <w:lang w:eastAsia="it-IT"/>
        </w:rPr>
        <w:t xml:space="preserve"> programme under regional Act No 4/2006(8); </w:t>
      </w:r>
    </w:p>
    <w:p w14:paraId="7F6D0CA9" w14:textId="77777777" w:rsidR="001A3B30" w:rsidRPr="001A3B30" w:rsidRDefault="001A3B30" w:rsidP="001A3B30">
      <w:pPr>
        <w:numPr>
          <w:ilvl w:val="0"/>
          <w:numId w:val="13"/>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Umbria: ‘</w:t>
      </w:r>
      <w:proofErr w:type="spellStart"/>
      <w:r w:rsidRPr="001A3B30">
        <w:rPr>
          <w:rFonts w:eastAsia="Arial" w:cs="Arial"/>
          <w:color w:val="000000"/>
          <w:szCs w:val="24"/>
          <w:u w:color="000000"/>
          <w:bdr w:val="nil"/>
          <w:lang w:eastAsia="it-IT"/>
        </w:rPr>
        <w:t>Vado</w:t>
      </w:r>
      <w:proofErr w:type="spellEnd"/>
      <w:r w:rsidRPr="001A3B30">
        <w:rPr>
          <w:rFonts w:eastAsia="Arial" w:cs="Arial"/>
          <w:color w:val="000000"/>
          <w:szCs w:val="24"/>
          <w:u w:color="000000"/>
          <w:bdr w:val="nil"/>
          <w:lang w:eastAsia="it-IT"/>
        </w:rPr>
        <w:t xml:space="preserve"> a vivere da solo’ project on European structural funds (8).</w:t>
      </w:r>
    </w:p>
    <w:p w14:paraId="158B99B8" w14:textId="77777777" w:rsidR="001A3B30" w:rsidRPr="001A3B30" w:rsidRDefault="001A3B30" w:rsidP="001A3B30">
      <w:pPr>
        <w:jc w:val="both"/>
        <w:rPr>
          <w:rFonts w:ascii="Times New Roman" w:hAnsi="Times New Roman"/>
          <w:b/>
          <w:bCs/>
          <w:szCs w:val="24"/>
          <w:lang w:eastAsia="it-IT"/>
        </w:rPr>
      </w:pPr>
    </w:p>
    <w:p w14:paraId="2794F818" w14:textId="77777777" w:rsidR="00000C42" w:rsidRPr="001A3B30" w:rsidRDefault="00E86322" w:rsidP="00000C42">
      <w:pPr>
        <w:pStyle w:val="Heading2"/>
        <w:rPr>
          <w:u w:color="000000"/>
          <w:bdr w:val="nil"/>
          <w:lang w:eastAsia="it-IT"/>
        </w:rPr>
      </w:pPr>
      <w:bookmarkStart w:id="16" w:name="_Toc5724449"/>
      <w:r w:rsidRPr="001A3B30">
        <w:rPr>
          <w:u w:color="000000"/>
          <w:bdr w:val="nil"/>
          <w:lang w:eastAsia="it-IT"/>
        </w:rPr>
        <w:t>Overview of other relevant measures since 2013</w:t>
      </w:r>
      <w:bookmarkEnd w:id="16"/>
    </w:p>
    <w:p w14:paraId="18FE78CD" w14:textId="77777777" w:rsidR="001A3B30" w:rsidRPr="001A3B30" w:rsidRDefault="001A3B30" w:rsidP="001A3B30">
      <w:pPr>
        <w:rPr>
          <w:rFonts w:ascii="Times New Roman" w:hAnsi="Times New Roman"/>
          <w:szCs w:val="24"/>
          <w:lang w:eastAsia="it-IT"/>
        </w:rPr>
      </w:pPr>
    </w:p>
    <w:p w14:paraId="756D2045" w14:textId="77777777" w:rsidR="001A3B30" w:rsidRPr="001A3B30" w:rsidRDefault="001A3B30" w:rsidP="001A3B30">
      <w:pPr>
        <w:jc w:val="both"/>
        <w:rPr>
          <w:rFonts w:cs="Arial"/>
          <w:color w:val="191919"/>
          <w:szCs w:val="24"/>
          <w:u w:color="191919"/>
          <w:lang w:eastAsia="it-IT"/>
        </w:rPr>
      </w:pPr>
      <w:r w:rsidRPr="001A3B30">
        <w:rPr>
          <w:rFonts w:cs="Arial"/>
          <w:color w:val="191919"/>
          <w:szCs w:val="24"/>
          <w:u w:color="191919"/>
          <w:lang w:eastAsia="it-IT"/>
        </w:rPr>
        <w:t>Beyond those already mentioned, there are no specific significant measures, either national or regional.</w:t>
      </w:r>
    </w:p>
    <w:p w14:paraId="767BE210" w14:textId="77777777" w:rsidR="001A3B30" w:rsidRPr="001A3B30" w:rsidRDefault="001A3B30" w:rsidP="001A3B30">
      <w:pPr>
        <w:jc w:val="both"/>
        <w:rPr>
          <w:rFonts w:ascii="Times New Roman" w:hAnsi="Times New Roman"/>
          <w:b/>
          <w:bCs/>
          <w:szCs w:val="24"/>
          <w:lang w:eastAsia="it-IT"/>
        </w:rPr>
      </w:pPr>
    </w:p>
    <w:p w14:paraId="099C6857" w14:textId="0496456D" w:rsidR="00000C42" w:rsidRDefault="00E86322" w:rsidP="00000C42">
      <w:pPr>
        <w:pStyle w:val="Heading2"/>
        <w:rPr>
          <w:u w:color="000000"/>
          <w:bdr w:val="nil"/>
          <w:lang w:eastAsia="it-IT"/>
        </w:rPr>
      </w:pPr>
      <w:bookmarkStart w:id="17" w:name="_Toc5724450"/>
      <w:r w:rsidRPr="001A3B30">
        <w:rPr>
          <w:u w:color="000000"/>
          <w:bdr w:val="nil"/>
          <w:lang w:eastAsia="it-IT"/>
        </w:rPr>
        <w:t>Monitoring mechanisms and approaches</w:t>
      </w:r>
      <w:bookmarkEnd w:id="17"/>
    </w:p>
    <w:p w14:paraId="13F208B1" w14:textId="77777777" w:rsidR="0085596D" w:rsidRPr="0085596D" w:rsidRDefault="0085596D" w:rsidP="0085596D">
      <w:pPr>
        <w:rPr>
          <w:lang w:eastAsia="it-IT" w:bidi="en-US"/>
        </w:rPr>
      </w:pPr>
    </w:p>
    <w:p w14:paraId="644C2E6F" w14:textId="77777777" w:rsidR="00000C42" w:rsidRPr="001A3B30" w:rsidRDefault="00E86322" w:rsidP="00000C42">
      <w:pPr>
        <w:pStyle w:val="Heading3"/>
        <w:rPr>
          <w:u w:color="000000"/>
          <w:bdr w:val="nil"/>
          <w:lang w:eastAsia="it-IT"/>
        </w:rPr>
      </w:pPr>
      <w:r w:rsidRPr="001A3B30">
        <w:rPr>
          <w:u w:color="000000"/>
          <w:bdr w:val="nil"/>
          <w:lang w:eastAsia="it-IT"/>
        </w:rPr>
        <w:t>Monitoring mechanism(s)</w:t>
      </w:r>
    </w:p>
    <w:p w14:paraId="599E457E" w14:textId="77777777" w:rsidR="001A3B30" w:rsidRPr="001A3B30" w:rsidRDefault="001A3B30" w:rsidP="001A3B30">
      <w:pPr>
        <w:rPr>
          <w:rFonts w:ascii="Times New Roman" w:hAnsi="Times New Roman"/>
          <w:szCs w:val="24"/>
          <w:lang w:eastAsia="it-IT"/>
        </w:rPr>
      </w:pPr>
    </w:p>
    <w:p w14:paraId="27DCE591" w14:textId="77777777" w:rsidR="001A3B30" w:rsidRPr="001A3B30" w:rsidRDefault="001A3B30" w:rsidP="001A3B30">
      <w:pPr>
        <w:jc w:val="both"/>
        <w:rPr>
          <w:rFonts w:cs="Arial"/>
          <w:szCs w:val="24"/>
          <w:lang w:eastAsia="it-IT"/>
        </w:rPr>
      </w:pPr>
      <w:r w:rsidRPr="001A3B30">
        <w:rPr>
          <w:rFonts w:cs="Arial"/>
          <w:szCs w:val="24"/>
          <w:lang w:eastAsia="it-IT"/>
        </w:rPr>
        <w:t>Italy has neither developed nor implemented a specific monitoring system for policies and deinstitutionalisation actions or, more generally, to fulfil the requirements of Article 19 of the CRPD, in accordance with Article 31 of the Convention (4.1).</w:t>
      </w:r>
    </w:p>
    <w:p w14:paraId="605FA9A4" w14:textId="77777777" w:rsidR="001A3B30" w:rsidRPr="001A3B30" w:rsidRDefault="001A3B30" w:rsidP="001A3B30">
      <w:pPr>
        <w:jc w:val="both"/>
        <w:rPr>
          <w:rFonts w:ascii="Times New Roman" w:hAnsi="Times New Roman"/>
          <w:szCs w:val="24"/>
          <w:lang w:eastAsia="it-IT"/>
        </w:rPr>
      </w:pPr>
    </w:p>
    <w:p w14:paraId="50FBDABC" w14:textId="352BAC14" w:rsidR="00000C42" w:rsidRPr="001A3B30" w:rsidRDefault="00E86322" w:rsidP="00000C42">
      <w:pPr>
        <w:pStyle w:val="Heading3"/>
        <w:rPr>
          <w:u w:color="000000"/>
          <w:bdr w:val="nil"/>
          <w:lang w:eastAsia="it-IT"/>
        </w:rPr>
      </w:pPr>
      <w:r w:rsidRPr="001A3B30">
        <w:rPr>
          <w:u w:color="000000"/>
          <w:bdr w:val="nil"/>
          <w:lang w:eastAsia="it-IT"/>
        </w:rPr>
        <w:t>Measurement and data collection</w:t>
      </w:r>
    </w:p>
    <w:p w14:paraId="69033630" w14:textId="77777777" w:rsidR="001A3B30" w:rsidRPr="001A3B30" w:rsidRDefault="001A3B30" w:rsidP="001A3B30">
      <w:pPr>
        <w:rPr>
          <w:rFonts w:ascii="Times New Roman" w:hAnsi="Times New Roman"/>
          <w:szCs w:val="24"/>
          <w:lang w:eastAsia="it-IT"/>
        </w:rPr>
      </w:pPr>
    </w:p>
    <w:p w14:paraId="3B42ABC0" w14:textId="77777777" w:rsidR="001A3B30" w:rsidRPr="001A3B30" w:rsidRDefault="001A3B30" w:rsidP="001A3B30">
      <w:pPr>
        <w:jc w:val="both"/>
        <w:rPr>
          <w:rFonts w:cs="Arial"/>
          <w:szCs w:val="24"/>
          <w:lang w:eastAsia="it-IT"/>
        </w:rPr>
      </w:pPr>
      <w:r w:rsidRPr="001A3B30">
        <w:rPr>
          <w:rFonts w:cs="Arial"/>
          <w:szCs w:val="24"/>
          <w:lang w:eastAsia="it-IT"/>
        </w:rPr>
        <w:t>The available data that may be used in some way in relation to Article 19 of the CRPD come from different institutions, are collected in different ways and, as a rule, are collected using methods and systems whose goal is the simple quantitative monitoring of public expenditure (4.1).</w:t>
      </w:r>
    </w:p>
    <w:p w14:paraId="07C3B633" w14:textId="77777777" w:rsidR="001A3B30" w:rsidRPr="001A3B30" w:rsidRDefault="001A3B30" w:rsidP="001A3B30">
      <w:pPr>
        <w:jc w:val="both"/>
        <w:rPr>
          <w:rFonts w:ascii="Times New Roman" w:hAnsi="Times New Roman"/>
          <w:b/>
          <w:bCs/>
          <w:szCs w:val="24"/>
          <w:lang w:eastAsia="it-IT"/>
        </w:rPr>
      </w:pPr>
    </w:p>
    <w:p w14:paraId="7A318702" w14:textId="77777777" w:rsidR="00000C42" w:rsidRPr="001A3B30" w:rsidRDefault="00E86322" w:rsidP="00000C42">
      <w:pPr>
        <w:pStyle w:val="Heading1"/>
        <w:rPr>
          <w:u w:color="000000"/>
          <w:bdr w:val="nil"/>
          <w:lang w:eastAsia="it-IT"/>
        </w:rPr>
      </w:pPr>
      <w:bookmarkStart w:id="18" w:name="_Toc5724451"/>
      <w:r w:rsidRPr="001A3B30">
        <w:rPr>
          <w:u w:color="000000"/>
          <w:bdr w:val="nil"/>
          <w:lang w:eastAsia="it-IT"/>
        </w:rPr>
        <w:t>Impact and outcomes</w:t>
      </w:r>
      <w:bookmarkEnd w:id="18"/>
    </w:p>
    <w:p w14:paraId="591558AD" w14:textId="77777777" w:rsidR="001A3B30" w:rsidRPr="001A3B30" w:rsidRDefault="001A3B30" w:rsidP="001A3B30">
      <w:pPr>
        <w:jc w:val="both"/>
        <w:rPr>
          <w:rFonts w:ascii="Times New Roman" w:hAnsi="Times New Roman"/>
          <w:szCs w:val="24"/>
          <w:lang w:eastAsia="it-IT"/>
        </w:rPr>
      </w:pPr>
    </w:p>
    <w:p w14:paraId="22F7D5EB" w14:textId="77777777" w:rsidR="00000C42" w:rsidRPr="001A3B30" w:rsidRDefault="00E86322" w:rsidP="00000C42">
      <w:pPr>
        <w:pStyle w:val="Heading2"/>
        <w:rPr>
          <w:u w:color="000000"/>
          <w:bdr w:val="nil"/>
          <w:lang w:val="en-US" w:eastAsia="it-IT"/>
        </w:rPr>
      </w:pPr>
      <w:bookmarkStart w:id="19" w:name="_Toc5724452"/>
      <w:r w:rsidRPr="001A3B30">
        <w:rPr>
          <w:u w:color="000000"/>
          <w:bdr w:val="nil"/>
          <w:lang w:val="en-US" w:eastAsia="it-IT"/>
        </w:rPr>
        <w:t>Progress against explicit targets and milestones</w:t>
      </w:r>
      <w:bookmarkEnd w:id="19"/>
    </w:p>
    <w:p w14:paraId="18D64F85" w14:textId="77777777" w:rsidR="001A3B30" w:rsidRPr="001A3B30" w:rsidRDefault="001A3B30" w:rsidP="001A3B30">
      <w:pPr>
        <w:rPr>
          <w:rFonts w:ascii="Times New Roman" w:hAnsi="Times New Roman"/>
          <w:szCs w:val="24"/>
          <w:lang w:val="en-US" w:eastAsia="it-IT"/>
        </w:rPr>
      </w:pPr>
    </w:p>
    <w:p w14:paraId="70B56F2A" w14:textId="77777777" w:rsidR="001A3B30" w:rsidRPr="001A3B30" w:rsidRDefault="001A3B30" w:rsidP="001A3B30">
      <w:pPr>
        <w:jc w:val="both"/>
        <w:rPr>
          <w:rFonts w:cs="Arial"/>
          <w:szCs w:val="24"/>
          <w:lang w:eastAsia="it-IT"/>
        </w:rPr>
      </w:pPr>
      <w:r w:rsidRPr="001A3B30">
        <w:rPr>
          <w:rFonts w:cs="Arial"/>
          <w:szCs w:val="24"/>
          <w:lang w:eastAsia="it-IT"/>
        </w:rPr>
        <w:t>The present policies on the topic, both national and regional (FNA, Act No 112/2016, Sardinian regional legislation, etc.), are directed mainly towards persons in greater need of support (see section 6.1 box), but they are not part of a national strategy of deinstitutionalisation or of preventing institutionalisation. Moreover, no valid data are available on the effectiveness of single interventions, since the plans have very few monitoring tools, or sometimes none at all; as a rule, only the number of funded individualised plans is recorded. There is no attention to the quality of the expenditure, such that the achievement rate is generally not monitored, not even in the short or medium term.</w:t>
      </w:r>
    </w:p>
    <w:p w14:paraId="7B7693E4" w14:textId="77777777" w:rsidR="001A3B30" w:rsidRPr="001A3B30" w:rsidRDefault="001A3B30" w:rsidP="001A3B30">
      <w:pPr>
        <w:jc w:val="both"/>
        <w:rPr>
          <w:rFonts w:cs="Arial"/>
          <w:szCs w:val="24"/>
          <w:lang w:eastAsia="it-IT"/>
        </w:rPr>
      </w:pPr>
    </w:p>
    <w:p w14:paraId="0F1498ED" w14:textId="67753B2D" w:rsidR="001A3B30" w:rsidRDefault="001A3B30" w:rsidP="001A3B30">
      <w:pPr>
        <w:jc w:val="both"/>
        <w:rPr>
          <w:rFonts w:cs="Arial"/>
          <w:szCs w:val="24"/>
          <w:lang w:eastAsia="it-IT"/>
        </w:rPr>
      </w:pPr>
      <w:r w:rsidRPr="001A3B30">
        <w:rPr>
          <w:rFonts w:cs="Arial"/>
          <w:szCs w:val="24"/>
          <w:lang w:eastAsia="it-IT"/>
        </w:rPr>
        <w:t>This state of affairs largely stems from the fact that these programmes are methodically activated in a ‘trial’ form, and they are almost always funded on a yearly basis.</w:t>
      </w:r>
    </w:p>
    <w:p w14:paraId="176C2B3B" w14:textId="77777777" w:rsidR="00000C42" w:rsidRPr="001A3B30" w:rsidRDefault="00000C42" w:rsidP="001A3B30">
      <w:pPr>
        <w:jc w:val="both"/>
        <w:rPr>
          <w:rFonts w:cs="Arial"/>
          <w:szCs w:val="24"/>
          <w:lang w:eastAsia="it-IT"/>
        </w:rPr>
      </w:pPr>
    </w:p>
    <w:p w14:paraId="243B82C2" w14:textId="77777777" w:rsidR="001A3B30" w:rsidRPr="001A3B30" w:rsidRDefault="001A3B30" w:rsidP="001A3B30">
      <w:pPr>
        <w:jc w:val="both"/>
        <w:rPr>
          <w:rFonts w:cs="Arial"/>
          <w:szCs w:val="24"/>
          <w:lang w:eastAsia="it-IT"/>
        </w:rPr>
      </w:pPr>
      <w:r w:rsidRPr="001A3B30">
        <w:rPr>
          <w:rFonts w:cs="Arial"/>
          <w:szCs w:val="24"/>
          <w:lang w:eastAsia="it-IT"/>
        </w:rPr>
        <w:t>This operating model makes it impossible to implement stable processes to support independent living. The same individualised plans, activated via announcements under the Ministry of Labour and Social Policy’s trial programme, come with no guarantees that they will continue at the end of the funded year. Only some regions, such as Puglia, activated dedicated regional resources to guarantee the continuity of the plans beyond the trial year. Beyond the doubts concerning effectiveness, this poses an important ethical issue.</w:t>
      </w:r>
    </w:p>
    <w:p w14:paraId="1A140AF8" w14:textId="77777777" w:rsidR="001A3B30" w:rsidRPr="001A3B30" w:rsidRDefault="001A3B30" w:rsidP="001A3B30">
      <w:pPr>
        <w:ind w:left="567" w:hanging="567"/>
        <w:jc w:val="both"/>
        <w:rPr>
          <w:rFonts w:cs="Arial"/>
          <w:b/>
          <w:bCs/>
          <w:szCs w:val="24"/>
          <w:lang w:eastAsia="it-IT"/>
        </w:rPr>
      </w:pPr>
    </w:p>
    <w:p w14:paraId="0DF5924E" w14:textId="77777777" w:rsidR="001A3B30" w:rsidRPr="001A3B30" w:rsidRDefault="00E86322" w:rsidP="00000C42">
      <w:pPr>
        <w:pStyle w:val="Heading2"/>
        <w:rPr>
          <w:u w:color="000000"/>
          <w:bdr w:val="nil"/>
          <w:lang w:eastAsia="it-IT"/>
        </w:rPr>
      </w:pPr>
      <w:bookmarkStart w:id="20" w:name="_Toc5724453"/>
      <w:r w:rsidRPr="001A3B30">
        <w:rPr>
          <w:u w:color="000000"/>
          <w:bdr w:val="nil"/>
          <w:lang w:val="en-US" w:eastAsia="it-IT"/>
        </w:rPr>
        <w:t>What is replacing institutional care?</w:t>
      </w:r>
      <w:bookmarkEnd w:id="20"/>
    </w:p>
    <w:p w14:paraId="20FA7562" w14:textId="77777777" w:rsidR="001A3B30" w:rsidRPr="001A3B30" w:rsidRDefault="001A3B30" w:rsidP="001A3B30">
      <w:pPr>
        <w:rPr>
          <w:rFonts w:ascii="Times New Roman" w:hAnsi="Times New Roman"/>
          <w:szCs w:val="24"/>
          <w:lang w:eastAsia="it-IT"/>
        </w:rPr>
      </w:pPr>
    </w:p>
    <w:p w14:paraId="4375E92C" w14:textId="77777777" w:rsidR="00000C42" w:rsidRPr="001A3B30" w:rsidRDefault="00E86322" w:rsidP="00000C42">
      <w:pPr>
        <w:pStyle w:val="Heading3"/>
        <w:rPr>
          <w:u w:color="000000"/>
          <w:bdr w:val="nil"/>
          <w:lang w:eastAsia="it-IT"/>
        </w:rPr>
      </w:pPr>
      <w:r w:rsidRPr="001A3B30">
        <w:rPr>
          <w:u w:color="000000"/>
          <w:bdr w:val="nil"/>
          <w:lang w:eastAsia="it-IT"/>
        </w:rPr>
        <w:t>At the point when persons with disabilities are moved out of institutional care facilities, what types of accommodation and support are they being moved into?</w:t>
      </w:r>
    </w:p>
    <w:p w14:paraId="1D7F1C25" w14:textId="77777777" w:rsidR="001A3B30" w:rsidRPr="001A3B30" w:rsidRDefault="001A3B30" w:rsidP="001A3B30">
      <w:pPr>
        <w:rPr>
          <w:rFonts w:ascii="Times New Roman" w:hAnsi="Times New Roman"/>
          <w:szCs w:val="24"/>
          <w:lang w:eastAsia="it-IT"/>
        </w:rPr>
      </w:pPr>
    </w:p>
    <w:p w14:paraId="30678525" w14:textId="73AE9077" w:rsidR="001A3B30" w:rsidRPr="001A3B30" w:rsidRDefault="001A3B30" w:rsidP="001A3B30">
      <w:pPr>
        <w:jc w:val="both"/>
        <w:rPr>
          <w:rFonts w:cs="Arial"/>
          <w:color w:val="00B050"/>
          <w:szCs w:val="24"/>
          <w:u w:color="00B050"/>
          <w:lang w:eastAsia="it-IT"/>
        </w:rPr>
      </w:pPr>
      <w:r w:rsidRPr="001A3B30">
        <w:rPr>
          <w:rFonts w:cs="Arial"/>
          <w:szCs w:val="24"/>
          <w:lang w:eastAsia="it-IT"/>
        </w:rPr>
        <w:t>For the same reasons that were pointed out in 4.1, there are no homogenous, reliable data on the types of accommodation and support that replace institutional care facilities: in some cases, there is a predominance of accommodation in small groups, while in others the individuals go back to their original accommodation. Finally, in a very limited number of cases, new, independent accommodation is provided. It is very difficult to asses</w:t>
      </w:r>
      <w:r w:rsidR="00F61745">
        <w:rPr>
          <w:rFonts w:cs="Arial"/>
          <w:szCs w:val="24"/>
          <w:lang w:eastAsia="it-IT"/>
        </w:rPr>
        <w:t>s</w:t>
      </w:r>
      <w:r w:rsidRPr="001A3B30">
        <w:rPr>
          <w:rFonts w:cs="Arial"/>
          <w:szCs w:val="24"/>
          <w:lang w:eastAsia="it-IT"/>
        </w:rPr>
        <w:t xml:space="preserve"> to what extent the freedom of choice of the individual, as required by Article 19 of the CRPD, is actually safeguarded.</w:t>
      </w:r>
    </w:p>
    <w:p w14:paraId="0E6B9DC8" w14:textId="77777777" w:rsidR="001A3B30" w:rsidRPr="001A3B30" w:rsidRDefault="001A3B30" w:rsidP="001A3B30">
      <w:pPr>
        <w:jc w:val="both"/>
        <w:rPr>
          <w:rFonts w:cs="Arial"/>
          <w:b/>
          <w:bCs/>
          <w:szCs w:val="24"/>
          <w:lang w:eastAsia="it-IT"/>
        </w:rPr>
      </w:pPr>
    </w:p>
    <w:p w14:paraId="5190C41E" w14:textId="07DCD607" w:rsidR="00000C42" w:rsidRDefault="00E86322" w:rsidP="00000C42">
      <w:pPr>
        <w:pStyle w:val="Heading3"/>
        <w:rPr>
          <w:u w:color="000000"/>
          <w:bdr w:val="nil"/>
          <w:lang w:eastAsia="it-IT"/>
        </w:rPr>
      </w:pPr>
      <w:r w:rsidRPr="001A3B30">
        <w:rPr>
          <w:u w:color="000000"/>
          <w:bdr w:val="nil"/>
          <w:lang w:eastAsia="it-IT"/>
        </w:rPr>
        <w:t xml:space="preserve">What services, support and measures are being developed and established to build long-term support for people’s right to live independently and to be included in the community? </w:t>
      </w:r>
    </w:p>
    <w:p w14:paraId="3E0B78ED" w14:textId="77777777" w:rsidR="00000C42" w:rsidRPr="00000C42" w:rsidRDefault="00000C42" w:rsidP="00000C42">
      <w:pPr>
        <w:rPr>
          <w:rFonts w:eastAsia="Arial"/>
          <w:lang w:eastAsia="it-IT" w:bidi="en-US"/>
        </w:rPr>
      </w:pPr>
    </w:p>
    <w:p w14:paraId="39C09129" w14:textId="77777777" w:rsidR="001A3B30" w:rsidRPr="001A3B30" w:rsidRDefault="001A3B30" w:rsidP="001A3B30">
      <w:pPr>
        <w:jc w:val="both"/>
        <w:rPr>
          <w:rFonts w:cs="Arial"/>
          <w:szCs w:val="24"/>
          <w:lang w:eastAsia="it-IT"/>
        </w:rPr>
      </w:pPr>
      <w:r w:rsidRPr="001A3B30">
        <w:rPr>
          <w:rFonts w:cs="Arial"/>
          <w:szCs w:val="24"/>
          <w:lang w:eastAsia="it-IT"/>
        </w:rPr>
        <w:t>The only tool which has been shown to be effective is the personalised budget, which can be described using different names (e.g. ‘care budget’ or ‘health budget’.) in the different places where it is implemented. Essentially, it is a matching mechanism. This mechanism allows for the integrated use of the economic, professional and human resources needed to begin a process whose goal is that of giving individuals back their proper social function by means of personal plans, which are shared with the individuals with disabilities themselves, along with their families and their communities.</w:t>
      </w:r>
    </w:p>
    <w:p w14:paraId="2B8D98B4" w14:textId="77777777" w:rsidR="001A3B30" w:rsidRPr="001A3B30" w:rsidRDefault="001A3B30" w:rsidP="00000C42">
      <w:pPr>
        <w:rPr>
          <w:rFonts w:eastAsia="Arial"/>
          <w:u w:color="000000"/>
          <w:bdr w:val="nil"/>
          <w:lang w:eastAsia="it-IT"/>
        </w:rPr>
      </w:pPr>
    </w:p>
    <w:p w14:paraId="7227FDD1" w14:textId="7C8C8D74" w:rsidR="00000C42" w:rsidRDefault="00E86322" w:rsidP="00000C42">
      <w:pPr>
        <w:pStyle w:val="Heading2"/>
        <w:rPr>
          <w:u w:color="000000"/>
          <w:bdr w:val="nil"/>
          <w:lang w:eastAsia="it-IT"/>
        </w:rPr>
      </w:pPr>
      <w:bookmarkStart w:id="21" w:name="_Toc5724454"/>
      <w:r w:rsidRPr="001A3B30">
        <w:rPr>
          <w:u w:color="000000"/>
          <w:bdr w:val="nil"/>
          <w:lang w:eastAsia="it-IT"/>
        </w:rPr>
        <w:t>Satisfaction levels among persons with disabilities</w:t>
      </w:r>
      <w:bookmarkEnd w:id="21"/>
    </w:p>
    <w:p w14:paraId="371BA04A" w14:textId="77777777" w:rsidR="00000C42" w:rsidRPr="00000C42" w:rsidRDefault="00000C42" w:rsidP="00000C42">
      <w:pPr>
        <w:rPr>
          <w:rFonts w:eastAsia="Arial"/>
          <w:lang w:eastAsia="it-IT" w:bidi="en-US"/>
        </w:rPr>
      </w:pPr>
    </w:p>
    <w:p w14:paraId="03411F42" w14:textId="77777777" w:rsidR="001A3B30" w:rsidRPr="001A3B30" w:rsidRDefault="001A3B30" w:rsidP="001A3B30">
      <w:pPr>
        <w:jc w:val="both"/>
        <w:rPr>
          <w:rFonts w:cs="Arial"/>
          <w:szCs w:val="24"/>
          <w:lang w:eastAsia="it-IT"/>
        </w:rPr>
      </w:pPr>
      <w:r w:rsidRPr="001A3B30">
        <w:rPr>
          <w:rFonts w:cs="Arial"/>
          <w:szCs w:val="24"/>
          <w:lang w:eastAsia="it-IT"/>
        </w:rPr>
        <w:t>Every institution that hosts persons with disabilities must be endowed with a service charter that allows users to make complaints. However, there are no studies or data concerning the effectiveness of this tool that support the fact that this is not merely an abstract and purely formal possibility.</w:t>
      </w:r>
    </w:p>
    <w:p w14:paraId="7458E2D7" w14:textId="77777777" w:rsidR="001A3B30" w:rsidRPr="001A3B30" w:rsidRDefault="001A3B30" w:rsidP="001A3B30">
      <w:pPr>
        <w:jc w:val="both"/>
        <w:rPr>
          <w:rFonts w:ascii="Times New Roman" w:hAnsi="Times New Roman"/>
          <w:szCs w:val="24"/>
          <w:lang w:eastAsia="it-IT"/>
        </w:rPr>
      </w:pPr>
      <w:r w:rsidRPr="001A3B30">
        <w:rPr>
          <w:rFonts w:ascii="Times New Roman" w:hAnsi="Times New Roman"/>
          <w:szCs w:val="24"/>
          <w:lang w:eastAsia="it-IT"/>
        </w:rPr>
        <w:tab/>
      </w:r>
    </w:p>
    <w:p w14:paraId="0903A9A0" w14:textId="2842938C" w:rsidR="00000C42" w:rsidRDefault="00000C42">
      <w:pPr>
        <w:spacing w:after="200" w:line="276" w:lineRule="auto"/>
        <w:rPr>
          <w:rFonts w:eastAsia="Arial" w:cs="Arial"/>
          <w:b/>
          <w:bCs/>
          <w:color w:val="000000"/>
          <w:szCs w:val="24"/>
          <w:u w:color="000000"/>
          <w:bdr w:val="nil"/>
          <w:lang w:eastAsia="it-IT"/>
        </w:rPr>
      </w:pPr>
    </w:p>
    <w:p w14:paraId="01282F8E" w14:textId="77777777" w:rsidR="0085596D" w:rsidRDefault="0085596D">
      <w:pPr>
        <w:spacing w:after="200" w:line="276" w:lineRule="auto"/>
        <w:rPr>
          <w:rFonts w:eastAsiaTheme="majorEastAsia" w:cstheme="majorBidi"/>
          <w:b/>
          <w:bCs/>
          <w:szCs w:val="28"/>
          <w:u w:color="000000"/>
          <w:bdr w:val="nil"/>
          <w:lang w:eastAsia="it-IT" w:bidi="en-US"/>
        </w:rPr>
      </w:pPr>
      <w:bookmarkStart w:id="22" w:name="_Toc5724455"/>
      <w:r>
        <w:rPr>
          <w:u w:color="000000"/>
          <w:bdr w:val="nil"/>
          <w:lang w:eastAsia="it-IT"/>
        </w:rPr>
        <w:br w:type="page"/>
      </w:r>
    </w:p>
    <w:p w14:paraId="11035755" w14:textId="050A8F4D" w:rsidR="00000C42" w:rsidRPr="001A3B30" w:rsidRDefault="00E86322" w:rsidP="00000C42">
      <w:pPr>
        <w:pStyle w:val="Heading1"/>
        <w:numPr>
          <w:ilvl w:val="0"/>
          <w:numId w:val="0"/>
        </w:numPr>
        <w:ind w:left="567" w:hanging="567"/>
        <w:rPr>
          <w:u w:color="000000"/>
          <w:bdr w:val="nil"/>
          <w:lang w:eastAsia="it-IT"/>
        </w:rPr>
      </w:pPr>
      <w:r w:rsidRPr="001A3B30">
        <w:rPr>
          <w:u w:color="000000"/>
          <w:bdr w:val="nil"/>
          <w:lang w:eastAsia="it-IT"/>
        </w:rPr>
        <w:lastRenderedPageBreak/>
        <w:t>PART B – Critique and evaluation</w:t>
      </w:r>
      <w:bookmarkEnd w:id="22"/>
    </w:p>
    <w:p w14:paraId="483A20C9" w14:textId="77777777" w:rsidR="001A3B30" w:rsidRPr="001A3B30" w:rsidRDefault="001A3B30" w:rsidP="001A3B30">
      <w:pPr>
        <w:jc w:val="both"/>
        <w:rPr>
          <w:rFonts w:ascii="Times New Roman" w:hAnsi="Times New Roman"/>
          <w:b/>
          <w:bCs/>
          <w:szCs w:val="24"/>
          <w:lang w:eastAsia="it-IT"/>
        </w:rPr>
      </w:pPr>
    </w:p>
    <w:p w14:paraId="79088EBD" w14:textId="77777777" w:rsidR="001A3B30" w:rsidRPr="001A3B30" w:rsidRDefault="00E86322" w:rsidP="00000C42">
      <w:pPr>
        <w:pStyle w:val="Heading1"/>
        <w:rPr>
          <w:u w:color="000000"/>
          <w:bdr w:val="nil"/>
          <w:lang w:eastAsia="it-IT"/>
        </w:rPr>
      </w:pPr>
      <w:bookmarkStart w:id="23" w:name="_Toc5724456"/>
      <w:r w:rsidRPr="001A3B30">
        <w:rPr>
          <w:u w:color="000000"/>
          <w:bdr w:val="nil"/>
          <w:lang w:eastAsia="it-IT"/>
        </w:rPr>
        <w:t>Observations and recommendations of official bodies</w:t>
      </w:r>
      <w:bookmarkEnd w:id="23"/>
    </w:p>
    <w:p w14:paraId="5858F30D" w14:textId="77777777" w:rsidR="001A3B30" w:rsidRPr="001A3B30" w:rsidRDefault="001A3B30" w:rsidP="001A3B30">
      <w:pPr>
        <w:pBdr>
          <w:top w:val="nil"/>
          <w:left w:val="nil"/>
          <w:bottom w:val="nil"/>
          <w:right w:val="nil"/>
          <w:between w:val="nil"/>
          <w:bar w:val="nil"/>
        </w:pBdr>
        <w:ind w:left="720"/>
        <w:jc w:val="both"/>
        <w:rPr>
          <w:rFonts w:eastAsia="Arial" w:cs="Arial"/>
          <w:b/>
          <w:bCs/>
          <w:color w:val="000000"/>
          <w:szCs w:val="24"/>
          <w:u w:color="000000"/>
          <w:bdr w:val="nil"/>
          <w:lang w:eastAsia="it-IT"/>
        </w:rPr>
      </w:pPr>
    </w:p>
    <w:p w14:paraId="67712671" w14:textId="63453E64" w:rsidR="00000C42" w:rsidRDefault="00E86322" w:rsidP="00000C42">
      <w:pPr>
        <w:pStyle w:val="Heading2"/>
        <w:rPr>
          <w:u w:color="000000"/>
          <w:bdr w:val="nil"/>
          <w:lang w:eastAsia="it-IT"/>
        </w:rPr>
      </w:pPr>
      <w:bookmarkStart w:id="24" w:name="_Toc5724457"/>
      <w:r w:rsidRPr="001A3B30">
        <w:rPr>
          <w:u w:color="000000"/>
          <w:bdr w:val="nil"/>
          <w:lang w:eastAsia="it-IT"/>
        </w:rPr>
        <w:t>Observations by the UN Committee on the Rights of Persons with Disabilities on Article 19</w:t>
      </w:r>
      <w:bookmarkEnd w:id="24"/>
      <w:r w:rsidRPr="001A3B30">
        <w:rPr>
          <w:u w:color="000000"/>
          <w:bdr w:val="nil"/>
          <w:lang w:eastAsia="it-IT"/>
        </w:rPr>
        <w:tab/>
      </w:r>
    </w:p>
    <w:p w14:paraId="727780CE" w14:textId="77777777" w:rsidR="00000C42" w:rsidRPr="00000C42" w:rsidRDefault="00000C42" w:rsidP="00000C42">
      <w:pPr>
        <w:rPr>
          <w:rFonts w:eastAsia="Arial"/>
          <w:lang w:eastAsia="it-IT" w:bidi="en-US"/>
        </w:rPr>
      </w:pPr>
    </w:p>
    <w:p w14:paraId="7ADCAC64" w14:textId="77777777" w:rsidR="001A3B30" w:rsidRPr="001A3B30" w:rsidRDefault="001A3B30" w:rsidP="001A3B30">
      <w:pPr>
        <w:jc w:val="both"/>
        <w:rPr>
          <w:rFonts w:cs="Arial"/>
          <w:szCs w:val="24"/>
          <w:lang w:eastAsia="it-IT"/>
        </w:rPr>
      </w:pPr>
      <w:r w:rsidRPr="001A3B30">
        <w:rPr>
          <w:rFonts w:cs="Arial"/>
          <w:i/>
          <w:iCs/>
          <w:szCs w:val="24"/>
          <w:lang w:eastAsia="it-IT"/>
        </w:rPr>
        <w:t>Concluding observations on the initial report of Italy</w:t>
      </w:r>
      <w:r w:rsidRPr="001A3B30">
        <w:rPr>
          <w:rFonts w:cs="Arial"/>
          <w:szCs w:val="24"/>
          <w:lang w:eastAsia="it-IT"/>
        </w:rPr>
        <w:t xml:space="preserve"> of 6 October 2016, relevant to Article 19:</w:t>
      </w:r>
      <w:r w:rsidRPr="0046751E">
        <w:rPr>
          <w:rFonts w:cs="Arial"/>
          <w:vertAlign w:val="superscript"/>
          <w:lang w:eastAsia="it-IT"/>
        </w:rPr>
        <w:footnoteReference w:id="20"/>
      </w:r>
    </w:p>
    <w:p w14:paraId="7ECE7561" w14:textId="77777777" w:rsidR="001A3B30" w:rsidRPr="001A3B30" w:rsidRDefault="001A3B30" w:rsidP="001A3B30">
      <w:pPr>
        <w:jc w:val="both"/>
        <w:rPr>
          <w:rFonts w:cs="Arial"/>
          <w:szCs w:val="24"/>
          <w:lang w:eastAsia="it-IT"/>
        </w:rPr>
      </w:pPr>
    </w:p>
    <w:p w14:paraId="517A1095" w14:textId="77777777" w:rsidR="001A3B30" w:rsidRPr="001A3B30" w:rsidRDefault="001A3B30" w:rsidP="00F61745">
      <w:pPr>
        <w:ind w:left="1134" w:hanging="567"/>
        <w:jc w:val="both"/>
        <w:rPr>
          <w:rFonts w:cs="Arial"/>
          <w:szCs w:val="24"/>
          <w:lang w:eastAsia="it-IT"/>
        </w:rPr>
      </w:pPr>
      <w:r w:rsidRPr="001A3B30">
        <w:rPr>
          <w:rFonts w:cs="Arial"/>
          <w:szCs w:val="24"/>
          <w:lang w:eastAsia="it-IT"/>
        </w:rPr>
        <w:t>41.</w:t>
      </w:r>
      <w:r w:rsidRPr="001A3B30">
        <w:rPr>
          <w:rFonts w:cs="Arial"/>
          <w:szCs w:val="24"/>
          <w:lang w:eastAsia="it-IT"/>
        </w:rPr>
        <w:tab/>
        <w:t>The Committee is concerned that the remit of the mandate of the national preventive mechanism does not extend to psychiatric institutions or other residential facilities for persons with disabilities where they are deprived of their liberty.</w:t>
      </w:r>
    </w:p>
    <w:p w14:paraId="52DB1831" w14:textId="77777777" w:rsidR="001A3B30" w:rsidRPr="001A3B30" w:rsidRDefault="001A3B30" w:rsidP="00F61745">
      <w:pPr>
        <w:ind w:left="1134" w:hanging="567"/>
        <w:jc w:val="both"/>
        <w:rPr>
          <w:rFonts w:cs="Arial"/>
          <w:b/>
          <w:bCs/>
          <w:szCs w:val="24"/>
          <w:lang w:eastAsia="it-IT"/>
        </w:rPr>
      </w:pPr>
      <w:r w:rsidRPr="001A3B30">
        <w:rPr>
          <w:rFonts w:cs="Arial"/>
          <w:szCs w:val="24"/>
          <w:lang w:eastAsia="it-IT"/>
        </w:rPr>
        <w:t>42.</w:t>
      </w:r>
      <w:r w:rsidRPr="001A3B30">
        <w:rPr>
          <w:rFonts w:cs="Arial"/>
          <w:szCs w:val="24"/>
          <w:lang w:eastAsia="it-IT"/>
        </w:rPr>
        <w:tab/>
      </w:r>
      <w:r w:rsidRPr="001A3B30">
        <w:rPr>
          <w:rFonts w:cs="Arial"/>
          <w:bCs/>
          <w:szCs w:val="24"/>
          <w:lang w:eastAsia="it-IT"/>
        </w:rPr>
        <w:t>The Committee recommends that the national preventive mechanism immediately visit and report on the situation in psychiatric institutions or other residential facilities for persons with disabilities, especially those with intellectual and/or psychosocial disabilities.</w:t>
      </w:r>
    </w:p>
    <w:p w14:paraId="3A3BF781" w14:textId="77777777" w:rsidR="001A3B30" w:rsidRPr="001A3B30" w:rsidRDefault="001A3B30" w:rsidP="001A3B30">
      <w:pPr>
        <w:jc w:val="both"/>
        <w:rPr>
          <w:rFonts w:cs="Arial"/>
          <w:szCs w:val="24"/>
          <w:lang w:eastAsia="it-IT"/>
        </w:rPr>
      </w:pPr>
    </w:p>
    <w:p w14:paraId="2992D254" w14:textId="3EE3C112" w:rsidR="001A3B30" w:rsidRDefault="001A3B30" w:rsidP="001A3B30">
      <w:pPr>
        <w:jc w:val="both"/>
        <w:rPr>
          <w:rFonts w:cs="Arial"/>
          <w:szCs w:val="24"/>
          <w:lang w:eastAsia="it-IT"/>
        </w:rPr>
      </w:pPr>
      <w:r w:rsidRPr="001A3B30">
        <w:rPr>
          <w:rFonts w:cs="Arial"/>
          <w:i/>
          <w:iCs/>
          <w:szCs w:val="24"/>
          <w:lang w:eastAsia="it-IT"/>
        </w:rPr>
        <w:t>Concluding observations on the initial report of Italy</w:t>
      </w:r>
      <w:r w:rsidRPr="001A3B30">
        <w:rPr>
          <w:rFonts w:cs="Arial"/>
          <w:szCs w:val="24"/>
          <w:lang w:eastAsia="it-IT"/>
        </w:rPr>
        <w:t xml:space="preserve"> of 6 October 2016, which concern Article 19 specifically:</w:t>
      </w:r>
    </w:p>
    <w:p w14:paraId="4272B00C" w14:textId="77777777" w:rsidR="0046751E" w:rsidRPr="001A3B30" w:rsidRDefault="0046751E" w:rsidP="001A3B30">
      <w:pPr>
        <w:jc w:val="both"/>
        <w:rPr>
          <w:rFonts w:cs="Arial"/>
          <w:szCs w:val="24"/>
          <w:lang w:eastAsia="it-IT"/>
        </w:rPr>
      </w:pPr>
    </w:p>
    <w:p w14:paraId="009B986B" w14:textId="1008B529" w:rsidR="001A3B30" w:rsidRPr="001A3B30" w:rsidRDefault="001A3B30" w:rsidP="00F61745">
      <w:pPr>
        <w:ind w:left="1134" w:hanging="567"/>
        <w:jc w:val="both"/>
        <w:rPr>
          <w:rFonts w:cs="Arial"/>
          <w:szCs w:val="24"/>
          <w:lang w:eastAsia="it-IT"/>
        </w:rPr>
      </w:pPr>
      <w:r w:rsidRPr="001A3B30">
        <w:rPr>
          <w:rFonts w:cs="Arial"/>
          <w:szCs w:val="24"/>
          <w:lang w:eastAsia="it-IT"/>
        </w:rPr>
        <w:t>47.</w:t>
      </w:r>
      <w:r w:rsidR="0046751E">
        <w:rPr>
          <w:rFonts w:cs="Arial"/>
          <w:szCs w:val="24"/>
          <w:lang w:eastAsia="it-IT"/>
        </w:rPr>
        <w:tab/>
      </w:r>
      <w:r w:rsidRPr="0046751E">
        <w:rPr>
          <w:rFonts w:cs="Arial"/>
          <w:bCs/>
          <w:szCs w:val="24"/>
          <w:lang w:eastAsia="it-IT"/>
        </w:rPr>
        <w:t>The</w:t>
      </w:r>
      <w:r w:rsidRPr="001A3B30">
        <w:rPr>
          <w:rFonts w:cs="Arial"/>
          <w:szCs w:val="24"/>
          <w:lang w:eastAsia="it-IT"/>
        </w:rPr>
        <w:t xml:space="preserve"> Committee is deeply concerned about the trend to re-institutionalise persons with disabilities and that funds are not being reallocated from institutions towards promoting and ensuring independent living for all persons with disabilities within their community. The Committee further notes with concern the gendered</w:t>
      </w:r>
      <w:r w:rsidRPr="001A3B30">
        <w:rPr>
          <w:rFonts w:cs="Arial"/>
          <w:b/>
          <w:bCs/>
          <w:szCs w:val="24"/>
          <w:lang w:eastAsia="it-IT"/>
        </w:rPr>
        <w:t xml:space="preserve"> </w:t>
      </w:r>
      <w:r w:rsidRPr="001A3B30">
        <w:rPr>
          <w:rFonts w:cs="Arial"/>
          <w:szCs w:val="24"/>
          <w:lang w:eastAsia="it-IT"/>
        </w:rPr>
        <w:t>consequences of the current policies where women are ‘forced’ to remain within the family as caregivers of their peers with disabilities instead of being employed in the labour market.</w:t>
      </w:r>
    </w:p>
    <w:p w14:paraId="6C32E150" w14:textId="1A6D9B83" w:rsidR="001A3B30" w:rsidRPr="001A3B30" w:rsidRDefault="001A3B30" w:rsidP="00F61745">
      <w:pPr>
        <w:ind w:left="1134" w:hanging="567"/>
        <w:jc w:val="both"/>
        <w:rPr>
          <w:rFonts w:cs="Arial"/>
          <w:szCs w:val="24"/>
          <w:lang w:eastAsia="it-IT"/>
        </w:rPr>
      </w:pPr>
      <w:r w:rsidRPr="001A3B30">
        <w:rPr>
          <w:rFonts w:cs="Arial"/>
          <w:szCs w:val="24"/>
          <w:lang w:eastAsia="it-IT"/>
        </w:rPr>
        <w:t xml:space="preserve">48. </w:t>
      </w:r>
      <w:r w:rsidR="0046751E">
        <w:rPr>
          <w:rFonts w:cs="Arial"/>
          <w:szCs w:val="24"/>
          <w:lang w:eastAsia="it-IT"/>
        </w:rPr>
        <w:tab/>
      </w:r>
      <w:r w:rsidRPr="001A3B30">
        <w:rPr>
          <w:rFonts w:cs="Arial"/>
          <w:szCs w:val="24"/>
          <w:lang w:eastAsia="it-IT"/>
        </w:rPr>
        <w:t xml:space="preserve">The Committee recommends: a) implementing safeguards to retain the right to autonomous independent living across all regions; and, b) redirecting resources from institutionalisation to community-based services and increasing budget support to enable persons with disabilities to live independently across the country and have equal access to services including personal assistance. </w:t>
      </w:r>
    </w:p>
    <w:p w14:paraId="76FAACDA" w14:textId="77777777" w:rsidR="001A3B30" w:rsidRPr="001A3B30" w:rsidRDefault="001A3B30" w:rsidP="001A3B30">
      <w:pPr>
        <w:ind w:left="567" w:hanging="567"/>
        <w:jc w:val="both"/>
        <w:rPr>
          <w:rFonts w:ascii="Times New Roman" w:hAnsi="Times New Roman"/>
          <w:b/>
          <w:bCs/>
          <w:szCs w:val="24"/>
          <w:lang w:eastAsia="it-IT"/>
        </w:rPr>
      </w:pPr>
      <w:r w:rsidRPr="001A3B30">
        <w:rPr>
          <w:rFonts w:ascii="Times New Roman" w:hAnsi="Times New Roman"/>
          <w:b/>
          <w:bCs/>
          <w:szCs w:val="24"/>
          <w:lang w:eastAsia="it-IT"/>
        </w:rPr>
        <w:tab/>
      </w:r>
    </w:p>
    <w:p w14:paraId="09C61711" w14:textId="4FA8EFA4" w:rsidR="00000C42" w:rsidRDefault="00E86322" w:rsidP="0046751E">
      <w:pPr>
        <w:pStyle w:val="Heading2"/>
        <w:rPr>
          <w:u w:color="000000"/>
          <w:bdr w:val="nil"/>
          <w:lang w:eastAsia="it-IT"/>
        </w:rPr>
      </w:pPr>
      <w:bookmarkStart w:id="25" w:name="_Toc5724458"/>
      <w:r w:rsidRPr="001A3B30">
        <w:rPr>
          <w:u w:color="000000"/>
          <w:bdr w:val="nil"/>
          <w:lang w:eastAsia="it-IT"/>
        </w:rPr>
        <w:t>Recent observations by other official European and international bodies</w:t>
      </w:r>
      <w:bookmarkEnd w:id="25"/>
    </w:p>
    <w:p w14:paraId="1EFE3900" w14:textId="77777777" w:rsidR="0046751E" w:rsidRPr="0046751E" w:rsidRDefault="0046751E" w:rsidP="0046751E">
      <w:pPr>
        <w:rPr>
          <w:rFonts w:eastAsia="Arial"/>
          <w:lang w:eastAsia="it-IT" w:bidi="en-US"/>
        </w:rPr>
      </w:pPr>
    </w:p>
    <w:p w14:paraId="362FCE48" w14:textId="12C250FB" w:rsidR="001A3B30" w:rsidRDefault="001A3B30" w:rsidP="0046751E">
      <w:pPr>
        <w:autoSpaceDE w:val="0"/>
        <w:autoSpaceDN w:val="0"/>
        <w:adjustRightInd w:val="0"/>
        <w:jc w:val="both"/>
        <w:rPr>
          <w:rFonts w:cs="Arial"/>
          <w:color w:val="000000"/>
          <w:szCs w:val="24"/>
          <w:lang w:eastAsia="it-IT"/>
        </w:rPr>
      </w:pPr>
      <w:r w:rsidRPr="001A3B30">
        <w:rPr>
          <w:rFonts w:cs="Arial"/>
          <w:szCs w:val="24"/>
          <w:lang w:eastAsia="it-IT"/>
        </w:rPr>
        <w:t>In December 2018, the European Union Agency for Fundamental Rights (FRA) published two short reports which contain an overview of the European state of affairs on the transition from institutions to community living, together with some general opinions on the obstacles to deinstitutionalisation. These documents contain some information concerning Italy.</w:t>
      </w:r>
      <w:r w:rsidRPr="001A3B30">
        <w:rPr>
          <w:rFonts w:cs="Arial"/>
          <w:szCs w:val="24"/>
          <w:vertAlign w:val="superscript"/>
          <w:lang w:eastAsia="it-IT"/>
        </w:rPr>
        <w:footnoteReference w:id="21"/>
      </w:r>
      <w:r w:rsidRPr="001A3B30">
        <w:rPr>
          <w:rFonts w:cs="Arial"/>
          <w:szCs w:val="24"/>
          <w:lang w:eastAsia="it-IT"/>
        </w:rPr>
        <w:t xml:space="preserve"> </w:t>
      </w:r>
      <w:r w:rsidRPr="001A3B30">
        <w:rPr>
          <w:rFonts w:cs="Arial"/>
          <w:color w:val="000000"/>
          <w:szCs w:val="24"/>
          <w:lang w:eastAsia="it-IT"/>
        </w:rPr>
        <w:t xml:space="preserve">This study stresses that various forms of in-home support and hospitality are provided locally in several day-care centres to foster autonomy, as well as a number of labour inclusion services for persons with disabilities. </w:t>
      </w:r>
      <w:r w:rsidRPr="001A3B30">
        <w:rPr>
          <w:rFonts w:cs="Arial"/>
          <w:color w:val="000000"/>
          <w:szCs w:val="24"/>
          <w:lang w:eastAsia="it-IT"/>
        </w:rPr>
        <w:lastRenderedPageBreak/>
        <w:t xml:space="preserve">These facilities and services tend to be run by social cooperatives that work closely with local authorities, often also in cooperation with regions committed to achieving deinstitutionalisation. It must be noted that the FRA report considers a very specific case study, therefore it is limited in scope. </w:t>
      </w:r>
    </w:p>
    <w:p w14:paraId="43A97497" w14:textId="77777777" w:rsidR="0046751E" w:rsidRDefault="0046751E" w:rsidP="0046751E">
      <w:pPr>
        <w:autoSpaceDE w:val="0"/>
        <w:autoSpaceDN w:val="0"/>
        <w:adjustRightInd w:val="0"/>
        <w:jc w:val="both"/>
        <w:rPr>
          <w:rFonts w:cs="Arial"/>
          <w:color w:val="000000"/>
          <w:szCs w:val="24"/>
          <w:lang w:eastAsia="it-IT"/>
        </w:rPr>
      </w:pPr>
    </w:p>
    <w:p w14:paraId="63096CBB" w14:textId="63171178" w:rsidR="00000C42" w:rsidRDefault="00E86322" w:rsidP="0046751E">
      <w:pPr>
        <w:pStyle w:val="Heading2"/>
        <w:rPr>
          <w:u w:color="000000"/>
          <w:bdr w:val="nil"/>
          <w:lang w:eastAsia="it-IT"/>
        </w:rPr>
      </w:pPr>
      <w:bookmarkStart w:id="26" w:name="_Toc5724459"/>
      <w:r w:rsidRPr="001A3B30">
        <w:rPr>
          <w:u w:color="000000"/>
          <w:bdr w:val="nil"/>
          <w:lang w:eastAsia="it-IT"/>
        </w:rPr>
        <w:t>Observations and recommendations by national human rights bodies</w:t>
      </w:r>
      <w:bookmarkEnd w:id="26"/>
      <w:r w:rsidRPr="001A3B30">
        <w:rPr>
          <w:u w:color="000000"/>
          <w:bdr w:val="nil"/>
          <w:lang w:eastAsia="it-IT"/>
        </w:rPr>
        <w:tab/>
      </w:r>
    </w:p>
    <w:p w14:paraId="0706213B" w14:textId="77777777" w:rsidR="0046751E" w:rsidRPr="0046751E" w:rsidRDefault="0046751E" w:rsidP="0046751E">
      <w:pPr>
        <w:rPr>
          <w:rFonts w:eastAsia="Arial"/>
          <w:lang w:eastAsia="it-IT" w:bidi="en-US"/>
        </w:rPr>
      </w:pPr>
    </w:p>
    <w:p w14:paraId="7B9D3432" w14:textId="336A7928"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Established in 2013, the National Guarantor for the Rights of Persons Detained or Deprived of Personal Liberty (GNPL) became operational in 2016. The GNPL is an independent state body authorised to monitor places characterised by deprivation of freedom by visiting them without prior notification.</w:t>
      </w:r>
    </w:p>
    <w:p w14:paraId="16B6C56E" w14:textId="77777777" w:rsidR="0046751E" w:rsidRPr="001A3B30" w:rsidRDefault="0046751E" w:rsidP="001A3B30">
      <w:pPr>
        <w:jc w:val="both"/>
        <w:rPr>
          <w:rFonts w:eastAsia="Arial" w:cs="Arial"/>
          <w:b/>
          <w:bCs/>
          <w:szCs w:val="24"/>
          <w:shd w:val="clear" w:color="auto" w:fill="FFFFFF"/>
          <w:lang w:eastAsia="it-IT"/>
        </w:rPr>
      </w:pPr>
    </w:p>
    <w:p w14:paraId="58E86271" w14:textId="737FDF0D"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As a national preventive mechanism — as per the Optional Protocol to the Convention against Torture and Other Cruel, Inhuman or Degrading Treatment or Punishment</w:t>
      </w:r>
      <w:r w:rsidRPr="0046751E">
        <w:rPr>
          <w:rFonts w:cs="Arial"/>
          <w:shd w:val="clear" w:color="auto" w:fill="FFFFFF"/>
          <w:vertAlign w:val="superscript"/>
          <w:lang w:eastAsia="it-IT"/>
        </w:rPr>
        <w:footnoteReference w:id="22"/>
      </w:r>
      <w:r w:rsidRPr="001A3B30">
        <w:rPr>
          <w:rFonts w:cs="Arial"/>
          <w:szCs w:val="24"/>
          <w:shd w:val="clear" w:color="auto" w:fill="FFFFFF"/>
          <w:lang w:eastAsia="it-IT"/>
        </w:rPr>
        <w:t xml:space="preserve"> and as per Article 33 of the CRPD — the GNPL monitors residential facilities to ensure that persons with disabilities, in particular intellectual or psychosocial disabilities, shall not be deprived of their freedom illegally or arbitrarily. The objective here is to ensure that disability is not used as a prerogative or excuse for restrictions of freedom or for segregation.</w:t>
      </w:r>
    </w:p>
    <w:p w14:paraId="0B9CF4BB" w14:textId="77777777" w:rsidR="0046751E" w:rsidRPr="001A3B30" w:rsidRDefault="0046751E" w:rsidP="001A3B30">
      <w:pPr>
        <w:jc w:val="both"/>
        <w:rPr>
          <w:rFonts w:cs="Arial"/>
          <w:szCs w:val="24"/>
          <w:shd w:val="clear" w:color="auto" w:fill="FFFFFF"/>
          <w:lang w:eastAsia="it-IT"/>
        </w:rPr>
      </w:pPr>
    </w:p>
    <w:p w14:paraId="661561B0" w14:textId="4A306989"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 xml:space="preserve">The GNPL’s work stems from recommendation No 42 of the </w:t>
      </w:r>
      <w:r w:rsidRPr="001A3B30">
        <w:rPr>
          <w:rFonts w:cs="Arial"/>
          <w:i/>
          <w:iCs/>
          <w:szCs w:val="24"/>
          <w:shd w:val="clear" w:color="auto" w:fill="FFFFFF"/>
          <w:lang w:eastAsia="it-IT"/>
        </w:rPr>
        <w:t>Concluding observations on the initial report of Italy</w:t>
      </w:r>
      <w:r w:rsidRPr="0046751E">
        <w:rPr>
          <w:rFonts w:cs="Arial"/>
          <w:shd w:val="clear" w:color="auto" w:fill="FFFFFF"/>
          <w:vertAlign w:val="superscript"/>
          <w:lang w:eastAsia="it-IT"/>
        </w:rPr>
        <w:footnoteReference w:id="23"/>
      </w:r>
      <w:r w:rsidRPr="001A3B30">
        <w:rPr>
          <w:rFonts w:cs="Arial"/>
          <w:szCs w:val="24"/>
          <w:shd w:val="clear" w:color="auto" w:fill="FFFFFF"/>
          <w:lang w:eastAsia="it-IT"/>
        </w:rPr>
        <w:t xml:space="preserve"> of 6 October 2016 of the Committee on the Rights of Persons with Disabilities (5.1). </w:t>
      </w:r>
    </w:p>
    <w:p w14:paraId="3E4D7F7E" w14:textId="77777777" w:rsidR="0046751E" w:rsidRPr="001A3B30" w:rsidRDefault="0046751E" w:rsidP="001A3B30">
      <w:pPr>
        <w:jc w:val="both"/>
        <w:rPr>
          <w:rFonts w:cs="Arial"/>
          <w:szCs w:val="24"/>
          <w:shd w:val="clear" w:color="auto" w:fill="FFFFFF"/>
          <w:lang w:eastAsia="it-IT"/>
        </w:rPr>
      </w:pPr>
    </w:p>
    <w:p w14:paraId="5D519891" w14:textId="3E20CCA1"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The National Guarantor started monitoring health and social care homes</w:t>
      </w:r>
      <w:r w:rsidRPr="001A3B30">
        <w:rPr>
          <w:rFonts w:cs="Arial"/>
          <w:i/>
          <w:iCs/>
          <w:szCs w:val="24"/>
          <w:shd w:val="clear" w:color="auto" w:fill="FFFFFF"/>
          <w:lang w:eastAsia="it-IT"/>
        </w:rPr>
        <w:t xml:space="preserve"> </w:t>
      </w:r>
      <w:r w:rsidRPr="001A3B30">
        <w:rPr>
          <w:rFonts w:cs="Arial"/>
          <w:szCs w:val="24"/>
          <w:shd w:val="clear" w:color="auto" w:fill="FFFFFF"/>
          <w:lang w:eastAsia="it-IT"/>
        </w:rPr>
        <w:t>in June 2017.</w:t>
      </w:r>
      <w:r w:rsidRPr="001A3B30">
        <w:rPr>
          <w:rFonts w:cs="Arial"/>
          <w:sz w:val="20"/>
          <w:shd w:val="clear" w:color="auto" w:fill="FFFFFF"/>
          <w:vertAlign w:val="superscript"/>
          <w:lang w:eastAsia="it-IT"/>
        </w:rPr>
        <w:footnoteReference w:id="24"/>
      </w:r>
      <w:r w:rsidRPr="001A3B30">
        <w:rPr>
          <w:rFonts w:cs="Arial"/>
          <w:szCs w:val="24"/>
          <w:shd w:val="clear" w:color="auto" w:fill="FFFFFF"/>
          <w:lang w:eastAsia="it-IT"/>
        </w:rPr>
        <w:t xml:space="preserve"> In light of the lack of official data, the GNPL created its own national register of residential and semi-residential facilities. This database allows facilities to be located according to a dedicated information and risk indexing system. </w:t>
      </w:r>
    </w:p>
    <w:p w14:paraId="0B571DC0" w14:textId="77777777" w:rsidR="0046751E" w:rsidRPr="001A3B30" w:rsidRDefault="0046751E" w:rsidP="001A3B30">
      <w:pPr>
        <w:jc w:val="both"/>
        <w:rPr>
          <w:rFonts w:cs="Arial"/>
          <w:szCs w:val="24"/>
          <w:shd w:val="clear" w:color="auto" w:fill="FFFFFF"/>
          <w:lang w:eastAsia="it-IT"/>
        </w:rPr>
      </w:pPr>
    </w:p>
    <w:p w14:paraId="1E56E7A4" w14:textId="281CF963"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 xml:space="preserve">During its monitoring visits, the GNPL often found inadequacies in living and support conditions in the residential facilities, with improper forms of freedom reduction, abuses or treatments that did not respect the dignity of the person, as well as the use of restraint tools. </w:t>
      </w:r>
    </w:p>
    <w:p w14:paraId="7A980C00" w14:textId="77777777" w:rsidR="0046751E" w:rsidRPr="001A3B30" w:rsidRDefault="0046751E" w:rsidP="001A3B30">
      <w:pPr>
        <w:jc w:val="both"/>
        <w:rPr>
          <w:rFonts w:cs="Arial"/>
          <w:szCs w:val="24"/>
          <w:shd w:val="clear" w:color="auto" w:fill="FFFFFF"/>
          <w:lang w:eastAsia="it-IT"/>
        </w:rPr>
      </w:pPr>
    </w:p>
    <w:p w14:paraId="070146D0" w14:textId="36114F51" w:rsid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 xml:space="preserve">The main problem is </w:t>
      </w:r>
      <w:r w:rsidRPr="001A3B30">
        <w:rPr>
          <w:rFonts w:cs="Arial"/>
          <w:iCs/>
          <w:szCs w:val="24"/>
          <w:shd w:val="clear" w:color="auto" w:fill="FFFFFF"/>
          <w:lang w:eastAsia="it-IT"/>
        </w:rPr>
        <w:t>de facto</w:t>
      </w:r>
      <w:r w:rsidRPr="001A3B30">
        <w:rPr>
          <w:rFonts w:cs="Arial"/>
          <w:i/>
          <w:iCs/>
          <w:szCs w:val="24"/>
          <w:shd w:val="clear" w:color="auto" w:fill="FFFFFF"/>
          <w:lang w:eastAsia="it-IT"/>
        </w:rPr>
        <w:t xml:space="preserve"> </w:t>
      </w:r>
      <w:r w:rsidRPr="001A3B30">
        <w:rPr>
          <w:rFonts w:cs="Arial"/>
          <w:szCs w:val="24"/>
          <w:shd w:val="clear" w:color="auto" w:fill="FFFFFF"/>
          <w:lang w:eastAsia="it-IT"/>
        </w:rPr>
        <w:t>segregation: the process of involuntary institutionalisation that tends to arise after a person voluntarily joins the residential facility, when the social services do not put in place adequate forms of community-based support.</w:t>
      </w:r>
    </w:p>
    <w:p w14:paraId="511C9EE1" w14:textId="77777777" w:rsidR="0046751E" w:rsidRPr="001A3B30" w:rsidRDefault="0046751E" w:rsidP="001A3B30">
      <w:pPr>
        <w:jc w:val="both"/>
        <w:rPr>
          <w:rFonts w:cs="Arial"/>
          <w:szCs w:val="24"/>
          <w:shd w:val="clear" w:color="auto" w:fill="FFFFFF"/>
          <w:lang w:eastAsia="it-IT"/>
        </w:rPr>
      </w:pPr>
    </w:p>
    <w:p w14:paraId="570650EF" w14:textId="77777777" w:rsidR="001A3B30" w:rsidRP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t>After a period of embargo, the GNPL makes its observations with respect to its monitoring visits publicly available.</w:t>
      </w:r>
      <w:r w:rsidRPr="0046751E">
        <w:rPr>
          <w:rFonts w:cs="Arial"/>
          <w:shd w:val="clear" w:color="auto" w:fill="FFFFFF"/>
          <w:vertAlign w:val="superscript"/>
          <w:lang w:eastAsia="it-IT"/>
        </w:rPr>
        <w:footnoteReference w:id="25"/>
      </w:r>
    </w:p>
    <w:p w14:paraId="285BC395" w14:textId="77777777" w:rsidR="001A3B30" w:rsidRPr="001A3B30" w:rsidRDefault="001A3B30" w:rsidP="001A3B30">
      <w:pPr>
        <w:jc w:val="both"/>
        <w:rPr>
          <w:rFonts w:cs="Arial"/>
          <w:szCs w:val="24"/>
          <w:shd w:val="clear" w:color="auto" w:fill="FFFFFF"/>
          <w:lang w:eastAsia="it-IT"/>
        </w:rPr>
      </w:pPr>
      <w:r w:rsidRPr="001A3B30">
        <w:rPr>
          <w:rFonts w:cs="Arial"/>
          <w:szCs w:val="24"/>
          <w:shd w:val="clear" w:color="auto" w:fill="FFFFFF"/>
          <w:lang w:eastAsia="it-IT"/>
        </w:rPr>
        <w:lastRenderedPageBreak/>
        <w:t>The GNPL publishes its observations and general recommendations in its annual report to the Parliament.</w:t>
      </w:r>
      <w:r w:rsidRPr="001A3B30">
        <w:rPr>
          <w:rFonts w:cs="Arial"/>
          <w:sz w:val="20"/>
          <w:shd w:val="clear" w:color="auto" w:fill="FFFFFF"/>
          <w:vertAlign w:val="superscript"/>
          <w:lang w:eastAsia="it-IT"/>
        </w:rPr>
        <w:footnoteReference w:id="26"/>
      </w:r>
    </w:p>
    <w:p w14:paraId="636AEE0A" w14:textId="77777777" w:rsidR="001A3B30" w:rsidRPr="001A3B30" w:rsidRDefault="001A3B30" w:rsidP="001A3B30">
      <w:pPr>
        <w:ind w:left="567" w:hanging="567"/>
        <w:jc w:val="both"/>
        <w:rPr>
          <w:rFonts w:ascii="Times New Roman" w:hAnsi="Times New Roman"/>
          <w:szCs w:val="24"/>
          <w:lang w:eastAsia="it-IT"/>
        </w:rPr>
      </w:pPr>
    </w:p>
    <w:p w14:paraId="183AD758" w14:textId="5ED9F31C" w:rsidR="00000C42" w:rsidRDefault="00E86322" w:rsidP="0046751E">
      <w:pPr>
        <w:pStyle w:val="Heading2"/>
        <w:rPr>
          <w:u w:color="000000"/>
          <w:bdr w:val="nil"/>
          <w:lang w:eastAsia="it-IT"/>
        </w:rPr>
      </w:pPr>
      <w:bookmarkStart w:id="27" w:name="_Toc5724460"/>
      <w:r w:rsidRPr="001A3B30">
        <w:rPr>
          <w:u w:color="000000"/>
          <w:bdr w:val="nil"/>
          <w:lang w:eastAsia="it-IT"/>
        </w:rPr>
        <w:t>Observations and recommendations by national or regional/devolved Parliaments and assemblies</w:t>
      </w:r>
      <w:bookmarkEnd w:id="27"/>
    </w:p>
    <w:p w14:paraId="6A50648B" w14:textId="77777777" w:rsidR="0046751E" w:rsidRPr="0046751E" w:rsidRDefault="0046751E" w:rsidP="0046751E">
      <w:pPr>
        <w:rPr>
          <w:rFonts w:eastAsia="Arial"/>
          <w:lang w:eastAsia="it-IT" w:bidi="en-US"/>
        </w:rPr>
      </w:pPr>
    </w:p>
    <w:p w14:paraId="2463F90D" w14:textId="77777777" w:rsidR="001A3B30" w:rsidRPr="001A3B30" w:rsidRDefault="001A3B30" w:rsidP="001A3B30">
      <w:pPr>
        <w:jc w:val="both"/>
        <w:rPr>
          <w:rFonts w:cs="Arial"/>
          <w:szCs w:val="24"/>
          <w:lang w:eastAsia="it-IT"/>
        </w:rPr>
      </w:pPr>
      <w:r w:rsidRPr="001A3B30">
        <w:rPr>
          <w:rFonts w:cs="Arial"/>
          <w:szCs w:val="24"/>
          <w:lang w:eastAsia="it-IT"/>
        </w:rPr>
        <w:t>There are no available documents on this topic.</w:t>
      </w:r>
    </w:p>
    <w:p w14:paraId="2A563666" w14:textId="77777777" w:rsidR="001A3B30" w:rsidRPr="001A3B30" w:rsidRDefault="001A3B30" w:rsidP="001A3B30">
      <w:pPr>
        <w:jc w:val="both"/>
        <w:rPr>
          <w:rFonts w:cs="Arial"/>
          <w:szCs w:val="24"/>
          <w:lang w:eastAsia="it-IT"/>
        </w:rPr>
      </w:pPr>
    </w:p>
    <w:p w14:paraId="4871B641" w14:textId="77777777" w:rsidR="001A3B30" w:rsidRPr="001A3B30" w:rsidRDefault="00E86322" w:rsidP="0046751E">
      <w:pPr>
        <w:pStyle w:val="Heading1"/>
        <w:rPr>
          <w:u w:color="000000"/>
          <w:bdr w:val="nil"/>
          <w:lang w:eastAsia="it-IT"/>
        </w:rPr>
      </w:pPr>
      <w:bookmarkStart w:id="28" w:name="_Toc5724461"/>
      <w:r w:rsidRPr="001A3B30">
        <w:rPr>
          <w:u w:color="000000"/>
          <w:bdr w:val="nil"/>
          <w:lang w:eastAsia="it-IT"/>
        </w:rPr>
        <w:t>Views and perspectives of civil society including DPOs</w:t>
      </w:r>
      <w:bookmarkEnd w:id="28"/>
    </w:p>
    <w:p w14:paraId="4D69B53A" w14:textId="77777777" w:rsidR="001A3B30" w:rsidRPr="001A3B30" w:rsidRDefault="001A3B30" w:rsidP="001A3B30">
      <w:pPr>
        <w:jc w:val="both"/>
        <w:rPr>
          <w:rFonts w:ascii="Times New Roman" w:hAnsi="Times New Roman"/>
          <w:b/>
          <w:bCs/>
          <w:szCs w:val="24"/>
          <w:lang w:eastAsia="it-IT"/>
        </w:rPr>
      </w:pPr>
    </w:p>
    <w:p w14:paraId="6B5A5533" w14:textId="55EC2C7E" w:rsidR="00000C42" w:rsidRDefault="00E86322" w:rsidP="0046751E">
      <w:pPr>
        <w:pStyle w:val="Heading2"/>
        <w:rPr>
          <w:u w:color="000000"/>
          <w:bdr w:val="nil"/>
          <w:lang w:eastAsia="it-IT"/>
        </w:rPr>
      </w:pPr>
      <w:bookmarkStart w:id="29" w:name="_Toc5724462"/>
      <w:r w:rsidRPr="001A3B30">
        <w:rPr>
          <w:u w:color="000000"/>
          <w:bdr w:val="nil"/>
          <w:lang w:eastAsia="it-IT"/>
        </w:rPr>
        <w:t>UNCRPD civil society shadow and alternative reports</w:t>
      </w:r>
      <w:bookmarkEnd w:id="29"/>
    </w:p>
    <w:p w14:paraId="6073AFAB" w14:textId="77777777" w:rsidR="0046751E" w:rsidRPr="0046751E" w:rsidRDefault="0046751E" w:rsidP="0046751E">
      <w:pPr>
        <w:rPr>
          <w:rFonts w:eastAsia="Arial"/>
          <w:lang w:eastAsia="it-IT" w:bidi="en-US"/>
        </w:rPr>
      </w:pPr>
    </w:p>
    <w:p w14:paraId="03836B49" w14:textId="77777777" w:rsidR="001A3B30" w:rsidRPr="001A3B30" w:rsidRDefault="001A3B30" w:rsidP="001A3B30">
      <w:pPr>
        <w:jc w:val="both"/>
        <w:rPr>
          <w:rFonts w:cs="Arial"/>
          <w:szCs w:val="24"/>
          <w:lang w:eastAsia="it-IT"/>
        </w:rPr>
      </w:pPr>
      <w:r w:rsidRPr="001A3B30">
        <w:rPr>
          <w:rFonts w:cs="Arial"/>
          <w:szCs w:val="24"/>
          <w:lang w:eastAsia="it-IT"/>
        </w:rPr>
        <w:t xml:space="preserve">This subsection comprises the comments on Article 19 made by the </w:t>
      </w:r>
      <w:r w:rsidRPr="001A3B30">
        <w:rPr>
          <w:rFonts w:cs="Arial"/>
          <w:i/>
          <w:iCs/>
          <w:szCs w:val="24"/>
          <w:lang w:eastAsia="it-IT"/>
        </w:rPr>
        <w:t xml:space="preserve">Forum </w:t>
      </w:r>
      <w:proofErr w:type="spellStart"/>
      <w:r w:rsidRPr="001A3B30">
        <w:rPr>
          <w:rFonts w:cs="Arial"/>
          <w:i/>
          <w:iCs/>
          <w:szCs w:val="24"/>
          <w:lang w:eastAsia="it-IT"/>
        </w:rPr>
        <w:t>italiano</w:t>
      </w:r>
      <w:proofErr w:type="spellEnd"/>
      <w:r w:rsidRPr="001A3B30">
        <w:rPr>
          <w:rFonts w:cs="Arial"/>
          <w:i/>
          <w:iCs/>
          <w:szCs w:val="24"/>
          <w:lang w:eastAsia="it-IT"/>
        </w:rPr>
        <w:t xml:space="preserve"> </w:t>
      </w:r>
      <w:proofErr w:type="spellStart"/>
      <w:r w:rsidRPr="001A3B30">
        <w:rPr>
          <w:rFonts w:cs="Arial"/>
          <w:i/>
          <w:iCs/>
          <w:szCs w:val="24"/>
          <w:lang w:eastAsia="it-IT"/>
        </w:rPr>
        <w:t>sulla</w:t>
      </w:r>
      <w:proofErr w:type="spellEnd"/>
      <w:r w:rsidRPr="001A3B30">
        <w:rPr>
          <w:rFonts w:cs="Arial"/>
          <w:i/>
          <w:iCs/>
          <w:szCs w:val="24"/>
          <w:lang w:eastAsia="it-IT"/>
        </w:rPr>
        <w:t xml:space="preserve"> </w:t>
      </w:r>
      <w:proofErr w:type="spellStart"/>
      <w:r w:rsidRPr="001A3B30">
        <w:rPr>
          <w:rFonts w:cs="Arial"/>
          <w:i/>
          <w:iCs/>
          <w:szCs w:val="24"/>
          <w:lang w:eastAsia="it-IT"/>
        </w:rPr>
        <w:t>disabilità</w:t>
      </w:r>
      <w:proofErr w:type="spellEnd"/>
      <w:r w:rsidRPr="001A3B30">
        <w:rPr>
          <w:rFonts w:cs="Arial"/>
          <w:szCs w:val="24"/>
          <w:lang w:eastAsia="it-IT"/>
        </w:rPr>
        <w:t xml:space="preserve"> in its report on the CRPD, which is an alternative report to that prepared by the Italian state:</w:t>
      </w:r>
      <w:r w:rsidRPr="001A3B30">
        <w:rPr>
          <w:rFonts w:cs="Arial"/>
          <w:szCs w:val="24"/>
          <w:vertAlign w:val="superscript"/>
          <w:lang w:eastAsia="it-IT"/>
        </w:rPr>
        <w:footnoteReference w:id="27"/>
      </w:r>
      <w:bookmarkStart w:id="30" w:name="_RefHeading___Toc440869001"/>
      <w:bookmarkEnd w:id="30"/>
    </w:p>
    <w:p w14:paraId="63B77668" w14:textId="77777777" w:rsidR="001A3B30" w:rsidRPr="001A3B30" w:rsidRDefault="001A3B30" w:rsidP="001A3B30">
      <w:pPr>
        <w:jc w:val="both"/>
        <w:rPr>
          <w:rFonts w:cs="Arial"/>
          <w:szCs w:val="24"/>
          <w:lang w:eastAsia="it-IT"/>
        </w:rPr>
      </w:pPr>
      <w:bookmarkStart w:id="31" w:name="_RefHeading___Toc440869003"/>
      <w:bookmarkEnd w:id="31"/>
    </w:p>
    <w:p w14:paraId="1046580A" w14:textId="77777777" w:rsidR="001A3B30" w:rsidRPr="001A3B30" w:rsidRDefault="001A3B30" w:rsidP="001A3B30">
      <w:pPr>
        <w:ind w:left="567"/>
        <w:jc w:val="both"/>
        <w:rPr>
          <w:rFonts w:cs="Arial"/>
          <w:b/>
          <w:bCs/>
          <w:szCs w:val="24"/>
          <w:lang w:eastAsia="it-IT"/>
        </w:rPr>
      </w:pPr>
      <w:r w:rsidRPr="001A3B30">
        <w:rPr>
          <w:rFonts w:cs="Arial"/>
          <w:i/>
          <w:iCs/>
          <w:szCs w:val="24"/>
          <w:lang w:eastAsia="it-IT"/>
        </w:rPr>
        <w:t xml:space="preserve">[Extract from the report] </w:t>
      </w:r>
      <w:r w:rsidRPr="001A3B30">
        <w:rPr>
          <w:rFonts w:cs="Arial"/>
          <w:szCs w:val="24"/>
          <w:lang w:eastAsia="it-IT"/>
        </w:rPr>
        <w:t>In the last years regional policies which re-introduce institutional solutions for persons with disabilities have increased, such as those in the regions of Marche, Campania, Tuscany.</w:t>
      </w:r>
      <w:r w:rsidRPr="001A3B30">
        <w:rPr>
          <w:rFonts w:cs="Arial"/>
          <w:szCs w:val="24"/>
          <w:vertAlign w:val="superscript"/>
          <w:lang w:eastAsia="it-IT"/>
        </w:rPr>
        <w:footnoteReference w:id="28"/>
      </w:r>
      <w:r w:rsidRPr="001A3B30">
        <w:rPr>
          <w:rFonts w:cs="Arial"/>
          <w:szCs w:val="24"/>
          <w:lang w:eastAsia="it-IT"/>
        </w:rPr>
        <w:t xml:space="preserve"> Italy does not yet offer on its national territory and in a homogeneous way, throughout the regions, appropriate support for guaranteeing persons with disabilities that need more support, the ‘</w:t>
      </w:r>
      <w:r w:rsidRPr="001A3B30">
        <w:rPr>
          <w:rFonts w:cs="Arial"/>
          <w:i/>
          <w:iCs/>
          <w:szCs w:val="24"/>
          <w:lang w:eastAsia="it-IT"/>
        </w:rPr>
        <w:t>possibility to choose, on an equal basis with others, their own residence and where and with who to live and not obliged to live in a particular accommodation</w:t>
      </w:r>
      <w:r w:rsidRPr="001A3B30">
        <w:rPr>
          <w:rFonts w:cs="Arial"/>
          <w:iCs/>
          <w:szCs w:val="24"/>
          <w:lang w:eastAsia="it-IT"/>
        </w:rPr>
        <w:t>’</w:t>
      </w:r>
      <w:r w:rsidRPr="001A3B30">
        <w:rPr>
          <w:rFonts w:cs="Arial"/>
          <w:i/>
          <w:iCs/>
          <w:szCs w:val="24"/>
          <w:lang w:eastAsia="it-IT"/>
        </w:rPr>
        <w:t>.</w:t>
      </w:r>
    </w:p>
    <w:p w14:paraId="75AC2C74" w14:textId="77777777" w:rsidR="001A3B30" w:rsidRPr="001A3B30" w:rsidRDefault="001A3B30" w:rsidP="001A3B30">
      <w:pPr>
        <w:ind w:left="567"/>
        <w:jc w:val="both"/>
        <w:rPr>
          <w:rFonts w:cs="Arial"/>
          <w:szCs w:val="24"/>
          <w:lang w:eastAsia="it-IT"/>
        </w:rPr>
      </w:pPr>
      <w:r w:rsidRPr="001A3B30">
        <w:rPr>
          <w:rFonts w:cs="Arial"/>
          <w:szCs w:val="24"/>
          <w:lang w:eastAsia="it-IT"/>
        </w:rPr>
        <w:t>In Italy there is a consolidated tradition of admitting adults with disabilities who do not have family support to segregating institutions which are managed mainly by religious bodies. The alternatives to residential solutions (small group homes, supported living units, support measures at home, etc.) are still very few and mainly reserved for persons with mild disabilities.</w:t>
      </w:r>
      <w:r w:rsidRPr="001A3B30">
        <w:rPr>
          <w:rFonts w:cs="Arial"/>
          <w:szCs w:val="24"/>
          <w:vertAlign w:val="superscript"/>
          <w:lang w:eastAsia="it-IT"/>
        </w:rPr>
        <w:footnoteReference w:id="29"/>
      </w:r>
      <w:r w:rsidRPr="001A3B30">
        <w:rPr>
          <w:rFonts w:cs="Arial"/>
          <w:szCs w:val="24"/>
          <w:lang w:eastAsia="it-IT"/>
        </w:rPr>
        <w:t xml:space="preserve"> 3.4 % only of people living in residential facilities have access to small family type communities or to community housing. More than 90 % live in institutions. </w:t>
      </w:r>
    </w:p>
    <w:p w14:paraId="69326083" w14:textId="77777777" w:rsidR="001A3B30" w:rsidRPr="001A3B30" w:rsidRDefault="001A3B30" w:rsidP="001A3B30">
      <w:pPr>
        <w:ind w:left="567"/>
        <w:jc w:val="both"/>
        <w:rPr>
          <w:rFonts w:cs="Arial"/>
          <w:szCs w:val="24"/>
          <w:lang w:eastAsia="it-IT"/>
        </w:rPr>
      </w:pPr>
    </w:p>
    <w:p w14:paraId="4CAD83E4" w14:textId="0DB8A698" w:rsidR="001A3B30" w:rsidRPr="001A3B30" w:rsidRDefault="001A3B30" w:rsidP="001A3B30">
      <w:pPr>
        <w:ind w:left="567"/>
        <w:jc w:val="both"/>
        <w:rPr>
          <w:rFonts w:cs="Arial"/>
          <w:szCs w:val="24"/>
          <w:lang w:eastAsia="it-IT"/>
        </w:rPr>
      </w:pPr>
      <w:r w:rsidRPr="001A3B30">
        <w:rPr>
          <w:rFonts w:cs="Arial"/>
          <w:szCs w:val="24"/>
          <w:lang w:eastAsia="it-IT"/>
        </w:rPr>
        <w:t xml:space="preserve">The reasons cited for maintaining residential services are usually organizational and economic. These reasons, however, are in conflict with the right </w:t>
      </w:r>
      <w:r w:rsidR="00F61745" w:rsidRPr="001A3B30">
        <w:rPr>
          <w:rFonts w:cs="Arial"/>
          <w:szCs w:val="24"/>
          <w:lang w:eastAsia="it-IT"/>
        </w:rPr>
        <w:t>to choose</w:t>
      </w:r>
      <w:r w:rsidRPr="001A3B30">
        <w:rPr>
          <w:rFonts w:cs="Arial"/>
          <w:szCs w:val="24"/>
          <w:lang w:eastAsia="it-IT"/>
        </w:rPr>
        <w:t xml:space="preserve"> and on preferences of persons with disabilities, thus violating the inner dignity of persons with disabilities. No positive trend towards community living is occurring after the ratification of CRPD. Individual supports to independent living, including personal assistance, are not equally ensured across regions. Moreover</w:t>
      </w:r>
      <w:r w:rsidR="00F61745">
        <w:rPr>
          <w:rFonts w:cs="Arial"/>
          <w:szCs w:val="24"/>
          <w:lang w:eastAsia="it-IT"/>
        </w:rPr>
        <w:t>,</w:t>
      </w:r>
      <w:r w:rsidRPr="001A3B30">
        <w:rPr>
          <w:rFonts w:cs="Arial"/>
          <w:szCs w:val="24"/>
          <w:lang w:eastAsia="it-IT"/>
        </w:rPr>
        <w:t xml:space="preserve"> alternative options to institutionalization in big-size facilities (smaller living communities, home groups, etc.) often maintain an institutional organization, as residents do not have choice and control over their own lives.</w:t>
      </w:r>
    </w:p>
    <w:p w14:paraId="37A996CC" w14:textId="77777777" w:rsidR="001A3B30" w:rsidRPr="001A3B30" w:rsidRDefault="001A3B30" w:rsidP="001A3B30">
      <w:pPr>
        <w:ind w:left="567" w:hanging="567"/>
        <w:jc w:val="both"/>
        <w:rPr>
          <w:rFonts w:cs="Arial"/>
          <w:b/>
          <w:bCs/>
          <w:sz w:val="20"/>
          <w:shd w:val="clear" w:color="auto" w:fill="FF00FF"/>
          <w:lang w:eastAsia="it-IT"/>
        </w:rPr>
      </w:pPr>
      <w:bookmarkStart w:id="32" w:name="_RefHeading___Toc440809211"/>
      <w:bookmarkEnd w:id="32"/>
    </w:p>
    <w:p w14:paraId="000AE934" w14:textId="6515F05D" w:rsidR="001A3B30" w:rsidRPr="001A3B30" w:rsidRDefault="001A3B30" w:rsidP="001A3B30">
      <w:pPr>
        <w:ind w:left="567"/>
        <w:jc w:val="both"/>
        <w:rPr>
          <w:rFonts w:cs="Arial"/>
          <w:szCs w:val="24"/>
          <w:lang w:eastAsia="it-IT"/>
        </w:rPr>
      </w:pPr>
      <w:r w:rsidRPr="001A3B30">
        <w:rPr>
          <w:rFonts w:cs="Arial"/>
          <w:szCs w:val="24"/>
          <w:lang w:eastAsia="it-IT"/>
        </w:rPr>
        <w:t xml:space="preserve">Regional policies continue to promote institutionalization of persons with disabilities, and sometimes their re-institutionalization as a consequence of </w:t>
      </w:r>
      <w:r w:rsidRPr="001A3B30">
        <w:rPr>
          <w:rFonts w:cs="Arial"/>
          <w:szCs w:val="24"/>
          <w:lang w:eastAsia="it-IT"/>
        </w:rPr>
        <w:lastRenderedPageBreak/>
        <w:t>austerity measures. For instance, in the Marche region the Resolution 1260/2013 of the Regional Council establishes that residential units for persons with disabilities must not have less than 20 beds</w:t>
      </w:r>
      <w:r w:rsidR="00F61745">
        <w:rPr>
          <w:rFonts w:cs="Arial"/>
          <w:szCs w:val="24"/>
          <w:lang w:eastAsia="it-IT"/>
        </w:rPr>
        <w:t xml:space="preserve"> </w:t>
      </w:r>
      <w:r w:rsidRPr="001A3B30">
        <w:rPr>
          <w:rFonts w:cs="Arial"/>
          <w:szCs w:val="24"/>
          <w:lang w:eastAsia="it-IT"/>
        </w:rPr>
        <w:t xml:space="preserve">and recommends </w:t>
      </w:r>
      <w:r w:rsidR="00F61745" w:rsidRPr="001A3B30">
        <w:rPr>
          <w:rFonts w:cs="Arial"/>
          <w:szCs w:val="24"/>
          <w:lang w:eastAsia="it-IT"/>
        </w:rPr>
        <w:t>merging</w:t>
      </w:r>
      <w:r w:rsidRPr="001A3B30">
        <w:rPr>
          <w:rFonts w:cs="Arial"/>
          <w:szCs w:val="24"/>
          <w:lang w:eastAsia="it-IT"/>
        </w:rPr>
        <w:t xml:space="preserve"> 20-beds units in residential facilities accommodating not less than 40-60 residents. In Tuscany, two big institutions for persons with intellectual and developmental disabilities are under construction: in </w:t>
      </w:r>
      <w:proofErr w:type="spellStart"/>
      <w:r w:rsidRPr="001A3B30">
        <w:rPr>
          <w:rFonts w:cs="Arial"/>
          <w:szCs w:val="24"/>
          <w:lang w:eastAsia="it-IT"/>
        </w:rPr>
        <w:t>Empoli</w:t>
      </w:r>
      <w:proofErr w:type="spellEnd"/>
      <w:r w:rsidRPr="001A3B30">
        <w:rPr>
          <w:rFonts w:cs="Arial"/>
          <w:szCs w:val="24"/>
          <w:lang w:eastAsia="it-IT"/>
        </w:rPr>
        <w:t xml:space="preserve"> and Pisa, the first one providing 20 places in a residential service and? </w:t>
      </w:r>
    </w:p>
    <w:p w14:paraId="3DA1223E" w14:textId="77777777" w:rsidR="001A3B30" w:rsidRPr="001A3B30" w:rsidRDefault="001A3B30" w:rsidP="001A3B30">
      <w:pPr>
        <w:ind w:left="567"/>
        <w:jc w:val="both"/>
        <w:rPr>
          <w:rFonts w:cs="Arial"/>
          <w:sz w:val="20"/>
          <w:lang w:eastAsia="it-IT"/>
        </w:rPr>
      </w:pPr>
      <w:r w:rsidRPr="001A3B30">
        <w:rPr>
          <w:rFonts w:cs="Arial"/>
          <w:szCs w:val="24"/>
          <w:lang w:eastAsia="it-IT"/>
        </w:rPr>
        <w:t>60 places in a day service, the second one providing 100 places in a residential service and 400 places in a day service</w:t>
      </w:r>
      <w:r w:rsidRPr="001A3B30">
        <w:rPr>
          <w:rFonts w:cs="Arial"/>
          <w:sz w:val="20"/>
          <w:lang w:eastAsia="it-IT"/>
        </w:rPr>
        <w:t xml:space="preserve">. </w:t>
      </w:r>
    </w:p>
    <w:p w14:paraId="69AB80C2" w14:textId="77777777" w:rsidR="001A3B30" w:rsidRPr="001A3B30" w:rsidRDefault="001A3B30" w:rsidP="001A3B30">
      <w:pPr>
        <w:ind w:left="567"/>
        <w:jc w:val="both"/>
        <w:rPr>
          <w:rFonts w:cs="Arial"/>
          <w:szCs w:val="24"/>
          <w:lang w:eastAsia="it-IT"/>
        </w:rPr>
      </w:pPr>
      <w:r w:rsidRPr="001A3B30">
        <w:rPr>
          <w:rFonts w:cs="Arial"/>
          <w:szCs w:val="24"/>
          <w:lang w:eastAsia="it-IT"/>
        </w:rPr>
        <w:t xml:space="preserve">The average expense for disability varies noticeably according to the type of service, ranging from 3,469 EUR/year/user in Social assistance services (RSA) to 12,201 EUR in Healthcare residential facilities for persons with disabilities (RSD) (net of the user’s participation quota). </w:t>
      </w:r>
    </w:p>
    <w:p w14:paraId="737790F4" w14:textId="469AFBEB" w:rsidR="001A3B30" w:rsidRPr="001A3B30" w:rsidRDefault="001A3B30" w:rsidP="001A3B30">
      <w:pPr>
        <w:ind w:left="567"/>
        <w:jc w:val="both"/>
        <w:rPr>
          <w:rFonts w:cs="Arial"/>
          <w:szCs w:val="24"/>
          <w:lang w:eastAsia="it-IT"/>
        </w:rPr>
      </w:pPr>
      <w:r w:rsidRPr="001A3B30">
        <w:rPr>
          <w:rFonts w:cs="Arial"/>
          <w:szCs w:val="24"/>
          <w:lang w:eastAsia="it-IT"/>
        </w:rPr>
        <w:t xml:space="preserve">Access to ‘intensive support’ by persons with higher needs depends on the availability of specifically allotted funds. The amount of national ‘Fund for non-self-sufficiency’ is determined from year to year by the Stability </w:t>
      </w:r>
      <w:r w:rsidR="00F61745">
        <w:rPr>
          <w:rFonts w:cs="Arial"/>
          <w:szCs w:val="24"/>
          <w:lang w:eastAsia="it-IT"/>
        </w:rPr>
        <w:t>A</w:t>
      </w:r>
      <w:r w:rsidRPr="001A3B30">
        <w:rPr>
          <w:rFonts w:cs="Arial"/>
          <w:szCs w:val="24"/>
          <w:lang w:eastAsia="it-IT"/>
        </w:rPr>
        <w:t>ct and is distributed through the regional administrations which in some cases integrate them with their own resources.</w:t>
      </w:r>
    </w:p>
    <w:p w14:paraId="4D00D1DB" w14:textId="77777777" w:rsidR="001A3B30" w:rsidRPr="001A3B30" w:rsidRDefault="001A3B30" w:rsidP="001A3B30">
      <w:pPr>
        <w:ind w:left="567"/>
        <w:jc w:val="both"/>
        <w:rPr>
          <w:rFonts w:cs="Arial"/>
          <w:szCs w:val="24"/>
          <w:lang w:eastAsia="it-IT"/>
        </w:rPr>
      </w:pPr>
      <w:r w:rsidRPr="001A3B30">
        <w:rPr>
          <w:rFonts w:cs="Arial"/>
          <w:szCs w:val="24"/>
          <w:lang w:eastAsia="it-IT"/>
        </w:rPr>
        <w:t xml:space="preserve">Only a few regions adopt and fund independent living schemes, including personal assistance. Persons with disabilities who live in regions that do not offer support for independent living projects are therefore discriminated with regards to other persons who, living in other regions, can benefit from this opportunity. Moreover, personal assistance and other forms of support to independent living, lack portability across regions, thus hindering the mobility of persons with disabilities across the country. </w:t>
      </w:r>
    </w:p>
    <w:p w14:paraId="337FAA15" w14:textId="77777777" w:rsidR="001A3B30" w:rsidRPr="001A3B30" w:rsidRDefault="001A3B30" w:rsidP="001A3B30">
      <w:pPr>
        <w:ind w:left="567"/>
        <w:jc w:val="both"/>
        <w:rPr>
          <w:rFonts w:ascii="Times New Roman" w:hAnsi="Times New Roman"/>
          <w:szCs w:val="24"/>
          <w:lang w:eastAsia="it-IT"/>
        </w:rPr>
      </w:pPr>
    </w:p>
    <w:p w14:paraId="43ACB435" w14:textId="77777777" w:rsidR="001A3B30" w:rsidRPr="001A3B30" w:rsidRDefault="001A3B30" w:rsidP="00F61745">
      <w:pPr>
        <w:pBdr>
          <w:top w:val="single" w:sz="4" w:space="1" w:color="auto"/>
          <w:left w:val="single" w:sz="4" w:space="0" w:color="auto"/>
          <w:bottom w:val="single" w:sz="4" w:space="1" w:color="auto"/>
          <w:right w:val="single" w:sz="4" w:space="1" w:color="auto"/>
        </w:pBdr>
        <w:ind w:left="567"/>
        <w:jc w:val="both"/>
        <w:rPr>
          <w:rFonts w:cs="Arial"/>
          <w:sz w:val="20"/>
          <w:lang w:eastAsia="it-IT"/>
        </w:rPr>
      </w:pPr>
      <w:bookmarkStart w:id="33" w:name="_RefHeading___Toc440809212"/>
      <w:bookmarkEnd w:id="33"/>
      <w:r w:rsidRPr="001A3B30">
        <w:rPr>
          <w:rFonts w:cs="Arial"/>
          <w:b/>
          <w:bCs/>
          <w:sz w:val="20"/>
          <w:lang w:eastAsia="it-IT"/>
        </w:rPr>
        <w:t>box - Allocation of funds for non-self-sufficiency</w:t>
      </w:r>
    </w:p>
    <w:p w14:paraId="538A2128" w14:textId="77777777" w:rsidR="001A3B30" w:rsidRPr="001A3B30" w:rsidRDefault="001A3B30" w:rsidP="001A3B30">
      <w:pPr>
        <w:pBdr>
          <w:top w:val="single" w:sz="4" w:space="1" w:color="auto"/>
          <w:left w:val="single" w:sz="4" w:space="1" w:color="auto"/>
          <w:bottom w:val="single" w:sz="4" w:space="1" w:color="auto"/>
          <w:right w:val="single" w:sz="4" w:space="1" w:color="auto"/>
        </w:pBdr>
        <w:ind w:left="567"/>
        <w:jc w:val="both"/>
        <w:rPr>
          <w:rFonts w:cs="Arial"/>
          <w:sz w:val="20"/>
          <w:lang w:eastAsia="it-IT"/>
        </w:rPr>
      </w:pPr>
      <w:r w:rsidRPr="001A3B30">
        <w:rPr>
          <w:rFonts w:cs="Arial"/>
          <w:sz w:val="20"/>
          <w:lang w:eastAsia="it-IT"/>
        </w:rPr>
        <w:t>The Decree for the allocation of the National fund for ‘non-self-sufficiency’ commits the Regions to use National resources primarily (and in any event 40 % at least) in favour of persons with severe disabilities, according to their definition as ‘persons in conditions of vital dependence that need continuous home assistance and socio-health monitoring in the 24 hours, for complex needs deriving from serious psycho-physical conditions, … needing vigilant assistance by a third person to guarantee their psycho-physical integrity’.</w:t>
      </w:r>
      <w:r w:rsidRPr="001A3B30">
        <w:rPr>
          <w:rFonts w:cs="Arial"/>
          <w:sz w:val="20"/>
          <w:vertAlign w:val="superscript"/>
          <w:lang w:eastAsia="it-IT"/>
        </w:rPr>
        <w:footnoteReference w:id="30"/>
      </w:r>
      <w:r w:rsidRPr="001A3B30">
        <w:rPr>
          <w:rFonts w:cs="Arial"/>
          <w:sz w:val="20"/>
          <w:lang w:eastAsia="it-IT"/>
        </w:rPr>
        <w:t xml:space="preserve"> Though this definition does not make any reference to age, some regions allocate the funds for non-self-sufficiency mainly to people over 65 years of age.</w:t>
      </w:r>
    </w:p>
    <w:p w14:paraId="7526D571" w14:textId="77777777" w:rsidR="001A3B30" w:rsidRPr="001A3B30" w:rsidRDefault="001A3B30" w:rsidP="001A3B30">
      <w:pPr>
        <w:pBdr>
          <w:top w:val="single" w:sz="4" w:space="1" w:color="auto"/>
          <w:left w:val="single" w:sz="4" w:space="1" w:color="auto"/>
          <w:bottom w:val="single" w:sz="4" w:space="1" w:color="auto"/>
          <w:right w:val="single" w:sz="4" w:space="1" w:color="auto"/>
        </w:pBdr>
        <w:ind w:left="567"/>
        <w:jc w:val="both"/>
        <w:rPr>
          <w:rFonts w:cs="Arial"/>
          <w:sz w:val="20"/>
          <w:lang w:eastAsia="it-IT"/>
        </w:rPr>
      </w:pPr>
    </w:p>
    <w:p w14:paraId="6DD74F0D" w14:textId="77777777" w:rsidR="001A3B30" w:rsidRPr="001A3B30" w:rsidRDefault="001A3B30" w:rsidP="001A3B30">
      <w:pPr>
        <w:pBdr>
          <w:top w:val="single" w:sz="4" w:space="1" w:color="auto"/>
          <w:left w:val="single" w:sz="4" w:space="1" w:color="auto"/>
          <w:bottom w:val="single" w:sz="4" w:space="1" w:color="auto"/>
          <w:right w:val="single" w:sz="4" w:space="1" w:color="auto"/>
        </w:pBdr>
        <w:ind w:left="567"/>
        <w:jc w:val="both"/>
        <w:rPr>
          <w:rFonts w:cs="Arial"/>
          <w:sz w:val="20"/>
          <w:lang w:eastAsia="it-IT"/>
        </w:rPr>
      </w:pPr>
      <w:r w:rsidRPr="001A3B30">
        <w:rPr>
          <w:rFonts w:cs="Arial"/>
          <w:sz w:val="20"/>
          <w:lang w:eastAsia="it-IT"/>
        </w:rPr>
        <w:t>For example, the fund for non-self-sufficiency in Tuscany established in 2014 for 2015 is made up of a National quota of 27,651,000 Euros, which is integrated by regional resources up to a total of 79,800,000 Euros. The regional Decree concerning the allotment of the total fund for non-self-sufficiency reserves more than 95 % (75.921.324 Euro) of the resources to non-self-sufficient persons aged over 65, that represent 80 % of persons with disabilities. More than 30 % (24.921.324) of the fund is allocated to finance institutionalization in Social assistance facilities (RSA). Less than 5 % of the total non-self-sufficiency fund, equal to 3.878.676, representing only 14 % of the quota of the National fund received for 2015, is allocated to non-self-sufficient persons aged under 65,</w:t>
      </w:r>
      <w:r w:rsidRPr="001A3B30">
        <w:rPr>
          <w:rFonts w:cs="Arial"/>
          <w:sz w:val="20"/>
          <w:vertAlign w:val="superscript"/>
          <w:lang w:eastAsia="it-IT"/>
        </w:rPr>
        <w:footnoteReference w:id="31"/>
      </w:r>
      <w:r w:rsidRPr="001A3B30">
        <w:rPr>
          <w:rFonts w:cs="Arial"/>
          <w:sz w:val="20"/>
          <w:lang w:eastAsia="it-IT"/>
        </w:rPr>
        <w:t xml:space="preserve"> which represent 20 % of persons with disabilities.</w:t>
      </w:r>
      <w:r w:rsidRPr="001A3B30">
        <w:rPr>
          <w:rFonts w:cs="Arial"/>
          <w:sz w:val="20"/>
          <w:vertAlign w:val="superscript"/>
          <w:lang w:eastAsia="it-IT"/>
        </w:rPr>
        <w:footnoteReference w:id="32"/>
      </w:r>
      <w:r w:rsidRPr="001A3B30">
        <w:rPr>
          <w:rFonts w:cs="Arial"/>
          <w:sz w:val="20"/>
          <w:lang w:eastAsia="it-IT"/>
        </w:rPr>
        <w:t xml:space="preserve"> Even considering that 80 % of persons with disabilities in Italy are aged over 65, the allotment of the Non-self-sufficiency Fund in Tuscany penalizes persons with severe disabilities aged under 65.</w:t>
      </w:r>
    </w:p>
    <w:p w14:paraId="4B3DCE9B" w14:textId="77777777" w:rsidR="001A3B30" w:rsidRPr="0046751E" w:rsidRDefault="001A3B30" w:rsidP="0046751E">
      <w:pPr>
        <w:ind w:left="567"/>
        <w:jc w:val="both"/>
        <w:rPr>
          <w:rFonts w:cs="Arial"/>
          <w:b/>
          <w:bCs/>
          <w:szCs w:val="24"/>
          <w:lang w:eastAsia="it-IT"/>
        </w:rPr>
      </w:pPr>
      <w:r w:rsidRPr="0046751E">
        <w:rPr>
          <w:rFonts w:cs="Arial"/>
          <w:szCs w:val="24"/>
          <w:lang w:eastAsia="it-IT"/>
        </w:rPr>
        <w:lastRenderedPageBreak/>
        <w:t>Persons with disabilities in need of high support, if family help is lacking, have no access to non-institutional forms of housing. The lack of planning, development and funding of alternative forms of home support, of alternative services to segregating institutions, such as family type facilities, and of transition processes towards residential arrangements in the community constitutes a concern for the families of persons with intensive support needs. The number of families that complain that they cannot count on anybody’s help and grows with the age of the person, together with the parents’ concerns about the perspectives of the future life of their children with disabilities after their death. While the number of parents of children or teens with Down Syndrome up to 15 years who think about ‘after us’ in which their children will have an autonomous or semi-autonomous life varies from 30 % to 40 %, among parents of adults the percentage decreases to 12 %. The number of parents of children and adolescents with autism that imagine an autonomous or partially autonomous future situation for their children (23 %) decreases even more drastically (5 %) among families of adults with autism over 21.</w:t>
      </w:r>
      <w:r w:rsidRPr="0046751E">
        <w:rPr>
          <w:rFonts w:cs="Arial"/>
          <w:szCs w:val="24"/>
          <w:vertAlign w:val="superscript"/>
          <w:lang w:eastAsia="it-IT"/>
        </w:rPr>
        <w:footnoteReference w:id="33"/>
      </w:r>
    </w:p>
    <w:p w14:paraId="1D2BDB77" w14:textId="77777777" w:rsidR="001A3B30" w:rsidRPr="001A3B30" w:rsidRDefault="001A3B30" w:rsidP="001A3B30">
      <w:pPr>
        <w:ind w:left="567" w:hanging="567"/>
        <w:jc w:val="both"/>
        <w:rPr>
          <w:rFonts w:cs="Arial"/>
          <w:b/>
          <w:bCs/>
          <w:szCs w:val="24"/>
          <w:lang w:eastAsia="it-IT"/>
        </w:rPr>
      </w:pPr>
    </w:p>
    <w:p w14:paraId="368F1ED3" w14:textId="77777777" w:rsidR="001A3B30" w:rsidRPr="001A3B30" w:rsidRDefault="001A3B30" w:rsidP="001A3B30">
      <w:pPr>
        <w:ind w:left="567" w:hanging="567"/>
        <w:jc w:val="both"/>
        <w:rPr>
          <w:rFonts w:cs="Arial"/>
          <w:i/>
          <w:iCs/>
          <w:szCs w:val="24"/>
          <w:lang w:eastAsia="it-IT"/>
        </w:rPr>
      </w:pPr>
      <w:bookmarkStart w:id="34" w:name="_RefHeading__27046_1426987788"/>
      <w:r w:rsidRPr="001A3B30">
        <w:rPr>
          <w:rFonts w:cs="Arial"/>
          <w:i/>
          <w:iCs/>
          <w:szCs w:val="24"/>
          <w:lang w:eastAsia="it-IT"/>
        </w:rPr>
        <w:t>Recommendations</w:t>
      </w:r>
    </w:p>
    <w:p w14:paraId="2B9E6024" w14:textId="77777777" w:rsidR="001A3B30" w:rsidRPr="001A3B30" w:rsidRDefault="00E86322" w:rsidP="00BF4791">
      <w:pPr>
        <w:numPr>
          <w:ilvl w:val="0"/>
          <w:numId w:val="20"/>
        </w:numPr>
        <w:ind w:left="567" w:hanging="567"/>
        <w:jc w:val="both"/>
        <w:rPr>
          <w:rFonts w:eastAsia="Arial" w:cs="Arial"/>
          <w:b/>
          <w:bCs/>
          <w:color w:val="000000"/>
          <w:szCs w:val="24"/>
          <w:u w:color="000000"/>
          <w:bdr w:val="nil"/>
          <w:lang w:eastAsia="it-IT"/>
        </w:rPr>
      </w:pPr>
      <w:bookmarkStart w:id="35" w:name="_RefHeading__27048_1426987788"/>
      <w:r w:rsidRPr="001A3B30">
        <w:rPr>
          <w:rFonts w:eastAsia="Arial" w:cs="Arial"/>
          <w:b/>
          <w:bCs/>
          <w:color w:val="000000"/>
          <w:szCs w:val="24"/>
          <w:u w:color="000000"/>
          <w:bdr w:val="nil"/>
          <w:lang w:eastAsia="it-IT"/>
        </w:rPr>
        <w:t>Define, adopt and fund at national level Minimum Standards of residential support and services for persons with disabilities, ensuring homogeneous access to independent living schemes to all persons with disabilities, including those with high support needs (Non-self-sufficiency), as well as small size community – based residential services, according to individually tailored programs, with the respect for the choices and wishes of persons with disabilities, regardless of their place of residence or the level of support needed</w:t>
      </w:r>
      <w:bookmarkEnd w:id="34"/>
      <w:bookmarkEnd w:id="35"/>
      <w:r w:rsidRPr="001A3B30">
        <w:rPr>
          <w:rFonts w:eastAsia="Arial" w:cs="Arial"/>
          <w:b/>
          <w:bCs/>
          <w:color w:val="000000"/>
          <w:szCs w:val="24"/>
          <w:u w:color="000000"/>
          <w:bdr w:val="nil"/>
          <w:lang w:eastAsia="it-IT"/>
        </w:rPr>
        <w:t xml:space="preserve">. </w:t>
      </w:r>
      <w:bookmarkStart w:id="36" w:name="_RefHeading__27052_1426987788"/>
      <w:r w:rsidRPr="001A3B30">
        <w:rPr>
          <w:rFonts w:eastAsia="Arial" w:cs="Arial"/>
          <w:b/>
          <w:bCs/>
          <w:color w:val="000000"/>
          <w:szCs w:val="24"/>
          <w:u w:color="000000"/>
          <w:bdr w:val="nil"/>
          <w:lang w:eastAsia="it-IT"/>
        </w:rPr>
        <w:t>Define National guidelines on independent living with the active participation of persons with disabilities</w:t>
      </w:r>
      <w:bookmarkEnd w:id="36"/>
      <w:r w:rsidRPr="001A3B30">
        <w:rPr>
          <w:rFonts w:eastAsia="Arial" w:cs="Arial"/>
          <w:b/>
          <w:bCs/>
          <w:color w:val="000000"/>
          <w:szCs w:val="24"/>
          <w:u w:color="000000"/>
          <w:bdr w:val="nil"/>
          <w:lang w:eastAsia="it-IT"/>
        </w:rPr>
        <w:t xml:space="preserve"> through their representative organizations. </w:t>
      </w:r>
    </w:p>
    <w:p w14:paraId="75DB1699" w14:textId="77777777" w:rsidR="001A3B30" w:rsidRPr="001A3B30" w:rsidRDefault="001A3B30" w:rsidP="00BF4791">
      <w:pPr>
        <w:numPr>
          <w:ilvl w:val="0"/>
          <w:numId w:val="20"/>
        </w:numPr>
        <w:ind w:left="567" w:hanging="567"/>
        <w:jc w:val="both"/>
        <w:rPr>
          <w:rFonts w:cs="Arial"/>
          <w:szCs w:val="24"/>
          <w:lang w:eastAsia="it-IT"/>
        </w:rPr>
      </w:pPr>
      <w:r w:rsidRPr="001A3B30">
        <w:rPr>
          <w:rFonts w:cs="Arial"/>
          <w:szCs w:val="24"/>
          <w:lang w:eastAsia="it-IT"/>
        </w:rPr>
        <w:t>Urge the Italian Regions to activate and implement in a reasonable length of time a transition process from segregating residential services to alternative inclusive services by providing a range of living arrangements in the community with the necessary individual support, to persons with disabilities of any age, including to persons with intellectual and psychosocial disabilities and those needing intense support.</w:t>
      </w:r>
    </w:p>
    <w:p w14:paraId="70FEDD65" w14:textId="77777777" w:rsidR="001A3B30" w:rsidRPr="001A3B30" w:rsidRDefault="001A3B30" w:rsidP="00BF4791">
      <w:pPr>
        <w:numPr>
          <w:ilvl w:val="0"/>
          <w:numId w:val="21"/>
        </w:numPr>
        <w:ind w:left="567" w:hanging="567"/>
        <w:jc w:val="both"/>
        <w:rPr>
          <w:rFonts w:cs="Arial"/>
          <w:szCs w:val="24"/>
          <w:lang w:eastAsia="it-IT"/>
        </w:rPr>
      </w:pPr>
      <w:r w:rsidRPr="001A3B30">
        <w:rPr>
          <w:rFonts w:cs="Arial"/>
          <w:szCs w:val="24"/>
          <w:lang w:eastAsia="it-IT"/>
        </w:rPr>
        <w:t>Develop awareness raising and empowerment actions for persons with disabilities in order to enhance their capacities of choice and self-determination, in partnership with representative DPOs.</w:t>
      </w:r>
    </w:p>
    <w:p w14:paraId="7C806898" w14:textId="77777777" w:rsidR="001A3B30" w:rsidRPr="001A3B30" w:rsidRDefault="001A3B30" w:rsidP="001A3B30">
      <w:pPr>
        <w:ind w:left="567" w:hanging="567"/>
        <w:jc w:val="both"/>
        <w:rPr>
          <w:rFonts w:ascii="Times New Roman" w:hAnsi="Times New Roman"/>
          <w:b/>
          <w:bCs/>
          <w:szCs w:val="24"/>
          <w:lang w:eastAsia="it-IT"/>
        </w:rPr>
      </w:pPr>
    </w:p>
    <w:p w14:paraId="653987A0" w14:textId="40A408AF" w:rsidR="00000C42" w:rsidRDefault="00E86322" w:rsidP="0046751E">
      <w:pPr>
        <w:pStyle w:val="Heading2"/>
        <w:rPr>
          <w:u w:color="000000"/>
          <w:bdr w:val="nil"/>
          <w:lang w:eastAsia="it-IT"/>
        </w:rPr>
      </w:pPr>
      <w:bookmarkStart w:id="37" w:name="_Toc5724463"/>
      <w:r w:rsidRPr="001A3B30">
        <w:rPr>
          <w:u w:color="000000"/>
          <w:bdr w:val="nil"/>
          <w:lang w:eastAsia="it-IT"/>
        </w:rPr>
        <w:t>‘Grey literature’ at the national level</w:t>
      </w:r>
      <w:bookmarkEnd w:id="37"/>
    </w:p>
    <w:p w14:paraId="6FEDF378" w14:textId="77777777" w:rsidR="00BF4791" w:rsidRPr="00BF4791" w:rsidRDefault="00BF4791" w:rsidP="00BF4791">
      <w:pPr>
        <w:rPr>
          <w:rFonts w:eastAsia="Arial"/>
          <w:lang w:eastAsia="it-IT" w:bidi="en-US"/>
        </w:rPr>
      </w:pPr>
    </w:p>
    <w:p w14:paraId="6B15016E" w14:textId="3C3DB0D8" w:rsidR="001A3B30" w:rsidRPr="001A3B30" w:rsidRDefault="001A3B30" w:rsidP="001A3B30">
      <w:pPr>
        <w:jc w:val="both"/>
        <w:rPr>
          <w:rFonts w:cs="Arial"/>
          <w:szCs w:val="24"/>
          <w:lang w:eastAsia="it-IT"/>
        </w:rPr>
      </w:pPr>
      <w:r w:rsidRPr="001A3B30">
        <w:rPr>
          <w:rFonts w:cs="Arial"/>
          <w:szCs w:val="24"/>
          <w:lang w:eastAsia="it-IT"/>
        </w:rPr>
        <w:t xml:space="preserve">National Guarantor for the Rights of Persons Detained or Deprived of Personal Liberty, </w:t>
      </w:r>
      <w:r w:rsidRPr="001A3B30">
        <w:rPr>
          <w:rFonts w:cs="Arial"/>
          <w:i/>
          <w:szCs w:val="24"/>
          <w:lang w:eastAsia="it-IT"/>
        </w:rPr>
        <w:t>Report to the Parliament 2018</w:t>
      </w:r>
      <w:r w:rsidRPr="001A3B30">
        <w:rPr>
          <w:rFonts w:cs="Arial"/>
          <w:szCs w:val="24"/>
          <w:lang w:eastAsia="it-IT"/>
        </w:rPr>
        <w:t xml:space="preserve"> (</w:t>
      </w:r>
      <w:proofErr w:type="spellStart"/>
      <w:r w:rsidRPr="001A3B30">
        <w:rPr>
          <w:rFonts w:cs="Arial"/>
          <w:szCs w:val="24"/>
          <w:lang w:eastAsia="it-IT"/>
        </w:rPr>
        <w:t>Garante</w:t>
      </w:r>
      <w:proofErr w:type="spellEnd"/>
      <w:r w:rsidRPr="001A3B30">
        <w:rPr>
          <w:rFonts w:cs="Arial"/>
          <w:szCs w:val="24"/>
          <w:lang w:eastAsia="it-IT"/>
        </w:rPr>
        <w:t xml:space="preserve"> </w:t>
      </w:r>
      <w:proofErr w:type="spellStart"/>
      <w:r w:rsidRPr="001A3B30">
        <w:rPr>
          <w:rFonts w:cs="Arial"/>
          <w:szCs w:val="24"/>
          <w:lang w:eastAsia="it-IT"/>
        </w:rPr>
        <w:t>nazionale</w:t>
      </w:r>
      <w:proofErr w:type="spellEnd"/>
      <w:r w:rsidRPr="001A3B30">
        <w:rPr>
          <w:rFonts w:cs="Arial"/>
          <w:szCs w:val="24"/>
          <w:lang w:eastAsia="it-IT"/>
        </w:rPr>
        <w:t xml:space="preserve"> </w:t>
      </w:r>
      <w:proofErr w:type="spellStart"/>
      <w:r w:rsidRPr="001A3B30">
        <w:rPr>
          <w:rFonts w:cs="Arial"/>
          <w:szCs w:val="24"/>
          <w:lang w:eastAsia="it-IT"/>
        </w:rPr>
        <w:t>dei</w:t>
      </w:r>
      <w:proofErr w:type="spellEnd"/>
      <w:r w:rsidRPr="001A3B30">
        <w:rPr>
          <w:rFonts w:cs="Arial"/>
          <w:szCs w:val="24"/>
          <w:lang w:eastAsia="it-IT"/>
        </w:rPr>
        <w:t xml:space="preserve"> </w:t>
      </w:r>
      <w:proofErr w:type="spellStart"/>
      <w:r w:rsidRPr="001A3B30">
        <w:rPr>
          <w:rFonts w:cs="Arial"/>
          <w:szCs w:val="24"/>
          <w:lang w:eastAsia="it-IT"/>
        </w:rPr>
        <w:t>diritti</w:t>
      </w:r>
      <w:proofErr w:type="spellEnd"/>
      <w:r w:rsidRPr="001A3B30">
        <w:rPr>
          <w:rFonts w:cs="Arial"/>
          <w:szCs w:val="24"/>
          <w:lang w:eastAsia="it-IT"/>
        </w:rPr>
        <w:t xml:space="preserve"> </w:t>
      </w:r>
      <w:proofErr w:type="spellStart"/>
      <w:r w:rsidRPr="001A3B30">
        <w:rPr>
          <w:rFonts w:cs="Arial"/>
          <w:szCs w:val="24"/>
          <w:lang w:eastAsia="it-IT"/>
        </w:rPr>
        <w:t>delle</w:t>
      </w:r>
      <w:proofErr w:type="spellEnd"/>
      <w:r w:rsidRPr="001A3B30">
        <w:rPr>
          <w:rFonts w:cs="Arial"/>
          <w:szCs w:val="24"/>
          <w:lang w:eastAsia="it-IT"/>
        </w:rPr>
        <w:t xml:space="preserve"> </w:t>
      </w:r>
      <w:proofErr w:type="spellStart"/>
      <w:r w:rsidRPr="001A3B30">
        <w:rPr>
          <w:rFonts w:cs="Arial"/>
          <w:szCs w:val="24"/>
          <w:lang w:eastAsia="it-IT"/>
        </w:rPr>
        <w:t>persone</w:t>
      </w:r>
      <w:proofErr w:type="spellEnd"/>
      <w:r w:rsidRPr="001A3B30">
        <w:rPr>
          <w:rFonts w:cs="Arial"/>
          <w:szCs w:val="24"/>
          <w:lang w:eastAsia="it-IT"/>
        </w:rPr>
        <w:t xml:space="preserve"> </w:t>
      </w:r>
      <w:proofErr w:type="spellStart"/>
      <w:r w:rsidRPr="001A3B30">
        <w:rPr>
          <w:rFonts w:cs="Arial"/>
          <w:szCs w:val="24"/>
          <w:lang w:eastAsia="it-IT"/>
        </w:rPr>
        <w:t>detenute</w:t>
      </w:r>
      <w:proofErr w:type="spellEnd"/>
      <w:r w:rsidRPr="001A3B30">
        <w:rPr>
          <w:rFonts w:cs="Arial"/>
          <w:szCs w:val="24"/>
          <w:lang w:eastAsia="it-IT"/>
        </w:rPr>
        <w:t xml:space="preserve"> o private </w:t>
      </w:r>
      <w:proofErr w:type="spellStart"/>
      <w:r w:rsidRPr="001A3B30">
        <w:rPr>
          <w:rFonts w:cs="Arial"/>
          <w:szCs w:val="24"/>
          <w:lang w:eastAsia="it-IT"/>
        </w:rPr>
        <w:t>della</w:t>
      </w:r>
      <w:proofErr w:type="spellEnd"/>
      <w:r w:rsidRPr="001A3B30">
        <w:rPr>
          <w:rFonts w:cs="Arial"/>
          <w:szCs w:val="24"/>
          <w:lang w:eastAsia="it-IT"/>
        </w:rPr>
        <w:t xml:space="preserve"> </w:t>
      </w:r>
      <w:proofErr w:type="spellStart"/>
      <w:r w:rsidRPr="001A3B30">
        <w:rPr>
          <w:rFonts w:cs="Arial"/>
          <w:szCs w:val="24"/>
          <w:lang w:eastAsia="it-IT"/>
        </w:rPr>
        <w:t>libertà</w:t>
      </w:r>
      <w:proofErr w:type="spellEnd"/>
      <w:r w:rsidRPr="001A3B30">
        <w:rPr>
          <w:rFonts w:cs="Arial"/>
          <w:szCs w:val="24"/>
          <w:lang w:eastAsia="it-IT"/>
        </w:rPr>
        <w:t xml:space="preserve"> </w:t>
      </w:r>
      <w:proofErr w:type="spellStart"/>
      <w:r w:rsidRPr="001A3B30">
        <w:rPr>
          <w:rFonts w:cs="Arial"/>
          <w:szCs w:val="24"/>
          <w:lang w:eastAsia="it-IT"/>
        </w:rPr>
        <w:t>personale</w:t>
      </w:r>
      <w:proofErr w:type="spellEnd"/>
      <w:r w:rsidRPr="001A3B30">
        <w:rPr>
          <w:rFonts w:cs="Arial"/>
          <w:szCs w:val="24"/>
          <w:lang w:eastAsia="it-IT"/>
        </w:rPr>
        <w:t xml:space="preserve">, </w:t>
      </w:r>
      <w:proofErr w:type="spellStart"/>
      <w:r w:rsidRPr="001A3B30">
        <w:rPr>
          <w:rFonts w:cs="Arial"/>
          <w:i/>
          <w:iCs/>
          <w:szCs w:val="24"/>
          <w:lang w:eastAsia="it-IT"/>
        </w:rPr>
        <w:t>Relazione</w:t>
      </w:r>
      <w:proofErr w:type="spellEnd"/>
      <w:r w:rsidRPr="001A3B30">
        <w:rPr>
          <w:rFonts w:cs="Arial"/>
          <w:i/>
          <w:iCs/>
          <w:szCs w:val="24"/>
          <w:lang w:eastAsia="it-IT"/>
        </w:rPr>
        <w:t xml:space="preserve"> al </w:t>
      </w:r>
      <w:proofErr w:type="spellStart"/>
      <w:r w:rsidRPr="001A3B30">
        <w:rPr>
          <w:rFonts w:cs="Arial"/>
          <w:i/>
          <w:iCs/>
          <w:szCs w:val="24"/>
          <w:lang w:eastAsia="it-IT"/>
        </w:rPr>
        <w:t>Parlamento</w:t>
      </w:r>
      <w:proofErr w:type="spellEnd"/>
      <w:r w:rsidRPr="001A3B30">
        <w:rPr>
          <w:rFonts w:cs="Arial"/>
          <w:i/>
          <w:iCs/>
          <w:szCs w:val="24"/>
          <w:lang w:eastAsia="it-IT"/>
        </w:rPr>
        <w:t xml:space="preserve"> 2018)</w:t>
      </w:r>
      <w:r w:rsidR="00F61745">
        <w:rPr>
          <w:rFonts w:cs="Arial"/>
          <w:iCs/>
          <w:szCs w:val="24"/>
          <w:lang w:eastAsia="it-IT"/>
        </w:rPr>
        <w:t>.</w:t>
      </w:r>
      <w:r w:rsidRPr="00BF4791">
        <w:rPr>
          <w:rFonts w:cs="Arial"/>
          <w:vertAlign w:val="superscript"/>
          <w:lang w:eastAsia="it-IT"/>
        </w:rPr>
        <w:footnoteReference w:id="34"/>
      </w:r>
    </w:p>
    <w:p w14:paraId="1FE4BFEA" w14:textId="77777777" w:rsidR="001A3B30" w:rsidRPr="001A3B30" w:rsidRDefault="001A3B30" w:rsidP="001A3B30">
      <w:pPr>
        <w:jc w:val="both"/>
        <w:rPr>
          <w:rFonts w:cs="Arial"/>
          <w:szCs w:val="24"/>
          <w:lang w:eastAsia="it-IT"/>
        </w:rPr>
      </w:pPr>
    </w:p>
    <w:p w14:paraId="25A33DAA" w14:textId="77777777" w:rsidR="001A3B30" w:rsidRPr="001A3B30" w:rsidRDefault="001A3B30" w:rsidP="001A3B30">
      <w:pPr>
        <w:jc w:val="both"/>
        <w:rPr>
          <w:rFonts w:cs="Arial"/>
          <w:szCs w:val="24"/>
          <w:lang w:eastAsia="it-IT"/>
        </w:rPr>
      </w:pPr>
      <w:r w:rsidRPr="001A3B30">
        <w:rPr>
          <w:rFonts w:cs="Arial"/>
          <w:szCs w:val="24"/>
          <w:lang w:eastAsia="it-IT"/>
        </w:rPr>
        <w:lastRenderedPageBreak/>
        <w:t xml:space="preserve">National Guarantor for the Rights of Persons Detained or Deprived of Personal Liberty, </w:t>
      </w:r>
      <w:r w:rsidRPr="001A3B30">
        <w:rPr>
          <w:rFonts w:cs="Arial"/>
          <w:i/>
          <w:szCs w:val="24"/>
          <w:lang w:eastAsia="it-IT"/>
        </w:rPr>
        <w:t>Report to the Parliament</w:t>
      </w:r>
      <w:r w:rsidRPr="001A3B30">
        <w:rPr>
          <w:rFonts w:cs="Arial"/>
          <w:szCs w:val="24"/>
          <w:lang w:eastAsia="it-IT"/>
        </w:rPr>
        <w:t xml:space="preserve"> 2017 (</w:t>
      </w:r>
      <w:proofErr w:type="spellStart"/>
      <w:r w:rsidRPr="001A3B30">
        <w:rPr>
          <w:rFonts w:cs="Arial"/>
          <w:szCs w:val="24"/>
          <w:lang w:eastAsia="it-IT"/>
        </w:rPr>
        <w:t>Garante</w:t>
      </w:r>
      <w:proofErr w:type="spellEnd"/>
      <w:r w:rsidRPr="001A3B30">
        <w:rPr>
          <w:rFonts w:cs="Arial"/>
          <w:szCs w:val="24"/>
          <w:lang w:eastAsia="it-IT"/>
        </w:rPr>
        <w:t xml:space="preserve"> </w:t>
      </w:r>
      <w:proofErr w:type="spellStart"/>
      <w:r w:rsidRPr="001A3B30">
        <w:rPr>
          <w:rFonts w:cs="Arial"/>
          <w:szCs w:val="24"/>
          <w:lang w:eastAsia="it-IT"/>
        </w:rPr>
        <w:t>nazionale</w:t>
      </w:r>
      <w:proofErr w:type="spellEnd"/>
      <w:r w:rsidRPr="001A3B30">
        <w:rPr>
          <w:rFonts w:cs="Arial"/>
          <w:szCs w:val="24"/>
          <w:lang w:eastAsia="it-IT"/>
        </w:rPr>
        <w:t xml:space="preserve"> </w:t>
      </w:r>
      <w:proofErr w:type="spellStart"/>
      <w:r w:rsidRPr="001A3B30">
        <w:rPr>
          <w:rFonts w:cs="Arial"/>
          <w:szCs w:val="24"/>
          <w:lang w:eastAsia="it-IT"/>
        </w:rPr>
        <w:t>dei</w:t>
      </w:r>
      <w:proofErr w:type="spellEnd"/>
      <w:r w:rsidRPr="001A3B30">
        <w:rPr>
          <w:rFonts w:cs="Arial"/>
          <w:szCs w:val="24"/>
          <w:lang w:eastAsia="it-IT"/>
        </w:rPr>
        <w:t xml:space="preserve"> </w:t>
      </w:r>
      <w:proofErr w:type="spellStart"/>
      <w:r w:rsidRPr="001A3B30">
        <w:rPr>
          <w:rFonts w:cs="Arial"/>
          <w:szCs w:val="24"/>
          <w:lang w:eastAsia="it-IT"/>
        </w:rPr>
        <w:t>diritti</w:t>
      </w:r>
      <w:proofErr w:type="spellEnd"/>
      <w:r w:rsidRPr="001A3B30">
        <w:rPr>
          <w:rFonts w:cs="Arial"/>
          <w:szCs w:val="24"/>
          <w:lang w:eastAsia="it-IT"/>
        </w:rPr>
        <w:t xml:space="preserve"> </w:t>
      </w:r>
      <w:proofErr w:type="spellStart"/>
      <w:r w:rsidRPr="001A3B30">
        <w:rPr>
          <w:rFonts w:cs="Arial"/>
          <w:szCs w:val="24"/>
          <w:lang w:eastAsia="it-IT"/>
        </w:rPr>
        <w:t>delle</w:t>
      </w:r>
      <w:proofErr w:type="spellEnd"/>
      <w:r w:rsidRPr="001A3B30">
        <w:rPr>
          <w:rFonts w:cs="Arial"/>
          <w:szCs w:val="24"/>
          <w:lang w:eastAsia="it-IT"/>
        </w:rPr>
        <w:t xml:space="preserve"> </w:t>
      </w:r>
      <w:proofErr w:type="spellStart"/>
      <w:r w:rsidRPr="001A3B30">
        <w:rPr>
          <w:rFonts w:cs="Arial"/>
          <w:szCs w:val="24"/>
          <w:lang w:eastAsia="it-IT"/>
        </w:rPr>
        <w:t>persone</w:t>
      </w:r>
      <w:proofErr w:type="spellEnd"/>
      <w:r w:rsidRPr="001A3B30">
        <w:rPr>
          <w:rFonts w:cs="Arial"/>
          <w:szCs w:val="24"/>
          <w:lang w:eastAsia="it-IT"/>
        </w:rPr>
        <w:t xml:space="preserve"> </w:t>
      </w:r>
      <w:proofErr w:type="spellStart"/>
      <w:r w:rsidRPr="001A3B30">
        <w:rPr>
          <w:rFonts w:cs="Arial"/>
          <w:szCs w:val="24"/>
          <w:lang w:eastAsia="it-IT"/>
        </w:rPr>
        <w:t>detenute</w:t>
      </w:r>
      <w:proofErr w:type="spellEnd"/>
      <w:r w:rsidRPr="001A3B30">
        <w:rPr>
          <w:rFonts w:cs="Arial"/>
          <w:szCs w:val="24"/>
          <w:lang w:eastAsia="it-IT"/>
        </w:rPr>
        <w:t xml:space="preserve"> o private </w:t>
      </w:r>
      <w:proofErr w:type="spellStart"/>
      <w:r w:rsidRPr="001A3B30">
        <w:rPr>
          <w:rFonts w:cs="Arial"/>
          <w:szCs w:val="24"/>
          <w:lang w:eastAsia="it-IT"/>
        </w:rPr>
        <w:t>della</w:t>
      </w:r>
      <w:proofErr w:type="spellEnd"/>
      <w:r w:rsidRPr="001A3B30">
        <w:rPr>
          <w:rFonts w:cs="Arial"/>
          <w:szCs w:val="24"/>
          <w:lang w:eastAsia="it-IT"/>
        </w:rPr>
        <w:t xml:space="preserve"> </w:t>
      </w:r>
      <w:proofErr w:type="spellStart"/>
      <w:r w:rsidRPr="001A3B30">
        <w:rPr>
          <w:rFonts w:cs="Arial"/>
          <w:szCs w:val="24"/>
          <w:lang w:eastAsia="it-IT"/>
        </w:rPr>
        <w:t>libertà</w:t>
      </w:r>
      <w:proofErr w:type="spellEnd"/>
      <w:r w:rsidRPr="001A3B30">
        <w:rPr>
          <w:rFonts w:cs="Arial"/>
          <w:szCs w:val="24"/>
          <w:lang w:eastAsia="it-IT"/>
        </w:rPr>
        <w:t xml:space="preserve"> </w:t>
      </w:r>
      <w:proofErr w:type="spellStart"/>
      <w:r w:rsidRPr="001A3B30">
        <w:rPr>
          <w:rFonts w:cs="Arial"/>
          <w:szCs w:val="24"/>
          <w:lang w:eastAsia="it-IT"/>
        </w:rPr>
        <w:t>personale</w:t>
      </w:r>
      <w:proofErr w:type="spellEnd"/>
      <w:r w:rsidRPr="001A3B30">
        <w:rPr>
          <w:rFonts w:cs="Arial"/>
          <w:szCs w:val="24"/>
          <w:lang w:eastAsia="it-IT"/>
        </w:rPr>
        <w:t xml:space="preserve">, </w:t>
      </w:r>
      <w:proofErr w:type="spellStart"/>
      <w:r w:rsidRPr="001A3B30">
        <w:rPr>
          <w:rFonts w:cs="Arial"/>
          <w:i/>
          <w:iCs/>
          <w:szCs w:val="24"/>
          <w:lang w:eastAsia="it-IT"/>
        </w:rPr>
        <w:t>Relazione</w:t>
      </w:r>
      <w:proofErr w:type="spellEnd"/>
      <w:r w:rsidRPr="001A3B30">
        <w:rPr>
          <w:rFonts w:cs="Arial"/>
          <w:i/>
          <w:iCs/>
          <w:szCs w:val="24"/>
          <w:lang w:eastAsia="it-IT"/>
        </w:rPr>
        <w:t xml:space="preserve"> al </w:t>
      </w:r>
      <w:proofErr w:type="spellStart"/>
      <w:r w:rsidRPr="001A3B30">
        <w:rPr>
          <w:rFonts w:cs="Arial"/>
          <w:i/>
          <w:iCs/>
          <w:szCs w:val="24"/>
          <w:lang w:eastAsia="it-IT"/>
        </w:rPr>
        <w:t>Parlamento</w:t>
      </w:r>
      <w:proofErr w:type="spellEnd"/>
      <w:r w:rsidRPr="001A3B30">
        <w:rPr>
          <w:rFonts w:cs="Arial"/>
          <w:szCs w:val="24"/>
          <w:lang w:eastAsia="it-IT"/>
        </w:rPr>
        <w:t xml:space="preserve"> </w:t>
      </w:r>
      <w:r w:rsidRPr="001A3B30">
        <w:rPr>
          <w:rFonts w:cs="Arial"/>
          <w:i/>
          <w:szCs w:val="24"/>
          <w:lang w:eastAsia="it-IT"/>
        </w:rPr>
        <w:t>2017</w:t>
      </w:r>
      <w:r w:rsidRPr="001A3B30">
        <w:rPr>
          <w:rFonts w:cs="Arial"/>
          <w:szCs w:val="24"/>
          <w:lang w:eastAsia="it-IT"/>
        </w:rPr>
        <w:t>).</w:t>
      </w:r>
      <w:r w:rsidRPr="00BF4791">
        <w:rPr>
          <w:rFonts w:cs="Arial"/>
          <w:vertAlign w:val="superscript"/>
          <w:lang w:eastAsia="it-IT"/>
        </w:rPr>
        <w:footnoteReference w:id="35"/>
      </w:r>
    </w:p>
    <w:p w14:paraId="02816B71" w14:textId="77777777" w:rsidR="001A3B30" w:rsidRPr="001A3B30" w:rsidRDefault="001A3B30" w:rsidP="001A3B30">
      <w:pPr>
        <w:jc w:val="both"/>
        <w:rPr>
          <w:rFonts w:cs="Arial"/>
          <w:szCs w:val="24"/>
          <w:lang w:eastAsia="it-IT"/>
        </w:rPr>
      </w:pPr>
    </w:p>
    <w:p w14:paraId="3A0388DF" w14:textId="77777777" w:rsidR="001A3B30" w:rsidRPr="001A3B30" w:rsidRDefault="001A3B30" w:rsidP="001A3B30">
      <w:pPr>
        <w:jc w:val="both"/>
        <w:rPr>
          <w:rFonts w:cs="Arial"/>
          <w:szCs w:val="24"/>
          <w:lang w:eastAsia="it-IT"/>
        </w:rPr>
      </w:pPr>
      <w:r w:rsidRPr="001A3B30">
        <w:rPr>
          <w:rFonts w:cs="Arial"/>
          <w:szCs w:val="24"/>
          <w:lang w:eastAsia="it-IT"/>
        </w:rPr>
        <w:t>In the Annual Report to the Parliament, the National Guarantor explains his own monitoring activities and the areas of criticism identified during visits to the facilities. He also provides guidance on the activities he will undertake during the following year.</w:t>
      </w:r>
    </w:p>
    <w:p w14:paraId="34A69D0B" w14:textId="77777777" w:rsidR="001A3B30" w:rsidRPr="001A3B30" w:rsidRDefault="001A3B30" w:rsidP="001A3B30">
      <w:pPr>
        <w:jc w:val="both"/>
        <w:rPr>
          <w:rFonts w:cs="Arial"/>
          <w:szCs w:val="24"/>
          <w:lang w:eastAsia="it-IT"/>
        </w:rPr>
      </w:pPr>
    </w:p>
    <w:p w14:paraId="76E38B28" w14:textId="77777777" w:rsidR="001A3B30" w:rsidRPr="001A3B30" w:rsidRDefault="001A3B30" w:rsidP="001A3B30">
      <w:pPr>
        <w:jc w:val="both"/>
        <w:rPr>
          <w:rFonts w:cs="Arial"/>
          <w:szCs w:val="24"/>
          <w:lang w:eastAsia="it-IT"/>
        </w:rPr>
      </w:pPr>
      <w:r w:rsidRPr="001A3B30">
        <w:rPr>
          <w:rFonts w:cs="Arial"/>
          <w:szCs w:val="24"/>
          <w:lang w:eastAsia="it-IT"/>
        </w:rPr>
        <w:t xml:space="preserve">Gruppo </w:t>
      </w:r>
      <w:proofErr w:type="spellStart"/>
      <w:r w:rsidRPr="001A3B30">
        <w:rPr>
          <w:rFonts w:cs="Arial"/>
          <w:szCs w:val="24"/>
          <w:lang w:eastAsia="it-IT"/>
        </w:rPr>
        <w:t>Solidarietà</w:t>
      </w:r>
      <w:proofErr w:type="spellEnd"/>
      <w:r w:rsidRPr="001A3B30">
        <w:rPr>
          <w:rFonts w:cs="Arial"/>
          <w:szCs w:val="24"/>
          <w:lang w:eastAsia="it-IT"/>
        </w:rPr>
        <w:t xml:space="preserve">, </w:t>
      </w:r>
      <w:r w:rsidRPr="001A3B30">
        <w:rPr>
          <w:rFonts w:cs="Arial"/>
          <w:i/>
          <w:szCs w:val="24"/>
          <w:lang w:eastAsia="it-IT"/>
        </w:rPr>
        <w:t xml:space="preserve">Disability and the life project: How to combat the </w:t>
      </w:r>
      <w:proofErr w:type="spellStart"/>
      <w:r w:rsidRPr="001A3B30">
        <w:rPr>
          <w:rFonts w:cs="Arial"/>
          <w:i/>
          <w:szCs w:val="24"/>
          <w:lang w:eastAsia="it-IT"/>
        </w:rPr>
        <w:t>reinstitutionalisation</w:t>
      </w:r>
      <w:proofErr w:type="spellEnd"/>
      <w:r w:rsidRPr="001A3B30">
        <w:rPr>
          <w:rFonts w:cs="Arial"/>
          <w:i/>
          <w:szCs w:val="24"/>
          <w:lang w:eastAsia="it-IT"/>
        </w:rPr>
        <w:t xml:space="preserve"> of services</w:t>
      </w:r>
      <w:r w:rsidRPr="001A3B30">
        <w:rPr>
          <w:rFonts w:cs="Arial"/>
          <w:szCs w:val="24"/>
          <w:lang w:eastAsia="it-IT"/>
        </w:rPr>
        <w:t xml:space="preserve"> (</w:t>
      </w:r>
      <w:proofErr w:type="spellStart"/>
      <w:r w:rsidRPr="001A3B30">
        <w:rPr>
          <w:rFonts w:cs="Arial"/>
          <w:i/>
          <w:iCs/>
          <w:szCs w:val="24"/>
          <w:lang w:eastAsia="it-IT"/>
        </w:rPr>
        <w:t>Disabilità</w:t>
      </w:r>
      <w:proofErr w:type="spellEnd"/>
      <w:r w:rsidRPr="001A3B30">
        <w:rPr>
          <w:rFonts w:cs="Arial"/>
          <w:i/>
          <w:iCs/>
          <w:szCs w:val="24"/>
          <w:lang w:eastAsia="it-IT"/>
        </w:rPr>
        <w:t xml:space="preserve"> e </w:t>
      </w:r>
      <w:proofErr w:type="spellStart"/>
      <w:r w:rsidRPr="001A3B30">
        <w:rPr>
          <w:rFonts w:cs="Arial"/>
          <w:i/>
          <w:iCs/>
          <w:szCs w:val="24"/>
          <w:lang w:eastAsia="it-IT"/>
        </w:rPr>
        <w:t>progetto</w:t>
      </w:r>
      <w:proofErr w:type="spellEnd"/>
      <w:r w:rsidRPr="001A3B30">
        <w:rPr>
          <w:rFonts w:cs="Arial"/>
          <w:i/>
          <w:iCs/>
          <w:szCs w:val="24"/>
          <w:lang w:eastAsia="it-IT"/>
        </w:rPr>
        <w:t xml:space="preserve"> di vita. </w:t>
      </w:r>
      <w:proofErr w:type="spellStart"/>
      <w:r w:rsidRPr="001A3B30">
        <w:rPr>
          <w:rFonts w:cs="Arial"/>
          <w:i/>
          <w:iCs/>
          <w:szCs w:val="24"/>
          <w:lang w:eastAsia="it-IT"/>
        </w:rPr>
        <w:t>Contrastare</w:t>
      </w:r>
      <w:proofErr w:type="spellEnd"/>
      <w:r w:rsidRPr="001A3B30">
        <w:rPr>
          <w:rFonts w:cs="Arial"/>
          <w:i/>
          <w:iCs/>
          <w:szCs w:val="24"/>
          <w:lang w:eastAsia="it-IT"/>
        </w:rPr>
        <w:t xml:space="preserve"> la re-</w:t>
      </w:r>
      <w:proofErr w:type="spellStart"/>
      <w:r w:rsidRPr="001A3B30">
        <w:rPr>
          <w:rFonts w:cs="Arial"/>
          <w:i/>
          <w:iCs/>
          <w:szCs w:val="24"/>
          <w:lang w:eastAsia="it-IT"/>
        </w:rPr>
        <w:t>istituzionalizzazione</w:t>
      </w:r>
      <w:proofErr w:type="spellEnd"/>
      <w:r w:rsidRPr="001A3B30">
        <w:rPr>
          <w:rFonts w:cs="Arial"/>
          <w:i/>
          <w:iCs/>
          <w:szCs w:val="24"/>
          <w:lang w:eastAsia="it-IT"/>
        </w:rPr>
        <w:t xml:space="preserve"> </w:t>
      </w:r>
      <w:proofErr w:type="spellStart"/>
      <w:r w:rsidRPr="001A3B30">
        <w:rPr>
          <w:rFonts w:cs="Arial"/>
          <w:i/>
          <w:iCs/>
          <w:szCs w:val="24"/>
          <w:lang w:eastAsia="it-IT"/>
        </w:rPr>
        <w:t>dei</w:t>
      </w:r>
      <w:proofErr w:type="spellEnd"/>
      <w:r w:rsidRPr="001A3B30">
        <w:rPr>
          <w:rFonts w:cs="Arial"/>
          <w:i/>
          <w:iCs/>
          <w:szCs w:val="24"/>
          <w:lang w:eastAsia="it-IT"/>
        </w:rPr>
        <w:t xml:space="preserve"> </w:t>
      </w:r>
      <w:proofErr w:type="spellStart"/>
      <w:r w:rsidRPr="001A3B30">
        <w:rPr>
          <w:rFonts w:cs="Arial"/>
          <w:i/>
          <w:iCs/>
          <w:szCs w:val="24"/>
          <w:lang w:eastAsia="it-IT"/>
        </w:rPr>
        <w:t>servizi</w:t>
      </w:r>
      <w:proofErr w:type="spellEnd"/>
      <w:r w:rsidRPr="001A3B30">
        <w:rPr>
          <w:rFonts w:cs="Arial"/>
          <w:i/>
          <w:iCs/>
          <w:szCs w:val="24"/>
          <w:lang w:eastAsia="it-IT"/>
        </w:rPr>
        <w:t>)</w:t>
      </w:r>
      <w:r w:rsidRPr="001A3B30">
        <w:rPr>
          <w:rFonts w:cs="Arial"/>
          <w:szCs w:val="24"/>
          <w:lang w:eastAsia="it-IT"/>
        </w:rPr>
        <w:t xml:space="preserve">, </w:t>
      </w:r>
      <w:proofErr w:type="spellStart"/>
      <w:r w:rsidRPr="001A3B30">
        <w:rPr>
          <w:rFonts w:cs="Arial"/>
          <w:szCs w:val="24"/>
          <w:lang w:eastAsia="it-IT"/>
        </w:rPr>
        <w:t>Castelplanio</w:t>
      </w:r>
      <w:proofErr w:type="spellEnd"/>
      <w:r w:rsidRPr="001A3B30">
        <w:rPr>
          <w:rFonts w:cs="Arial"/>
          <w:szCs w:val="24"/>
          <w:lang w:eastAsia="it-IT"/>
        </w:rPr>
        <w:t>, GS, 2018.</w:t>
      </w:r>
      <w:r w:rsidRPr="00BF4791">
        <w:rPr>
          <w:rFonts w:cs="Arial"/>
          <w:vertAlign w:val="superscript"/>
          <w:lang w:eastAsia="it-IT"/>
        </w:rPr>
        <w:footnoteReference w:id="36"/>
      </w:r>
    </w:p>
    <w:p w14:paraId="125E6768" w14:textId="77777777" w:rsidR="001A3B30" w:rsidRPr="001A3B30" w:rsidRDefault="001A3B30" w:rsidP="001A3B30">
      <w:pPr>
        <w:jc w:val="both"/>
        <w:rPr>
          <w:rFonts w:cs="Arial"/>
          <w:szCs w:val="24"/>
          <w:lang w:eastAsia="it-IT"/>
        </w:rPr>
      </w:pPr>
    </w:p>
    <w:p w14:paraId="4AB1CD95" w14:textId="77777777" w:rsidR="001A3B30" w:rsidRPr="001A3B30" w:rsidRDefault="001A3B30" w:rsidP="001A3B30">
      <w:pPr>
        <w:jc w:val="both"/>
        <w:rPr>
          <w:rFonts w:cs="Arial"/>
          <w:szCs w:val="24"/>
          <w:lang w:eastAsia="it-IT"/>
        </w:rPr>
      </w:pPr>
      <w:r w:rsidRPr="001A3B30">
        <w:rPr>
          <w:rFonts w:cs="Arial"/>
          <w:szCs w:val="24"/>
          <w:lang w:eastAsia="it-IT"/>
        </w:rPr>
        <w:t xml:space="preserve">The Gruppo </w:t>
      </w:r>
      <w:proofErr w:type="spellStart"/>
      <w:r w:rsidRPr="001A3B30">
        <w:rPr>
          <w:rFonts w:cs="Arial"/>
          <w:szCs w:val="24"/>
          <w:lang w:eastAsia="it-IT"/>
        </w:rPr>
        <w:t>Solidarietà</w:t>
      </w:r>
      <w:proofErr w:type="spellEnd"/>
      <w:r w:rsidRPr="001A3B30">
        <w:rPr>
          <w:rFonts w:cs="Arial"/>
          <w:szCs w:val="24"/>
          <w:lang w:eastAsia="it-IT"/>
        </w:rPr>
        <w:t xml:space="preserve"> (Solidarity Group) has been working in Marche in the field of the rights of people with disabilities since 1979. In this book, it encourages inclusive paths that counteract specialist services.</w:t>
      </w:r>
    </w:p>
    <w:p w14:paraId="2228ADF0" w14:textId="77777777" w:rsidR="001A3B30" w:rsidRPr="001A3B30" w:rsidRDefault="001A3B30" w:rsidP="001A3B30">
      <w:pPr>
        <w:ind w:left="567" w:hanging="567"/>
        <w:jc w:val="both"/>
        <w:rPr>
          <w:rFonts w:ascii="Times New Roman" w:hAnsi="Times New Roman"/>
          <w:b/>
          <w:bCs/>
          <w:szCs w:val="24"/>
          <w:lang w:eastAsia="it-IT"/>
        </w:rPr>
      </w:pPr>
    </w:p>
    <w:p w14:paraId="0DA59DBE" w14:textId="78752159" w:rsidR="00000C42" w:rsidRDefault="00E86322" w:rsidP="00BF4791">
      <w:pPr>
        <w:pStyle w:val="Heading2"/>
        <w:rPr>
          <w:u w:color="000000"/>
          <w:bdr w:val="nil"/>
          <w:lang w:eastAsia="it-IT"/>
        </w:rPr>
      </w:pPr>
      <w:bookmarkStart w:id="38" w:name="_Toc5724464"/>
      <w:r w:rsidRPr="001A3B30">
        <w:rPr>
          <w:u w:color="000000"/>
          <w:bdr w:val="nil"/>
          <w:lang w:eastAsia="it-IT"/>
        </w:rPr>
        <w:t>Pan-European and international civil society organisations</w:t>
      </w:r>
      <w:bookmarkEnd w:id="38"/>
    </w:p>
    <w:p w14:paraId="408D5927" w14:textId="77777777" w:rsidR="00BF4791" w:rsidRPr="00BF4791" w:rsidRDefault="00BF4791" w:rsidP="00BF4791">
      <w:pPr>
        <w:rPr>
          <w:rFonts w:eastAsia="Arial"/>
          <w:lang w:eastAsia="it-IT" w:bidi="en-US"/>
        </w:rPr>
      </w:pPr>
    </w:p>
    <w:p w14:paraId="25A1356D" w14:textId="6FFBDBE2" w:rsidR="001A3B30" w:rsidRPr="001A3B30" w:rsidRDefault="001A3B30" w:rsidP="001A3B30">
      <w:pPr>
        <w:jc w:val="both"/>
        <w:rPr>
          <w:rFonts w:cs="Arial"/>
          <w:szCs w:val="24"/>
          <w:lang w:eastAsia="it-IT"/>
        </w:rPr>
      </w:pPr>
      <w:r w:rsidRPr="001A3B30">
        <w:rPr>
          <w:rFonts w:cs="Arial"/>
          <w:szCs w:val="24"/>
          <w:lang w:eastAsia="it-IT"/>
        </w:rPr>
        <w:t>The European Coalition for Community Living is a Europe-wide cross-disability initiative working towards the social inclusion of people with disabilities by promoting the provision of comprehensive, quality community-based services as an alternative to institutionalisation.</w:t>
      </w:r>
      <w:r w:rsidR="00BF4791">
        <w:rPr>
          <w:rFonts w:cs="Arial"/>
          <w:szCs w:val="24"/>
          <w:lang w:eastAsia="it-IT"/>
        </w:rPr>
        <w:t xml:space="preserve"> </w:t>
      </w:r>
      <w:r w:rsidRPr="001A3B30">
        <w:rPr>
          <w:rFonts w:cs="Arial"/>
          <w:szCs w:val="24"/>
          <w:lang w:eastAsia="it-IT"/>
        </w:rPr>
        <w:t>Since 2008, ECCL has been hosted by the European Network on Independent Living (ENIL) and has produced different tools and publications on independent living issues.</w:t>
      </w:r>
      <w:r w:rsidRPr="001A3B30">
        <w:rPr>
          <w:rFonts w:cs="Arial"/>
          <w:szCs w:val="24"/>
          <w:vertAlign w:val="superscript"/>
          <w:lang w:eastAsia="it-IT"/>
        </w:rPr>
        <w:footnoteReference w:id="37"/>
      </w:r>
    </w:p>
    <w:p w14:paraId="348B614D" w14:textId="77777777" w:rsidR="001A3B30" w:rsidRPr="001A3B30" w:rsidRDefault="001A3B30" w:rsidP="001A3B30">
      <w:pPr>
        <w:jc w:val="both"/>
        <w:rPr>
          <w:rFonts w:ascii="Times New Roman" w:hAnsi="Times New Roman"/>
          <w:szCs w:val="24"/>
          <w:lang w:eastAsia="it-IT"/>
        </w:rPr>
      </w:pPr>
    </w:p>
    <w:p w14:paraId="6220A47B" w14:textId="0137D60E" w:rsidR="001A3B30" w:rsidRDefault="00E86322" w:rsidP="00BF4791">
      <w:pPr>
        <w:pStyle w:val="Heading1"/>
        <w:rPr>
          <w:u w:color="000000"/>
          <w:bdr w:val="nil"/>
          <w:lang w:eastAsia="it-IT"/>
        </w:rPr>
      </w:pPr>
      <w:bookmarkStart w:id="39" w:name="_Toc5724465"/>
      <w:r w:rsidRPr="001A3B30">
        <w:rPr>
          <w:u w:color="000000"/>
          <w:bdr w:val="nil"/>
          <w:lang w:eastAsia="it-IT"/>
        </w:rPr>
        <w:t>Academic research</w:t>
      </w:r>
      <w:bookmarkEnd w:id="39"/>
    </w:p>
    <w:p w14:paraId="561B7FEC" w14:textId="77777777" w:rsidR="00BF4791" w:rsidRPr="00BF4791" w:rsidRDefault="00BF4791" w:rsidP="00BF4791">
      <w:pPr>
        <w:rPr>
          <w:rFonts w:eastAsia="Arial"/>
          <w:lang w:eastAsia="it-IT" w:bidi="en-US"/>
        </w:rPr>
      </w:pPr>
    </w:p>
    <w:p w14:paraId="1952F6E6" w14:textId="77777777" w:rsidR="001A3B30" w:rsidRPr="001A3B30" w:rsidRDefault="001A3B30" w:rsidP="001A3B30">
      <w:pPr>
        <w:jc w:val="both"/>
        <w:rPr>
          <w:rFonts w:cs="Arial"/>
          <w:szCs w:val="24"/>
          <w:lang w:eastAsia="it-IT"/>
        </w:rPr>
      </w:pPr>
      <w:r w:rsidRPr="001A3B30">
        <w:rPr>
          <w:rFonts w:cs="Arial"/>
          <w:szCs w:val="24"/>
          <w:lang w:eastAsia="it-IT"/>
        </w:rPr>
        <w:t>In Italy, the amount of scientific research on the forms, types and dynamics of institutionalisation and deinstitutionalisation of persons with disabilities is extremely limited, as is the research on models and practices of community-based living.</w:t>
      </w:r>
    </w:p>
    <w:p w14:paraId="1ED6A4D5" w14:textId="77777777" w:rsidR="001A3B30" w:rsidRPr="001A3B30" w:rsidRDefault="001A3B30" w:rsidP="001A3B30">
      <w:pPr>
        <w:jc w:val="both"/>
        <w:rPr>
          <w:rFonts w:cs="Arial"/>
          <w:szCs w:val="24"/>
          <w:lang w:eastAsia="it-IT"/>
        </w:rPr>
      </w:pPr>
      <w:r w:rsidRPr="001A3B30">
        <w:rPr>
          <w:rFonts w:cs="Arial"/>
          <w:szCs w:val="24"/>
          <w:lang w:eastAsia="it-IT"/>
        </w:rPr>
        <w:t>During recent years, starting with studies and original research, the following volumes addressed the themes related to Article 19 of the UNCRPD:</w:t>
      </w:r>
    </w:p>
    <w:p w14:paraId="2B7E399A" w14:textId="77777777" w:rsidR="001A3B30" w:rsidRPr="001A3B30" w:rsidRDefault="001A3B30" w:rsidP="001A3B30">
      <w:pPr>
        <w:jc w:val="both"/>
        <w:rPr>
          <w:rFonts w:cs="Arial"/>
          <w:szCs w:val="24"/>
          <w:lang w:eastAsia="it-IT"/>
        </w:rPr>
      </w:pPr>
    </w:p>
    <w:p w14:paraId="24748198" w14:textId="2C2F5734" w:rsidR="001A3B30" w:rsidRDefault="001A3B30" w:rsidP="001A3B30">
      <w:pPr>
        <w:jc w:val="both"/>
        <w:rPr>
          <w:rFonts w:cs="Arial"/>
          <w:szCs w:val="24"/>
          <w:lang w:eastAsia="it-IT"/>
        </w:rPr>
      </w:pPr>
      <w:r w:rsidRPr="001A3B30">
        <w:rPr>
          <w:rFonts w:cs="Arial"/>
          <w:szCs w:val="24"/>
          <w:lang w:eastAsia="it-IT"/>
        </w:rPr>
        <w:t>Merlo, G., and Tarantino, C., eds.,</w:t>
      </w:r>
      <w:r w:rsidRPr="001A3B30">
        <w:rPr>
          <w:rFonts w:cs="Arial"/>
          <w:i/>
          <w:iCs/>
          <w:szCs w:val="24"/>
          <w:lang w:eastAsia="it-IT"/>
        </w:rPr>
        <w:t xml:space="preserve"> La </w:t>
      </w:r>
      <w:proofErr w:type="spellStart"/>
      <w:r w:rsidRPr="001A3B30">
        <w:rPr>
          <w:rFonts w:cs="Arial"/>
          <w:i/>
          <w:iCs/>
          <w:szCs w:val="24"/>
          <w:lang w:eastAsia="it-IT"/>
        </w:rPr>
        <w:t>segregazione</w:t>
      </w:r>
      <w:proofErr w:type="spellEnd"/>
      <w:r w:rsidRPr="001A3B30">
        <w:rPr>
          <w:rFonts w:cs="Arial"/>
          <w:i/>
          <w:iCs/>
          <w:szCs w:val="24"/>
          <w:lang w:eastAsia="it-IT"/>
        </w:rPr>
        <w:t xml:space="preserve"> </w:t>
      </w:r>
      <w:proofErr w:type="spellStart"/>
      <w:r w:rsidRPr="001A3B30">
        <w:rPr>
          <w:rFonts w:cs="Arial"/>
          <w:i/>
          <w:iCs/>
          <w:szCs w:val="24"/>
          <w:lang w:eastAsia="it-IT"/>
        </w:rPr>
        <w:t>delle</w:t>
      </w:r>
      <w:proofErr w:type="spellEnd"/>
      <w:r w:rsidRPr="001A3B30">
        <w:rPr>
          <w:rFonts w:cs="Arial"/>
          <w:i/>
          <w:iCs/>
          <w:szCs w:val="24"/>
          <w:lang w:eastAsia="it-IT"/>
        </w:rPr>
        <w:t xml:space="preserve"> </w:t>
      </w:r>
      <w:proofErr w:type="spellStart"/>
      <w:r w:rsidRPr="001A3B30">
        <w:rPr>
          <w:rFonts w:cs="Arial"/>
          <w:i/>
          <w:iCs/>
          <w:szCs w:val="24"/>
          <w:lang w:eastAsia="it-IT"/>
        </w:rPr>
        <w:t>persone</w:t>
      </w:r>
      <w:proofErr w:type="spellEnd"/>
      <w:r w:rsidRPr="001A3B30">
        <w:rPr>
          <w:rFonts w:cs="Arial"/>
          <w:i/>
          <w:iCs/>
          <w:szCs w:val="24"/>
          <w:lang w:eastAsia="it-IT"/>
        </w:rPr>
        <w:t xml:space="preserve"> con </w:t>
      </w:r>
      <w:proofErr w:type="spellStart"/>
      <w:r w:rsidRPr="001A3B30">
        <w:rPr>
          <w:rFonts w:cs="Arial"/>
          <w:i/>
          <w:iCs/>
          <w:szCs w:val="24"/>
          <w:lang w:eastAsia="it-IT"/>
        </w:rPr>
        <w:t>disabilità</w:t>
      </w:r>
      <w:proofErr w:type="spellEnd"/>
      <w:r w:rsidRPr="001A3B30">
        <w:rPr>
          <w:rFonts w:cs="Arial"/>
          <w:i/>
          <w:iCs/>
          <w:szCs w:val="24"/>
          <w:lang w:eastAsia="it-IT"/>
        </w:rPr>
        <w:t xml:space="preserve">. I </w:t>
      </w:r>
      <w:proofErr w:type="spellStart"/>
      <w:r w:rsidRPr="001A3B30">
        <w:rPr>
          <w:rFonts w:cs="Arial"/>
          <w:i/>
          <w:iCs/>
          <w:szCs w:val="24"/>
          <w:lang w:eastAsia="it-IT"/>
        </w:rPr>
        <w:t>manicomi</w:t>
      </w:r>
      <w:proofErr w:type="spellEnd"/>
      <w:r w:rsidRPr="001A3B30">
        <w:rPr>
          <w:rFonts w:cs="Arial"/>
          <w:i/>
          <w:iCs/>
          <w:szCs w:val="24"/>
          <w:lang w:eastAsia="it-IT"/>
        </w:rPr>
        <w:t xml:space="preserve"> </w:t>
      </w:r>
      <w:proofErr w:type="spellStart"/>
      <w:r w:rsidRPr="001A3B30">
        <w:rPr>
          <w:rFonts w:cs="Arial"/>
          <w:i/>
          <w:iCs/>
          <w:szCs w:val="24"/>
          <w:lang w:eastAsia="it-IT"/>
        </w:rPr>
        <w:t>nascosti</w:t>
      </w:r>
      <w:proofErr w:type="spellEnd"/>
      <w:r w:rsidRPr="001A3B30">
        <w:rPr>
          <w:rFonts w:cs="Arial"/>
          <w:i/>
          <w:iCs/>
          <w:szCs w:val="24"/>
          <w:lang w:eastAsia="it-IT"/>
        </w:rPr>
        <w:t xml:space="preserve"> in Italia</w:t>
      </w:r>
      <w:r w:rsidRPr="001A3B30">
        <w:rPr>
          <w:rFonts w:cs="Arial"/>
          <w:szCs w:val="24"/>
          <w:lang w:eastAsia="it-IT"/>
        </w:rPr>
        <w:t xml:space="preserve">, </w:t>
      </w:r>
      <w:proofErr w:type="spellStart"/>
      <w:r w:rsidRPr="001A3B30">
        <w:rPr>
          <w:rFonts w:cs="Arial"/>
          <w:szCs w:val="24"/>
          <w:lang w:eastAsia="it-IT"/>
        </w:rPr>
        <w:t>Maggioli</w:t>
      </w:r>
      <w:proofErr w:type="spellEnd"/>
      <w:r w:rsidRPr="001A3B30">
        <w:rPr>
          <w:rFonts w:cs="Arial"/>
          <w:szCs w:val="24"/>
          <w:lang w:eastAsia="it-IT"/>
        </w:rPr>
        <w:t xml:space="preserve">, </w:t>
      </w:r>
      <w:proofErr w:type="spellStart"/>
      <w:r w:rsidRPr="001A3B30">
        <w:rPr>
          <w:rFonts w:cs="Arial"/>
          <w:szCs w:val="24"/>
          <w:lang w:eastAsia="it-IT"/>
        </w:rPr>
        <w:t>Santarcangelo</w:t>
      </w:r>
      <w:proofErr w:type="spellEnd"/>
      <w:r w:rsidRPr="001A3B30">
        <w:rPr>
          <w:rFonts w:cs="Arial"/>
          <w:szCs w:val="24"/>
          <w:lang w:eastAsia="it-IT"/>
        </w:rPr>
        <w:t xml:space="preserve"> di Romagna, 2018.</w:t>
      </w:r>
    </w:p>
    <w:p w14:paraId="2F312129" w14:textId="77777777" w:rsidR="00BF4791" w:rsidRPr="001A3B30" w:rsidRDefault="00BF4791" w:rsidP="001A3B30">
      <w:pPr>
        <w:jc w:val="both"/>
        <w:rPr>
          <w:rFonts w:cs="Arial"/>
          <w:i/>
          <w:iCs/>
          <w:szCs w:val="24"/>
          <w:lang w:eastAsia="it-IT"/>
        </w:rPr>
      </w:pPr>
    </w:p>
    <w:p w14:paraId="249C63FC" w14:textId="77777777" w:rsidR="001A3B30" w:rsidRPr="001A3B30" w:rsidRDefault="001A3B30" w:rsidP="00BF4791">
      <w:pPr>
        <w:jc w:val="both"/>
        <w:rPr>
          <w:rFonts w:cs="Arial"/>
          <w:szCs w:val="24"/>
          <w:lang w:eastAsia="it-IT"/>
        </w:rPr>
      </w:pPr>
      <w:r w:rsidRPr="001A3B30">
        <w:rPr>
          <w:rFonts w:cs="Arial"/>
          <w:szCs w:val="24"/>
          <w:lang w:eastAsia="it-IT"/>
        </w:rPr>
        <w:t>Starting from research funded by the FISH (</w:t>
      </w:r>
      <w:proofErr w:type="spellStart"/>
      <w:r w:rsidRPr="001A3B30">
        <w:rPr>
          <w:rFonts w:cs="Arial"/>
          <w:szCs w:val="24"/>
          <w:lang w:eastAsia="it-IT"/>
        </w:rPr>
        <w:t>Federazione</w:t>
      </w:r>
      <w:proofErr w:type="spellEnd"/>
      <w:r w:rsidRPr="001A3B30">
        <w:rPr>
          <w:rFonts w:cs="Arial"/>
          <w:szCs w:val="24"/>
          <w:lang w:eastAsia="it-IT"/>
        </w:rPr>
        <w:t xml:space="preserve"> </w:t>
      </w:r>
      <w:proofErr w:type="spellStart"/>
      <w:r w:rsidRPr="001A3B30">
        <w:rPr>
          <w:rFonts w:cs="Arial"/>
          <w:szCs w:val="24"/>
          <w:lang w:eastAsia="it-IT"/>
        </w:rPr>
        <w:t>Italiana</w:t>
      </w:r>
      <w:proofErr w:type="spellEnd"/>
      <w:r w:rsidRPr="001A3B30">
        <w:rPr>
          <w:rFonts w:cs="Arial"/>
          <w:szCs w:val="24"/>
          <w:lang w:eastAsia="it-IT"/>
        </w:rPr>
        <w:t xml:space="preserve"> per </w:t>
      </w:r>
      <w:proofErr w:type="spellStart"/>
      <w:r w:rsidRPr="001A3B30">
        <w:rPr>
          <w:rFonts w:cs="Arial"/>
          <w:szCs w:val="24"/>
          <w:lang w:eastAsia="it-IT"/>
        </w:rPr>
        <w:t>il</w:t>
      </w:r>
      <w:proofErr w:type="spellEnd"/>
      <w:r w:rsidRPr="001A3B30">
        <w:rPr>
          <w:rFonts w:cs="Arial"/>
          <w:szCs w:val="24"/>
          <w:lang w:eastAsia="it-IT"/>
        </w:rPr>
        <w:t xml:space="preserve"> </w:t>
      </w:r>
      <w:proofErr w:type="spellStart"/>
      <w:r w:rsidRPr="001A3B30">
        <w:rPr>
          <w:rFonts w:cs="Arial"/>
          <w:szCs w:val="24"/>
          <w:lang w:eastAsia="it-IT"/>
        </w:rPr>
        <w:t>Superamento</w:t>
      </w:r>
      <w:proofErr w:type="spellEnd"/>
      <w:r w:rsidRPr="001A3B30">
        <w:rPr>
          <w:rFonts w:cs="Arial"/>
          <w:szCs w:val="24"/>
          <w:lang w:eastAsia="it-IT"/>
        </w:rPr>
        <w:t xml:space="preserve"> </w:t>
      </w:r>
      <w:proofErr w:type="spellStart"/>
      <w:r w:rsidRPr="001A3B30">
        <w:rPr>
          <w:rFonts w:cs="Arial"/>
          <w:szCs w:val="24"/>
          <w:lang w:eastAsia="it-IT"/>
        </w:rPr>
        <w:t>dell’Handicap</w:t>
      </w:r>
      <w:proofErr w:type="spellEnd"/>
      <w:r w:rsidRPr="001A3B30">
        <w:rPr>
          <w:rFonts w:cs="Arial"/>
          <w:szCs w:val="24"/>
          <w:lang w:eastAsia="it-IT"/>
        </w:rPr>
        <w:t xml:space="preserve"> (8) — the Italian Federation for the Overcoming of Handicap) that was carried out throughout the country, this volume provides an analysis of the segregation of persons with disabilities in Italy at the present time. This work provides some indexes and measures of segregation. The research concludes with some operating guidelines for fighting institutionalisation and segregation. </w:t>
      </w:r>
    </w:p>
    <w:p w14:paraId="1EB48421" w14:textId="77777777" w:rsidR="001A3B30" w:rsidRPr="001A3B30" w:rsidRDefault="001A3B30" w:rsidP="001A3B30">
      <w:pPr>
        <w:ind w:left="1134"/>
        <w:jc w:val="both"/>
        <w:rPr>
          <w:rFonts w:cs="Arial"/>
          <w:szCs w:val="24"/>
          <w:lang w:eastAsia="it-IT"/>
        </w:rPr>
      </w:pPr>
    </w:p>
    <w:p w14:paraId="0E3DA7B4" w14:textId="77777777" w:rsidR="001A3B30" w:rsidRPr="001A3B30" w:rsidRDefault="001A3B30" w:rsidP="001A3B30">
      <w:pPr>
        <w:jc w:val="both"/>
        <w:rPr>
          <w:rFonts w:cs="Arial"/>
          <w:szCs w:val="24"/>
          <w:lang w:val="fr-FR" w:eastAsia="it-IT"/>
        </w:rPr>
      </w:pPr>
      <w:proofErr w:type="spellStart"/>
      <w:r w:rsidRPr="001A3B30">
        <w:rPr>
          <w:rFonts w:cs="Arial"/>
          <w:szCs w:val="24"/>
          <w:lang w:val="fr-FR" w:eastAsia="it-IT"/>
        </w:rPr>
        <w:t>Falasca</w:t>
      </w:r>
      <w:proofErr w:type="spellEnd"/>
      <w:r w:rsidRPr="001A3B30">
        <w:rPr>
          <w:rFonts w:cs="Arial"/>
          <w:szCs w:val="24"/>
          <w:lang w:val="fr-FR" w:eastAsia="it-IT"/>
        </w:rPr>
        <w:t xml:space="preserve">, C., </w:t>
      </w:r>
      <w:proofErr w:type="spellStart"/>
      <w:r w:rsidRPr="001A3B30">
        <w:rPr>
          <w:rFonts w:cs="Arial"/>
          <w:szCs w:val="24"/>
          <w:lang w:val="fr-FR" w:eastAsia="it-IT"/>
        </w:rPr>
        <w:t>ed</w:t>
      </w:r>
      <w:proofErr w:type="spellEnd"/>
      <w:r w:rsidRPr="001A3B30">
        <w:rPr>
          <w:rFonts w:cs="Arial"/>
          <w:szCs w:val="24"/>
          <w:lang w:val="fr-FR" w:eastAsia="it-IT"/>
        </w:rPr>
        <w:t xml:space="preserve">., </w:t>
      </w:r>
      <w:r w:rsidRPr="001A3B30">
        <w:rPr>
          <w:rFonts w:cs="Arial"/>
          <w:i/>
          <w:iCs/>
          <w:szCs w:val="24"/>
          <w:lang w:val="fr-FR" w:eastAsia="it-IT"/>
        </w:rPr>
        <w:t xml:space="preserve">Il </w:t>
      </w:r>
      <w:proofErr w:type="spellStart"/>
      <w:r w:rsidRPr="001A3B30">
        <w:rPr>
          <w:rFonts w:cs="Arial"/>
          <w:i/>
          <w:iCs/>
          <w:szCs w:val="24"/>
          <w:lang w:val="fr-FR" w:eastAsia="it-IT"/>
        </w:rPr>
        <w:t>diritto</w:t>
      </w:r>
      <w:proofErr w:type="spellEnd"/>
      <w:r w:rsidRPr="001A3B30">
        <w:rPr>
          <w:rFonts w:cs="Arial"/>
          <w:i/>
          <w:iCs/>
          <w:szCs w:val="24"/>
          <w:lang w:val="fr-FR" w:eastAsia="it-IT"/>
        </w:rPr>
        <w:t xml:space="preserve"> di </w:t>
      </w:r>
      <w:proofErr w:type="spellStart"/>
      <w:r w:rsidRPr="001A3B30">
        <w:rPr>
          <w:rFonts w:cs="Arial"/>
          <w:i/>
          <w:iCs/>
          <w:szCs w:val="24"/>
          <w:lang w:val="fr-FR" w:eastAsia="it-IT"/>
        </w:rPr>
        <w:t>invecchiare</w:t>
      </w:r>
      <w:proofErr w:type="spellEnd"/>
      <w:r w:rsidRPr="001A3B30">
        <w:rPr>
          <w:rFonts w:cs="Arial"/>
          <w:i/>
          <w:iCs/>
          <w:szCs w:val="24"/>
          <w:lang w:val="fr-FR" w:eastAsia="it-IT"/>
        </w:rPr>
        <w:t xml:space="preserve"> a casa propria. </w:t>
      </w:r>
      <w:proofErr w:type="spellStart"/>
      <w:r w:rsidRPr="001A3B30">
        <w:rPr>
          <w:rFonts w:cs="Arial"/>
          <w:i/>
          <w:iCs/>
          <w:szCs w:val="24"/>
          <w:lang w:val="fr-FR" w:eastAsia="it-IT"/>
        </w:rPr>
        <w:t>Problemi</w:t>
      </w:r>
      <w:proofErr w:type="spellEnd"/>
      <w:r w:rsidRPr="001A3B30">
        <w:rPr>
          <w:rFonts w:cs="Arial"/>
          <w:i/>
          <w:iCs/>
          <w:szCs w:val="24"/>
          <w:lang w:val="fr-FR" w:eastAsia="it-IT"/>
        </w:rPr>
        <w:t xml:space="preserve"> e </w:t>
      </w:r>
      <w:proofErr w:type="spellStart"/>
      <w:r w:rsidRPr="001A3B30">
        <w:rPr>
          <w:rFonts w:cs="Arial"/>
          <w:i/>
          <w:iCs/>
          <w:szCs w:val="24"/>
          <w:lang w:val="fr-FR" w:eastAsia="it-IT"/>
        </w:rPr>
        <w:t>prospettive</w:t>
      </w:r>
      <w:proofErr w:type="spellEnd"/>
      <w:r w:rsidRPr="001A3B30">
        <w:rPr>
          <w:rFonts w:cs="Arial"/>
          <w:i/>
          <w:iCs/>
          <w:szCs w:val="24"/>
          <w:lang w:val="fr-FR" w:eastAsia="it-IT"/>
        </w:rPr>
        <w:t xml:space="preserve"> </w:t>
      </w:r>
      <w:proofErr w:type="spellStart"/>
      <w:r w:rsidRPr="001A3B30">
        <w:rPr>
          <w:rFonts w:cs="Arial"/>
          <w:i/>
          <w:iCs/>
          <w:szCs w:val="24"/>
          <w:lang w:val="fr-FR" w:eastAsia="it-IT"/>
        </w:rPr>
        <w:t>della</w:t>
      </w:r>
      <w:proofErr w:type="spellEnd"/>
      <w:r w:rsidRPr="001A3B30">
        <w:rPr>
          <w:rFonts w:cs="Arial"/>
          <w:i/>
          <w:iCs/>
          <w:szCs w:val="24"/>
          <w:lang w:val="fr-FR" w:eastAsia="it-IT"/>
        </w:rPr>
        <w:t xml:space="preserve"> </w:t>
      </w:r>
      <w:proofErr w:type="spellStart"/>
      <w:r w:rsidRPr="001A3B30">
        <w:rPr>
          <w:rFonts w:cs="Arial"/>
          <w:i/>
          <w:iCs/>
          <w:szCs w:val="24"/>
          <w:lang w:val="fr-FR" w:eastAsia="it-IT"/>
        </w:rPr>
        <w:t>domiciliarità</w:t>
      </w:r>
      <w:proofErr w:type="spellEnd"/>
      <w:r w:rsidRPr="001A3B30">
        <w:rPr>
          <w:rFonts w:cs="Arial"/>
          <w:szCs w:val="24"/>
          <w:lang w:val="fr-FR" w:eastAsia="it-IT"/>
        </w:rPr>
        <w:t xml:space="preserve">, </w:t>
      </w:r>
      <w:proofErr w:type="spellStart"/>
      <w:r w:rsidRPr="001A3B30">
        <w:rPr>
          <w:rFonts w:cs="Arial"/>
          <w:szCs w:val="24"/>
          <w:lang w:val="fr-FR" w:eastAsia="it-IT"/>
        </w:rPr>
        <w:t>LiberEtà</w:t>
      </w:r>
      <w:proofErr w:type="spellEnd"/>
      <w:r w:rsidRPr="001A3B30">
        <w:rPr>
          <w:rFonts w:cs="Arial"/>
          <w:szCs w:val="24"/>
          <w:lang w:val="fr-FR" w:eastAsia="it-IT"/>
        </w:rPr>
        <w:t>, Roma, 2018.</w:t>
      </w:r>
    </w:p>
    <w:p w14:paraId="6E576354" w14:textId="77777777" w:rsidR="001A3B30" w:rsidRPr="001A3B30" w:rsidRDefault="001A3B30" w:rsidP="00BF4791">
      <w:pPr>
        <w:jc w:val="both"/>
        <w:rPr>
          <w:rFonts w:cs="Arial"/>
          <w:szCs w:val="24"/>
          <w:lang w:eastAsia="it-IT"/>
        </w:rPr>
      </w:pPr>
      <w:r w:rsidRPr="001A3B30">
        <w:rPr>
          <w:rFonts w:cs="Arial"/>
          <w:szCs w:val="24"/>
          <w:lang w:eastAsia="it-IT"/>
        </w:rPr>
        <w:lastRenderedPageBreak/>
        <w:t xml:space="preserve">This research provides an analysis of the Italian home care system, which is a pillar of long-term care, starting from an analysis of the available data, primarily those on demographic change and on the quality and quantity of public and private services offered in Italy. </w:t>
      </w:r>
    </w:p>
    <w:p w14:paraId="298A7D89" w14:textId="77777777" w:rsidR="001A3B30" w:rsidRPr="001A3B30" w:rsidRDefault="001A3B30" w:rsidP="001A3B30">
      <w:pPr>
        <w:ind w:left="1134"/>
        <w:jc w:val="both"/>
        <w:rPr>
          <w:rFonts w:cs="Arial"/>
          <w:szCs w:val="24"/>
          <w:lang w:eastAsia="it-IT"/>
        </w:rPr>
      </w:pPr>
    </w:p>
    <w:p w14:paraId="40FEB986" w14:textId="3DC72119" w:rsidR="001A3B30" w:rsidRDefault="001A3B30" w:rsidP="001A3B30">
      <w:pPr>
        <w:jc w:val="both"/>
        <w:rPr>
          <w:rFonts w:cs="Arial"/>
          <w:szCs w:val="24"/>
          <w:lang w:val="fr-FR" w:eastAsia="it-IT"/>
        </w:rPr>
      </w:pPr>
      <w:r w:rsidRPr="001A3B30">
        <w:rPr>
          <w:rFonts w:cs="Arial"/>
          <w:szCs w:val="24"/>
          <w:lang w:eastAsia="it-IT"/>
        </w:rPr>
        <w:t xml:space="preserve">Marchisio, C. and </w:t>
      </w:r>
      <w:proofErr w:type="spellStart"/>
      <w:r w:rsidRPr="001A3B30">
        <w:rPr>
          <w:rFonts w:cs="Arial"/>
          <w:szCs w:val="24"/>
          <w:lang w:eastAsia="it-IT"/>
        </w:rPr>
        <w:t>Curto</w:t>
      </w:r>
      <w:proofErr w:type="spellEnd"/>
      <w:r w:rsidRPr="001A3B30">
        <w:rPr>
          <w:rFonts w:cs="Arial"/>
          <w:szCs w:val="24"/>
          <w:lang w:eastAsia="it-IT"/>
        </w:rPr>
        <w:t xml:space="preserve">, N., </w:t>
      </w:r>
      <w:proofErr w:type="spellStart"/>
      <w:r w:rsidRPr="001A3B30">
        <w:rPr>
          <w:rFonts w:cs="Arial"/>
          <w:i/>
          <w:iCs/>
          <w:szCs w:val="24"/>
          <w:lang w:eastAsia="it-IT"/>
        </w:rPr>
        <w:t>Costruire</w:t>
      </w:r>
      <w:proofErr w:type="spellEnd"/>
      <w:r w:rsidRPr="001A3B30">
        <w:rPr>
          <w:rFonts w:cs="Arial"/>
          <w:i/>
          <w:iCs/>
          <w:szCs w:val="24"/>
          <w:lang w:eastAsia="it-IT"/>
        </w:rPr>
        <w:t xml:space="preserve"> </w:t>
      </w:r>
      <w:proofErr w:type="spellStart"/>
      <w:r w:rsidRPr="001A3B30">
        <w:rPr>
          <w:rFonts w:cs="Arial"/>
          <w:i/>
          <w:iCs/>
          <w:szCs w:val="24"/>
          <w:lang w:eastAsia="it-IT"/>
        </w:rPr>
        <w:t>futuro</w:t>
      </w:r>
      <w:proofErr w:type="spellEnd"/>
      <w:r w:rsidRPr="001A3B30">
        <w:rPr>
          <w:rFonts w:cs="Arial"/>
          <w:i/>
          <w:iCs/>
          <w:szCs w:val="24"/>
          <w:lang w:eastAsia="it-IT"/>
        </w:rPr>
        <w:t xml:space="preserve">. </w:t>
      </w:r>
      <w:proofErr w:type="spellStart"/>
      <w:r w:rsidRPr="001A3B30">
        <w:rPr>
          <w:rFonts w:cs="Arial"/>
          <w:i/>
          <w:iCs/>
          <w:szCs w:val="24"/>
          <w:lang w:val="fr-FR" w:eastAsia="it-IT"/>
        </w:rPr>
        <w:t>Ripensare</w:t>
      </w:r>
      <w:proofErr w:type="spellEnd"/>
      <w:r w:rsidRPr="001A3B30">
        <w:rPr>
          <w:rFonts w:cs="Arial"/>
          <w:i/>
          <w:iCs/>
          <w:szCs w:val="24"/>
          <w:lang w:val="fr-FR" w:eastAsia="it-IT"/>
        </w:rPr>
        <w:t xml:space="preserve"> il </w:t>
      </w:r>
      <w:proofErr w:type="spellStart"/>
      <w:r w:rsidRPr="001A3B30">
        <w:rPr>
          <w:rFonts w:cs="Arial"/>
          <w:i/>
          <w:iCs/>
          <w:szCs w:val="24"/>
          <w:lang w:val="fr-FR" w:eastAsia="it-IT"/>
        </w:rPr>
        <w:t>dopo</w:t>
      </w:r>
      <w:proofErr w:type="spellEnd"/>
      <w:r w:rsidRPr="001A3B30">
        <w:rPr>
          <w:rFonts w:cs="Arial"/>
          <w:i/>
          <w:iCs/>
          <w:szCs w:val="24"/>
          <w:lang w:val="fr-FR" w:eastAsia="it-IT"/>
        </w:rPr>
        <w:t xml:space="preserve"> di </w:t>
      </w:r>
      <w:proofErr w:type="spellStart"/>
      <w:r w:rsidRPr="001A3B30">
        <w:rPr>
          <w:rFonts w:cs="Arial"/>
          <w:i/>
          <w:iCs/>
          <w:szCs w:val="24"/>
          <w:lang w:val="fr-FR" w:eastAsia="it-IT"/>
        </w:rPr>
        <w:t>noi</w:t>
      </w:r>
      <w:proofErr w:type="spellEnd"/>
      <w:r w:rsidRPr="001A3B30">
        <w:rPr>
          <w:rFonts w:cs="Arial"/>
          <w:i/>
          <w:iCs/>
          <w:szCs w:val="24"/>
          <w:lang w:val="fr-FR" w:eastAsia="it-IT"/>
        </w:rPr>
        <w:t xml:space="preserve"> con l’</w:t>
      </w:r>
      <w:proofErr w:type="spellStart"/>
      <w:r w:rsidRPr="001A3B30">
        <w:rPr>
          <w:rFonts w:cs="Arial"/>
          <w:i/>
          <w:iCs/>
          <w:szCs w:val="24"/>
          <w:lang w:val="fr-FR" w:eastAsia="it-IT"/>
        </w:rPr>
        <w:t>Officina</w:t>
      </w:r>
      <w:proofErr w:type="spellEnd"/>
      <w:r w:rsidRPr="001A3B30">
        <w:rPr>
          <w:rFonts w:cs="Arial"/>
          <w:i/>
          <w:iCs/>
          <w:szCs w:val="24"/>
          <w:lang w:val="fr-FR" w:eastAsia="it-IT"/>
        </w:rPr>
        <w:t xml:space="preserve"> </w:t>
      </w:r>
      <w:proofErr w:type="spellStart"/>
      <w:r w:rsidRPr="001A3B30">
        <w:rPr>
          <w:rFonts w:cs="Arial"/>
          <w:i/>
          <w:iCs/>
          <w:szCs w:val="24"/>
          <w:lang w:val="fr-FR" w:eastAsia="it-IT"/>
        </w:rPr>
        <w:t>della</w:t>
      </w:r>
      <w:proofErr w:type="spellEnd"/>
      <w:r w:rsidRPr="001A3B30">
        <w:rPr>
          <w:rFonts w:cs="Arial"/>
          <w:i/>
          <w:iCs/>
          <w:szCs w:val="24"/>
          <w:lang w:val="fr-FR" w:eastAsia="it-IT"/>
        </w:rPr>
        <w:t xml:space="preserve"> </w:t>
      </w:r>
      <w:proofErr w:type="spellStart"/>
      <w:r w:rsidRPr="001A3B30">
        <w:rPr>
          <w:rFonts w:cs="Arial"/>
          <w:i/>
          <w:iCs/>
          <w:szCs w:val="24"/>
          <w:lang w:val="fr-FR" w:eastAsia="it-IT"/>
        </w:rPr>
        <w:t>vita</w:t>
      </w:r>
      <w:proofErr w:type="spellEnd"/>
      <w:r w:rsidRPr="001A3B30">
        <w:rPr>
          <w:rFonts w:cs="Arial"/>
          <w:i/>
          <w:iCs/>
          <w:szCs w:val="24"/>
          <w:lang w:val="fr-FR" w:eastAsia="it-IT"/>
        </w:rPr>
        <w:t xml:space="preserve"> </w:t>
      </w:r>
      <w:proofErr w:type="spellStart"/>
      <w:r w:rsidRPr="001A3B30">
        <w:rPr>
          <w:rFonts w:cs="Arial"/>
          <w:i/>
          <w:iCs/>
          <w:szCs w:val="24"/>
          <w:lang w:val="fr-FR" w:eastAsia="it-IT"/>
        </w:rPr>
        <w:t>indipendente</w:t>
      </w:r>
      <w:proofErr w:type="spellEnd"/>
      <w:r w:rsidRPr="001A3B30">
        <w:rPr>
          <w:rFonts w:cs="Arial"/>
          <w:szCs w:val="24"/>
          <w:lang w:val="fr-FR" w:eastAsia="it-IT"/>
        </w:rPr>
        <w:t>, Erickson, Trento, 2017.</w:t>
      </w:r>
    </w:p>
    <w:p w14:paraId="37A94054" w14:textId="77777777" w:rsidR="00BF4791" w:rsidRDefault="00BF4791" w:rsidP="00BF4791">
      <w:pPr>
        <w:jc w:val="both"/>
        <w:rPr>
          <w:rFonts w:cs="Arial"/>
          <w:szCs w:val="24"/>
          <w:lang w:val="fr-FR" w:eastAsia="it-IT"/>
        </w:rPr>
      </w:pPr>
    </w:p>
    <w:p w14:paraId="072031D5" w14:textId="0AC80D0C" w:rsidR="001A3B30" w:rsidRPr="001A3B30" w:rsidRDefault="001A3B30" w:rsidP="00BF4791">
      <w:pPr>
        <w:jc w:val="both"/>
        <w:rPr>
          <w:rFonts w:cs="Arial"/>
          <w:szCs w:val="24"/>
          <w:lang w:eastAsia="it-IT"/>
        </w:rPr>
      </w:pPr>
      <w:r w:rsidRPr="001A3B30">
        <w:rPr>
          <w:rFonts w:cs="Arial"/>
          <w:szCs w:val="24"/>
          <w:lang w:eastAsia="it-IT"/>
        </w:rPr>
        <w:t>This book, starting with many daily experiences, reconstructs which support policies are effective in achieving the goal of independent living.</w:t>
      </w:r>
    </w:p>
    <w:p w14:paraId="79247E49" w14:textId="77777777" w:rsidR="001A3B30" w:rsidRPr="001A3B30" w:rsidRDefault="001A3B30" w:rsidP="001A3B30">
      <w:pPr>
        <w:ind w:left="1134"/>
        <w:jc w:val="both"/>
        <w:rPr>
          <w:rFonts w:cs="Arial"/>
          <w:szCs w:val="24"/>
          <w:lang w:eastAsia="it-IT"/>
        </w:rPr>
      </w:pPr>
    </w:p>
    <w:p w14:paraId="080DA26C" w14:textId="7315AE7B" w:rsidR="001A3B30" w:rsidRDefault="001A3B30" w:rsidP="001A3B30">
      <w:pPr>
        <w:jc w:val="both"/>
        <w:rPr>
          <w:rFonts w:cs="Arial"/>
          <w:szCs w:val="24"/>
          <w:lang w:val="fr-FR" w:eastAsia="it-IT"/>
        </w:rPr>
      </w:pPr>
      <w:proofErr w:type="spellStart"/>
      <w:r w:rsidRPr="001A3B30">
        <w:rPr>
          <w:rFonts w:cs="Arial"/>
          <w:szCs w:val="24"/>
          <w:lang w:val="fr-FR" w:eastAsia="it-IT"/>
        </w:rPr>
        <w:t>Francescutti</w:t>
      </w:r>
      <w:proofErr w:type="spellEnd"/>
      <w:r w:rsidRPr="001A3B30">
        <w:rPr>
          <w:rFonts w:cs="Arial"/>
          <w:szCs w:val="24"/>
          <w:lang w:val="fr-FR" w:eastAsia="it-IT"/>
        </w:rPr>
        <w:t xml:space="preserve">, C. et al., </w:t>
      </w:r>
      <w:proofErr w:type="spellStart"/>
      <w:r w:rsidRPr="001A3B30">
        <w:rPr>
          <w:rFonts w:cs="Arial"/>
          <w:szCs w:val="24"/>
          <w:lang w:val="fr-FR" w:eastAsia="it-IT"/>
        </w:rPr>
        <w:t>eds</w:t>
      </w:r>
      <w:proofErr w:type="spellEnd"/>
      <w:r w:rsidRPr="001A3B30">
        <w:rPr>
          <w:rFonts w:cs="Arial"/>
          <w:szCs w:val="24"/>
          <w:lang w:val="fr-FR" w:eastAsia="it-IT"/>
        </w:rPr>
        <w:t xml:space="preserve">., </w:t>
      </w:r>
      <w:proofErr w:type="spellStart"/>
      <w:proofErr w:type="gramStart"/>
      <w:r w:rsidRPr="001A3B30">
        <w:rPr>
          <w:rFonts w:cs="Arial"/>
          <w:i/>
          <w:iCs/>
          <w:szCs w:val="24"/>
          <w:lang w:val="fr-FR" w:eastAsia="it-IT"/>
        </w:rPr>
        <w:t>Disabilità</w:t>
      </w:r>
      <w:proofErr w:type="spellEnd"/>
      <w:r w:rsidRPr="001A3B30">
        <w:rPr>
          <w:rFonts w:cs="Arial"/>
          <w:i/>
          <w:iCs/>
          <w:szCs w:val="24"/>
          <w:lang w:val="fr-FR" w:eastAsia="it-IT"/>
        </w:rPr>
        <w:t>:</w:t>
      </w:r>
      <w:proofErr w:type="gramEnd"/>
      <w:r w:rsidRPr="001A3B30">
        <w:rPr>
          <w:rFonts w:cs="Arial"/>
          <w:i/>
          <w:iCs/>
          <w:szCs w:val="24"/>
          <w:lang w:val="fr-FR" w:eastAsia="it-IT"/>
        </w:rPr>
        <w:t xml:space="preserve"> </w:t>
      </w:r>
      <w:proofErr w:type="spellStart"/>
      <w:r w:rsidRPr="001A3B30">
        <w:rPr>
          <w:rFonts w:cs="Arial"/>
          <w:i/>
          <w:iCs/>
          <w:szCs w:val="24"/>
          <w:lang w:val="fr-FR" w:eastAsia="it-IT"/>
        </w:rPr>
        <w:t>servizi</w:t>
      </w:r>
      <w:proofErr w:type="spellEnd"/>
      <w:r w:rsidRPr="001A3B30">
        <w:rPr>
          <w:rFonts w:cs="Arial"/>
          <w:i/>
          <w:iCs/>
          <w:szCs w:val="24"/>
          <w:lang w:val="fr-FR" w:eastAsia="it-IT"/>
        </w:rPr>
        <w:t xml:space="preserve"> per l’</w:t>
      </w:r>
      <w:proofErr w:type="spellStart"/>
      <w:r w:rsidRPr="001A3B30">
        <w:rPr>
          <w:rFonts w:cs="Arial"/>
          <w:i/>
          <w:iCs/>
          <w:szCs w:val="24"/>
          <w:lang w:val="fr-FR" w:eastAsia="it-IT"/>
        </w:rPr>
        <w:t>abitare</w:t>
      </w:r>
      <w:proofErr w:type="spellEnd"/>
      <w:r w:rsidRPr="001A3B30">
        <w:rPr>
          <w:rFonts w:cs="Arial"/>
          <w:i/>
          <w:iCs/>
          <w:szCs w:val="24"/>
          <w:lang w:val="fr-FR" w:eastAsia="it-IT"/>
        </w:rPr>
        <w:t xml:space="preserve"> e </w:t>
      </w:r>
      <w:proofErr w:type="spellStart"/>
      <w:r w:rsidRPr="001A3B30">
        <w:rPr>
          <w:rFonts w:cs="Arial"/>
          <w:i/>
          <w:iCs/>
          <w:szCs w:val="24"/>
          <w:lang w:val="fr-FR" w:eastAsia="it-IT"/>
        </w:rPr>
        <w:t>sostegni</w:t>
      </w:r>
      <w:proofErr w:type="spellEnd"/>
      <w:r w:rsidRPr="001A3B30">
        <w:rPr>
          <w:rFonts w:cs="Arial"/>
          <w:i/>
          <w:iCs/>
          <w:szCs w:val="24"/>
          <w:lang w:val="fr-FR" w:eastAsia="it-IT"/>
        </w:rPr>
        <w:t xml:space="preserve"> per l’</w:t>
      </w:r>
      <w:proofErr w:type="spellStart"/>
      <w:r w:rsidRPr="001A3B30">
        <w:rPr>
          <w:rFonts w:cs="Arial"/>
          <w:i/>
          <w:iCs/>
          <w:szCs w:val="24"/>
          <w:lang w:val="fr-FR" w:eastAsia="it-IT"/>
        </w:rPr>
        <w:t>inclusione</w:t>
      </w:r>
      <w:proofErr w:type="spellEnd"/>
      <w:r w:rsidRPr="001A3B30">
        <w:rPr>
          <w:rFonts w:cs="Arial"/>
          <w:i/>
          <w:iCs/>
          <w:szCs w:val="24"/>
          <w:lang w:val="fr-FR" w:eastAsia="it-IT"/>
        </w:rPr>
        <w:t xml:space="preserve">. </w:t>
      </w:r>
      <w:proofErr w:type="spellStart"/>
      <w:r w:rsidRPr="001A3B30">
        <w:rPr>
          <w:rFonts w:cs="Arial"/>
          <w:i/>
          <w:iCs/>
          <w:szCs w:val="24"/>
          <w:lang w:val="fr-FR" w:eastAsia="it-IT"/>
        </w:rPr>
        <w:t>Manuale</w:t>
      </w:r>
      <w:proofErr w:type="spellEnd"/>
      <w:r w:rsidRPr="001A3B30">
        <w:rPr>
          <w:rFonts w:cs="Arial"/>
          <w:i/>
          <w:iCs/>
          <w:szCs w:val="24"/>
          <w:lang w:val="fr-FR" w:eastAsia="it-IT"/>
        </w:rPr>
        <w:t xml:space="preserve"> </w:t>
      </w:r>
      <w:proofErr w:type="spellStart"/>
      <w:r w:rsidRPr="001A3B30">
        <w:rPr>
          <w:rFonts w:cs="Arial"/>
          <w:i/>
          <w:iCs/>
          <w:szCs w:val="24"/>
          <w:lang w:val="fr-FR" w:eastAsia="it-IT"/>
        </w:rPr>
        <w:t>applicativo</w:t>
      </w:r>
      <w:proofErr w:type="spellEnd"/>
      <w:r w:rsidRPr="001A3B30">
        <w:rPr>
          <w:rFonts w:cs="Arial"/>
          <w:i/>
          <w:iCs/>
          <w:szCs w:val="24"/>
          <w:lang w:val="fr-FR" w:eastAsia="it-IT"/>
        </w:rPr>
        <w:t xml:space="preserve"> </w:t>
      </w:r>
      <w:proofErr w:type="spellStart"/>
      <w:r w:rsidRPr="001A3B30">
        <w:rPr>
          <w:rFonts w:cs="Arial"/>
          <w:i/>
          <w:iCs/>
          <w:szCs w:val="24"/>
          <w:lang w:val="fr-FR" w:eastAsia="it-IT"/>
        </w:rPr>
        <w:t>della</w:t>
      </w:r>
      <w:proofErr w:type="spellEnd"/>
      <w:r w:rsidRPr="001A3B30">
        <w:rPr>
          <w:rFonts w:cs="Arial"/>
          <w:i/>
          <w:iCs/>
          <w:szCs w:val="24"/>
          <w:lang w:val="fr-FR" w:eastAsia="it-IT"/>
        </w:rPr>
        <w:t xml:space="preserve"> norma UNI </w:t>
      </w:r>
      <w:proofErr w:type="gramStart"/>
      <w:r w:rsidRPr="001A3B30">
        <w:rPr>
          <w:rFonts w:cs="Arial"/>
          <w:i/>
          <w:iCs/>
          <w:szCs w:val="24"/>
          <w:lang w:val="fr-FR" w:eastAsia="it-IT"/>
        </w:rPr>
        <w:t>11010:</w:t>
      </w:r>
      <w:proofErr w:type="gramEnd"/>
      <w:r w:rsidRPr="001A3B30">
        <w:rPr>
          <w:rFonts w:cs="Arial"/>
          <w:i/>
          <w:iCs/>
          <w:szCs w:val="24"/>
          <w:lang w:val="fr-FR" w:eastAsia="it-IT"/>
        </w:rPr>
        <w:t>2016</w:t>
      </w:r>
      <w:r w:rsidRPr="001A3B30">
        <w:rPr>
          <w:rFonts w:cs="Arial"/>
          <w:szCs w:val="24"/>
          <w:lang w:val="fr-FR" w:eastAsia="it-IT"/>
        </w:rPr>
        <w:t xml:space="preserve">, </w:t>
      </w:r>
      <w:proofErr w:type="spellStart"/>
      <w:r w:rsidRPr="001A3B30">
        <w:rPr>
          <w:rFonts w:cs="Arial"/>
          <w:szCs w:val="24"/>
          <w:lang w:val="fr-FR" w:eastAsia="it-IT"/>
        </w:rPr>
        <w:t>Maggioli</w:t>
      </w:r>
      <w:proofErr w:type="spellEnd"/>
      <w:r w:rsidRPr="001A3B30">
        <w:rPr>
          <w:rFonts w:cs="Arial"/>
          <w:szCs w:val="24"/>
          <w:lang w:val="fr-FR" w:eastAsia="it-IT"/>
        </w:rPr>
        <w:t xml:space="preserve">, </w:t>
      </w:r>
      <w:proofErr w:type="spellStart"/>
      <w:r w:rsidRPr="001A3B30">
        <w:rPr>
          <w:rFonts w:cs="Arial"/>
          <w:szCs w:val="24"/>
          <w:lang w:val="fr-FR" w:eastAsia="it-IT"/>
        </w:rPr>
        <w:t>Santracangelo</w:t>
      </w:r>
      <w:proofErr w:type="spellEnd"/>
      <w:r w:rsidRPr="001A3B30">
        <w:rPr>
          <w:rFonts w:cs="Arial"/>
          <w:szCs w:val="24"/>
          <w:lang w:val="fr-FR" w:eastAsia="it-IT"/>
        </w:rPr>
        <w:t xml:space="preserve"> di </w:t>
      </w:r>
      <w:proofErr w:type="spellStart"/>
      <w:r w:rsidRPr="001A3B30">
        <w:rPr>
          <w:rFonts w:cs="Arial"/>
          <w:szCs w:val="24"/>
          <w:lang w:val="fr-FR" w:eastAsia="it-IT"/>
        </w:rPr>
        <w:t>Romagna</w:t>
      </w:r>
      <w:proofErr w:type="spellEnd"/>
      <w:r w:rsidRPr="001A3B30">
        <w:rPr>
          <w:rFonts w:cs="Arial"/>
          <w:szCs w:val="24"/>
          <w:lang w:val="fr-FR" w:eastAsia="it-IT"/>
        </w:rPr>
        <w:t>, 2016.</w:t>
      </w:r>
    </w:p>
    <w:p w14:paraId="21D387F7" w14:textId="77777777" w:rsidR="00BF4791" w:rsidRPr="001A3B30" w:rsidRDefault="00BF4791" w:rsidP="001A3B30">
      <w:pPr>
        <w:jc w:val="both"/>
        <w:rPr>
          <w:rFonts w:cs="Arial"/>
          <w:szCs w:val="24"/>
          <w:lang w:val="fr-FR" w:eastAsia="it-IT"/>
        </w:rPr>
      </w:pPr>
    </w:p>
    <w:p w14:paraId="0E1CABEE" w14:textId="77777777" w:rsidR="001A3B30" w:rsidRPr="001A3B30" w:rsidRDefault="001A3B30" w:rsidP="001A3B30">
      <w:pPr>
        <w:jc w:val="both"/>
        <w:rPr>
          <w:rFonts w:cs="Arial"/>
          <w:szCs w:val="24"/>
          <w:lang w:eastAsia="it-IT"/>
        </w:rPr>
      </w:pPr>
      <w:r w:rsidRPr="001A3B30">
        <w:rPr>
          <w:rFonts w:cs="Arial"/>
          <w:szCs w:val="24"/>
          <w:lang w:val="fr-FR" w:eastAsia="it-IT"/>
        </w:rPr>
        <w:t xml:space="preserve">This volume </w:t>
      </w:r>
      <w:proofErr w:type="spellStart"/>
      <w:r w:rsidRPr="001A3B30">
        <w:rPr>
          <w:rFonts w:cs="Arial"/>
          <w:szCs w:val="24"/>
          <w:lang w:val="fr-FR" w:eastAsia="it-IT"/>
        </w:rPr>
        <w:t>presents</w:t>
      </w:r>
      <w:proofErr w:type="spellEnd"/>
      <w:r w:rsidRPr="001A3B30">
        <w:rPr>
          <w:rFonts w:cs="Arial"/>
          <w:szCs w:val="24"/>
          <w:lang w:val="fr-FR" w:eastAsia="it-IT"/>
        </w:rPr>
        <w:t xml:space="preserve"> the first </w:t>
      </w:r>
      <w:proofErr w:type="spellStart"/>
      <w:r w:rsidRPr="001A3B30">
        <w:rPr>
          <w:rFonts w:cs="Arial"/>
          <w:szCs w:val="24"/>
          <w:lang w:val="fr-FR" w:eastAsia="it-IT"/>
        </w:rPr>
        <w:t>analysis</w:t>
      </w:r>
      <w:proofErr w:type="spellEnd"/>
      <w:r w:rsidRPr="001A3B30">
        <w:rPr>
          <w:rFonts w:cs="Arial"/>
          <w:szCs w:val="24"/>
          <w:lang w:val="fr-FR" w:eastAsia="it-IT"/>
        </w:rPr>
        <w:t xml:space="preserve"> of the UNI </w:t>
      </w:r>
      <w:proofErr w:type="gramStart"/>
      <w:r w:rsidRPr="001A3B30">
        <w:rPr>
          <w:rFonts w:cs="Arial"/>
          <w:szCs w:val="24"/>
          <w:lang w:val="fr-FR" w:eastAsia="it-IT"/>
        </w:rPr>
        <w:t>11010:</w:t>
      </w:r>
      <w:proofErr w:type="gramEnd"/>
      <w:r w:rsidRPr="001A3B30">
        <w:rPr>
          <w:rFonts w:cs="Arial"/>
          <w:szCs w:val="24"/>
          <w:lang w:val="fr-FR" w:eastAsia="it-IT"/>
        </w:rPr>
        <w:t>2016 (‘</w:t>
      </w:r>
      <w:proofErr w:type="spellStart"/>
      <w:r w:rsidRPr="001A3B30">
        <w:rPr>
          <w:rFonts w:cs="Arial"/>
          <w:szCs w:val="24"/>
          <w:lang w:val="fr-FR" w:eastAsia="it-IT"/>
        </w:rPr>
        <w:t>Servizi</w:t>
      </w:r>
      <w:proofErr w:type="spellEnd"/>
      <w:r w:rsidRPr="001A3B30">
        <w:rPr>
          <w:rFonts w:cs="Arial"/>
          <w:szCs w:val="24"/>
          <w:lang w:val="fr-FR" w:eastAsia="it-IT"/>
        </w:rPr>
        <w:t xml:space="preserve"> </w:t>
      </w:r>
      <w:proofErr w:type="spellStart"/>
      <w:r w:rsidRPr="001A3B30">
        <w:rPr>
          <w:rFonts w:cs="Arial"/>
          <w:szCs w:val="24"/>
          <w:lang w:val="fr-FR" w:eastAsia="it-IT"/>
        </w:rPr>
        <w:t>residenziali</w:t>
      </w:r>
      <w:proofErr w:type="spellEnd"/>
      <w:r w:rsidRPr="001A3B30">
        <w:rPr>
          <w:rFonts w:cs="Arial"/>
          <w:szCs w:val="24"/>
          <w:lang w:val="fr-FR" w:eastAsia="it-IT"/>
        </w:rPr>
        <w:t xml:space="preserve"> e </w:t>
      </w:r>
      <w:proofErr w:type="spellStart"/>
      <w:r w:rsidRPr="001A3B30">
        <w:rPr>
          <w:rFonts w:cs="Arial"/>
          <w:szCs w:val="24"/>
          <w:lang w:val="fr-FR" w:eastAsia="it-IT"/>
        </w:rPr>
        <w:t>semiresidenziali</w:t>
      </w:r>
      <w:proofErr w:type="spellEnd"/>
      <w:r w:rsidRPr="001A3B30">
        <w:rPr>
          <w:rFonts w:cs="Arial"/>
          <w:szCs w:val="24"/>
          <w:lang w:val="fr-FR" w:eastAsia="it-IT"/>
        </w:rPr>
        <w:t xml:space="preserve"> per le </w:t>
      </w:r>
      <w:proofErr w:type="spellStart"/>
      <w:r w:rsidRPr="001A3B30">
        <w:rPr>
          <w:rFonts w:cs="Arial"/>
          <w:szCs w:val="24"/>
          <w:lang w:val="fr-FR" w:eastAsia="it-IT"/>
        </w:rPr>
        <w:t>persone</w:t>
      </w:r>
      <w:proofErr w:type="spellEnd"/>
      <w:r w:rsidRPr="001A3B30">
        <w:rPr>
          <w:rFonts w:cs="Arial"/>
          <w:szCs w:val="24"/>
          <w:lang w:val="fr-FR" w:eastAsia="it-IT"/>
        </w:rPr>
        <w:t xml:space="preserve"> con </w:t>
      </w:r>
      <w:proofErr w:type="spellStart"/>
      <w:r w:rsidRPr="001A3B30">
        <w:rPr>
          <w:rFonts w:cs="Arial"/>
          <w:szCs w:val="24"/>
          <w:lang w:val="fr-FR" w:eastAsia="it-IT"/>
        </w:rPr>
        <w:t>disabilità</w:t>
      </w:r>
      <w:proofErr w:type="spellEnd"/>
      <w:r w:rsidRPr="001A3B30">
        <w:rPr>
          <w:rFonts w:cs="Arial"/>
          <w:szCs w:val="24"/>
          <w:lang w:val="fr-FR" w:eastAsia="it-IT"/>
        </w:rPr>
        <w:t xml:space="preserve">’) standard. </w:t>
      </w:r>
      <w:r w:rsidRPr="001A3B30">
        <w:rPr>
          <w:rFonts w:cs="Arial"/>
          <w:szCs w:val="24"/>
          <w:lang w:eastAsia="it-IT"/>
        </w:rPr>
        <w:t xml:space="preserve">This standard introduces processes of </w:t>
      </w:r>
      <w:proofErr w:type="spellStart"/>
      <w:r w:rsidRPr="001A3B30">
        <w:rPr>
          <w:rFonts w:cs="Arial"/>
          <w:i/>
          <w:szCs w:val="24"/>
          <w:lang w:eastAsia="it-IT"/>
        </w:rPr>
        <w:t>certificazione</w:t>
      </w:r>
      <w:proofErr w:type="spellEnd"/>
      <w:r w:rsidRPr="001A3B30">
        <w:rPr>
          <w:rFonts w:cs="Arial"/>
          <w:i/>
          <w:szCs w:val="24"/>
          <w:lang w:eastAsia="it-IT"/>
        </w:rPr>
        <w:t xml:space="preserve"> di </w:t>
      </w:r>
      <w:proofErr w:type="spellStart"/>
      <w:r w:rsidRPr="001A3B30">
        <w:rPr>
          <w:rFonts w:cs="Arial"/>
          <w:i/>
          <w:szCs w:val="24"/>
          <w:lang w:eastAsia="it-IT"/>
        </w:rPr>
        <w:t>qualità</w:t>
      </w:r>
      <w:proofErr w:type="spellEnd"/>
      <w:r w:rsidRPr="001A3B30">
        <w:rPr>
          <w:rFonts w:cs="Arial"/>
          <w:szCs w:val="24"/>
          <w:lang w:eastAsia="it-IT"/>
        </w:rPr>
        <w:t xml:space="preserve"> (quality accreditation) and </w:t>
      </w:r>
      <w:proofErr w:type="spellStart"/>
      <w:r w:rsidRPr="001A3B30">
        <w:rPr>
          <w:rFonts w:cs="Arial"/>
          <w:i/>
          <w:szCs w:val="24"/>
          <w:lang w:eastAsia="it-IT"/>
        </w:rPr>
        <w:t>sistemi</w:t>
      </w:r>
      <w:proofErr w:type="spellEnd"/>
      <w:r w:rsidRPr="001A3B30">
        <w:rPr>
          <w:rFonts w:cs="Arial"/>
          <w:i/>
          <w:szCs w:val="24"/>
          <w:lang w:eastAsia="it-IT"/>
        </w:rPr>
        <w:t xml:space="preserve"> di </w:t>
      </w:r>
      <w:proofErr w:type="spellStart"/>
      <w:r w:rsidRPr="001A3B30">
        <w:rPr>
          <w:rFonts w:cs="Arial"/>
          <w:i/>
          <w:szCs w:val="24"/>
          <w:lang w:eastAsia="it-IT"/>
        </w:rPr>
        <w:t>accreditamento</w:t>
      </w:r>
      <w:proofErr w:type="spellEnd"/>
      <w:r w:rsidRPr="001A3B30">
        <w:rPr>
          <w:rFonts w:cs="Arial"/>
          <w:i/>
          <w:szCs w:val="24"/>
          <w:lang w:eastAsia="it-IT"/>
        </w:rPr>
        <w:t xml:space="preserve"> </w:t>
      </w:r>
      <w:proofErr w:type="spellStart"/>
      <w:r w:rsidRPr="001A3B30">
        <w:rPr>
          <w:rFonts w:cs="Arial"/>
          <w:i/>
          <w:szCs w:val="24"/>
          <w:lang w:eastAsia="it-IT"/>
        </w:rPr>
        <w:t>dei</w:t>
      </w:r>
      <w:proofErr w:type="spellEnd"/>
      <w:r w:rsidRPr="001A3B30">
        <w:rPr>
          <w:rFonts w:cs="Arial"/>
          <w:i/>
          <w:szCs w:val="24"/>
          <w:lang w:eastAsia="it-IT"/>
        </w:rPr>
        <w:t xml:space="preserve"> </w:t>
      </w:r>
      <w:proofErr w:type="spellStart"/>
      <w:r w:rsidRPr="001A3B30">
        <w:rPr>
          <w:rFonts w:cs="Arial"/>
          <w:i/>
          <w:szCs w:val="24"/>
          <w:lang w:eastAsia="it-IT"/>
        </w:rPr>
        <w:t>servizi</w:t>
      </w:r>
      <w:proofErr w:type="spellEnd"/>
      <w:r w:rsidRPr="001A3B30">
        <w:rPr>
          <w:rFonts w:cs="Arial"/>
          <w:szCs w:val="24"/>
          <w:lang w:eastAsia="it-IT"/>
        </w:rPr>
        <w:t xml:space="preserve"> (service accreditation systems), which drastically reduce the risk of institutionalisation.</w:t>
      </w:r>
    </w:p>
    <w:p w14:paraId="7CFC80C1" w14:textId="77777777" w:rsidR="001A3B30" w:rsidRPr="001A3B30" w:rsidRDefault="001A3B30" w:rsidP="001A3B30">
      <w:pPr>
        <w:jc w:val="both"/>
        <w:rPr>
          <w:rFonts w:cs="Arial"/>
          <w:szCs w:val="24"/>
          <w:lang w:eastAsia="it-IT"/>
        </w:rPr>
      </w:pPr>
    </w:p>
    <w:p w14:paraId="7DE46E43" w14:textId="77777777" w:rsidR="001A3B30" w:rsidRPr="001A3B30" w:rsidRDefault="001A3B30" w:rsidP="001A3B30">
      <w:pPr>
        <w:jc w:val="both"/>
        <w:rPr>
          <w:rFonts w:cs="Arial"/>
          <w:szCs w:val="24"/>
          <w:lang w:eastAsia="it-IT"/>
        </w:rPr>
      </w:pPr>
      <w:r w:rsidRPr="001A3B30">
        <w:rPr>
          <w:rFonts w:cs="Arial"/>
          <w:szCs w:val="24"/>
          <w:lang w:eastAsia="it-IT"/>
        </w:rPr>
        <w:t>The debate on the practices of institutionalisation and deinstitutionalisation in the context of mental health is still lively and widespread.</w:t>
      </w:r>
    </w:p>
    <w:p w14:paraId="3F66EDCF" w14:textId="77777777" w:rsidR="001A3B30" w:rsidRPr="001A3B30" w:rsidRDefault="001A3B30" w:rsidP="001A3B30">
      <w:pPr>
        <w:jc w:val="both"/>
        <w:rPr>
          <w:rFonts w:cs="Arial"/>
          <w:szCs w:val="24"/>
          <w:lang w:eastAsia="it-IT"/>
        </w:rPr>
      </w:pPr>
    </w:p>
    <w:p w14:paraId="0D3F382E" w14:textId="77777777" w:rsidR="00BF4791" w:rsidRDefault="00BF4791">
      <w:pPr>
        <w:spacing w:after="200" w:line="276" w:lineRule="auto"/>
        <w:rPr>
          <w:rFonts w:eastAsiaTheme="majorEastAsia" w:cstheme="majorBidi"/>
          <w:b/>
          <w:bCs/>
          <w:szCs w:val="28"/>
          <w:u w:color="000000"/>
          <w:bdr w:val="nil"/>
          <w:lang w:eastAsia="it-IT" w:bidi="en-US"/>
        </w:rPr>
      </w:pPr>
      <w:r>
        <w:rPr>
          <w:u w:color="000000"/>
          <w:bdr w:val="nil"/>
          <w:lang w:eastAsia="it-IT"/>
        </w:rPr>
        <w:br w:type="page"/>
      </w:r>
    </w:p>
    <w:p w14:paraId="6ABE0692" w14:textId="2CF9FBD7" w:rsidR="00000C42" w:rsidRPr="001A3B30" w:rsidRDefault="00E86322" w:rsidP="00BF4791">
      <w:pPr>
        <w:pStyle w:val="Heading1"/>
        <w:numPr>
          <w:ilvl w:val="0"/>
          <w:numId w:val="0"/>
        </w:numPr>
        <w:ind w:left="567" w:hanging="567"/>
        <w:rPr>
          <w:u w:color="000000"/>
          <w:bdr w:val="nil"/>
          <w:lang w:eastAsia="it-IT"/>
        </w:rPr>
      </w:pPr>
      <w:bookmarkStart w:id="40" w:name="_Toc5724466"/>
      <w:r w:rsidRPr="001A3B30">
        <w:rPr>
          <w:u w:color="000000"/>
          <w:bdr w:val="nil"/>
          <w:lang w:eastAsia="it-IT"/>
        </w:rPr>
        <w:lastRenderedPageBreak/>
        <w:t>PART C – Key points</w:t>
      </w:r>
      <w:bookmarkEnd w:id="40"/>
    </w:p>
    <w:p w14:paraId="170F1038" w14:textId="77777777" w:rsidR="001A3B30" w:rsidRPr="001A3B30" w:rsidRDefault="001A3B30" w:rsidP="001A3B30">
      <w:pPr>
        <w:jc w:val="both"/>
        <w:rPr>
          <w:rFonts w:ascii="Times New Roman" w:hAnsi="Times New Roman"/>
          <w:b/>
          <w:bCs/>
          <w:szCs w:val="24"/>
          <w:lang w:eastAsia="it-IT"/>
        </w:rPr>
      </w:pPr>
    </w:p>
    <w:p w14:paraId="37EDED84" w14:textId="77777777" w:rsidR="001A3B30" w:rsidRPr="001A3B30" w:rsidRDefault="00E86322" w:rsidP="00BF4791">
      <w:pPr>
        <w:pStyle w:val="Heading1"/>
        <w:rPr>
          <w:u w:color="000000"/>
          <w:bdr w:val="nil"/>
          <w:lang w:eastAsia="it-IT"/>
        </w:rPr>
      </w:pPr>
      <w:bookmarkStart w:id="41" w:name="_Toc5724467"/>
      <w:r w:rsidRPr="001A3B30">
        <w:rPr>
          <w:u w:color="000000"/>
          <w:bdr w:val="nil"/>
          <w:lang w:eastAsia="it-IT"/>
        </w:rPr>
        <w:t>Positive developments, including promising practice examples</w:t>
      </w:r>
      <w:bookmarkEnd w:id="41"/>
    </w:p>
    <w:p w14:paraId="3DBDAB22" w14:textId="77777777" w:rsidR="001A3B30" w:rsidRPr="001A3B30" w:rsidRDefault="001A3B30" w:rsidP="001A3B30">
      <w:pPr>
        <w:rPr>
          <w:rFonts w:ascii="Times New Roman" w:hAnsi="Times New Roman"/>
          <w:szCs w:val="24"/>
          <w:lang w:eastAsia="it-IT"/>
        </w:rPr>
      </w:pPr>
    </w:p>
    <w:p w14:paraId="305B0A73" w14:textId="235276DC" w:rsidR="001A3B30" w:rsidRDefault="001A3B30" w:rsidP="001A3B30">
      <w:pPr>
        <w:rPr>
          <w:rFonts w:cs="Arial"/>
          <w:b/>
          <w:bCs/>
          <w:szCs w:val="24"/>
          <w:lang w:eastAsia="it-IT"/>
        </w:rPr>
      </w:pPr>
      <w:r w:rsidRPr="001A3B30">
        <w:rPr>
          <w:rFonts w:cs="Arial"/>
          <w:b/>
          <w:bCs/>
          <w:szCs w:val="24"/>
          <w:lang w:eastAsia="it-IT"/>
        </w:rPr>
        <w:t>DPO level</w:t>
      </w:r>
    </w:p>
    <w:p w14:paraId="2DA69084" w14:textId="77777777" w:rsidR="00BF4791" w:rsidRPr="001A3B30" w:rsidRDefault="00BF4791" w:rsidP="001A3B30">
      <w:pPr>
        <w:rPr>
          <w:rFonts w:cs="Arial"/>
          <w:b/>
          <w:bCs/>
          <w:szCs w:val="24"/>
          <w:lang w:eastAsia="it-IT"/>
        </w:rPr>
      </w:pPr>
    </w:p>
    <w:p w14:paraId="2FACA21D" w14:textId="77777777" w:rsidR="001A3B30" w:rsidRPr="001A3B30" w:rsidRDefault="001A3B30" w:rsidP="001A3B30">
      <w:pPr>
        <w:jc w:val="both"/>
        <w:rPr>
          <w:rFonts w:cs="Arial"/>
          <w:szCs w:val="24"/>
          <w:lang w:eastAsia="it-IT"/>
        </w:rPr>
      </w:pPr>
      <w:r w:rsidRPr="001A3B30">
        <w:rPr>
          <w:rFonts w:cs="Arial"/>
          <w:szCs w:val="24"/>
          <w:lang w:eastAsia="it-IT"/>
        </w:rPr>
        <w:t>The FISH (</w:t>
      </w:r>
      <w:proofErr w:type="spellStart"/>
      <w:r w:rsidRPr="001A3B30">
        <w:rPr>
          <w:rFonts w:cs="Arial"/>
          <w:szCs w:val="24"/>
          <w:lang w:eastAsia="it-IT"/>
        </w:rPr>
        <w:t>Federazione</w:t>
      </w:r>
      <w:proofErr w:type="spellEnd"/>
      <w:r w:rsidRPr="001A3B30">
        <w:rPr>
          <w:rFonts w:cs="Arial"/>
          <w:szCs w:val="24"/>
          <w:lang w:eastAsia="it-IT"/>
        </w:rPr>
        <w:t xml:space="preserve"> </w:t>
      </w:r>
      <w:proofErr w:type="spellStart"/>
      <w:r w:rsidRPr="001A3B30">
        <w:rPr>
          <w:rFonts w:cs="Arial"/>
          <w:szCs w:val="24"/>
          <w:lang w:eastAsia="it-IT"/>
        </w:rPr>
        <w:t>Italiana</w:t>
      </w:r>
      <w:proofErr w:type="spellEnd"/>
      <w:r w:rsidRPr="001A3B30">
        <w:rPr>
          <w:rFonts w:cs="Arial"/>
          <w:szCs w:val="24"/>
          <w:lang w:eastAsia="it-IT"/>
        </w:rPr>
        <w:t xml:space="preserve"> per </w:t>
      </w:r>
      <w:proofErr w:type="spellStart"/>
      <w:r w:rsidRPr="001A3B30">
        <w:rPr>
          <w:rFonts w:cs="Arial"/>
          <w:szCs w:val="24"/>
          <w:lang w:eastAsia="it-IT"/>
        </w:rPr>
        <w:t>il</w:t>
      </w:r>
      <w:proofErr w:type="spellEnd"/>
      <w:r w:rsidRPr="001A3B30">
        <w:rPr>
          <w:rFonts w:cs="Arial"/>
          <w:szCs w:val="24"/>
          <w:lang w:eastAsia="it-IT"/>
        </w:rPr>
        <w:t xml:space="preserve"> </w:t>
      </w:r>
      <w:proofErr w:type="spellStart"/>
      <w:r w:rsidRPr="001A3B30">
        <w:rPr>
          <w:rFonts w:cs="Arial"/>
          <w:szCs w:val="24"/>
          <w:lang w:eastAsia="it-IT"/>
        </w:rPr>
        <w:t>Superamento</w:t>
      </w:r>
      <w:proofErr w:type="spellEnd"/>
      <w:r w:rsidRPr="001A3B30">
        <w:rPr>
          <w:rFonts w:cs="Arial"/>
          <w:szCs w:val="24"/>
          <w:lang w:eastAsia="it-IT"/>
        </w:rPr>
        <w:t xml:space="preserve"> </w:t>
      </w:r>
      <w:proofErr w:type="spellStart"/>
      <w:r w:rsidRPr="001A3B30">
        <w:rPr>
          <w:rFonts w:cs="Arial"/>
          <w:szCs w:val="24"/>
          <w:lang w:eastAsia="it-IT"/>
        </w:rPr>
        <w:t>dell’Handicap</w:t>
      </w:r>
      <w:proofErr w:type="spellEnd"/>
      <w:r w:rsidRPr="001A3B30">
        <w:rPr>
          <w:rFonts w:cs="Arial"/>
          <w:szCs w:val="24"/>
          <w:lang w:eastAsia="it-IT"/>
        </w:rPr>
        <w:t xml:space="preserve"> / Italian Federation for the Overcoming of Handicap) carried out national research on institutional segregation, which ended with a Consensus Conference in June 2017. This research brought the topic to the centre of national focus (7).</w:t>
      </w:r>
    </w:p>
    <w:p w14:paraId="0CD3FF31" w14:textId="77777777" w:rsidR="001A3B30" w:rsidRPr="001A3B30" w:rsidRDefault="001A3B30" w:rsidP="001A3B30">
      <w:pPr>
        <w:ind w:left="567" w:hanging="567"/>
        <w:jc w:val="both"/>
        <w:rPr>
          <w:rFonts w:cs="Arial"/>
          <w:b/>
          <w:bCs/>
          <w:szCs w:val="24"/>
          <w:lang w:eastAsia="it-IT"/>
        </w:rPr>
      </w:pPr>
    </w:p>
    <w:p w14:paraId="3BF1A74F" w14:textId="6A02F370" w:rsidR="001A3B30" w:rsidRDefault="001A3B30" w:rsidP="001A3B30">
      <w:pPr>
        <w:ind w:left="567" w:hanging="567"/>
        <w:jc w:val="both"/>
        <w:rPr>
          <w:rFonts w:cs="Arial"/>
          <w:b/>
          <w:bCs/>
          <w:szCs w:val="24"/>
          <w:lang w:eastAsia="it-IT"/>
        </w:rPr>
      </w:pPr>
      <w:r w:rsidRPr="001A3B30">
        <w:rPr>
          <w:rFonts w:cs="Arial"/>
          <w:b/>
          <w:bCs/>
          <w:szCs w:val="24"/>
          <w:lang w:eastAsia="it-IT"/>
        </w:rPr>
        <w:t>Regional level</w:t>
      </w:r>
    </w:p>
    <w:p w14:paraId="0E420793" w14:textId="77777777" w:rsidR="00BF4791" w:rsidRPr="001A3B30" w:rsidRDefault="00BF4791" w:rsidP="001A3B30">
      <w:pPr>
        <w:ind w:left="567" w:hanging="567"/>
        <w:jc w:val="both"/>
        <w:rPr>
          <w:rFonts w:cs="Arial"/>
          <w:b/>
          <w:bCs/>
          <w:szCs w:val="24"/>
          <w:lang w:eastAsia="it-IT"/>
        </w:rPr>
      </w:pPr>
    </w:p>
    <w:p w14:paraId="40AC577E" w14:textId="16295DDC" w:rsidR="001A3B30" w:rsidRDefault="001A3B30" w:rsidP="001A3B30">
      <w:pPr>
        <w:jc w:val="both"/>
        <w:rPr>
          <w:rFonts w:cs="Arial"/>
          <w:szCs w:val="24"/>
          <w:lang w:eastAsia="it-IT"/>
        </w:rPr>
      </w:pPr>
      <w:r w:rsidRPr="001A3B30">
        <w:rPr>
          <w:rFonts w:cs="Arial"/>
          <w:szCs w:val="24"/>
          <w:lang w:eastAsia="it-IT"/>
        </w:rPr>
        <w:t>Having applied national Act No 162/1998 since 2000, Sardinia long foresaw the drawing up of personalised plans for persons with disabilities in need of a high level of care.</w:t>
      </w:r>
      <w:r w:rsidRPr="001A3B30">
        <w:rPr>
          <w:rFonts w:cs="Arial"/>
          <w:szCs w:val="24"/>
          <w:vertAlign w:val="superscript"/>
          <w:lang w:eastAsia="it-IT"/>
        </w:rPr>
        <w:footnoteReference w:id="38"/>
      </w:r>
      <w:r w:rsidRPr="001A3B30">
        <w:rPr>
          <w:rFonts w:cs="Arial"/>
          <w:szCs w:val="24"/>
          <w:lang w:eastAsia="it-IT"/>
        </w:rPr>
        <w:t xml:space="preserve"> This allowed for an increase from 123 personalised plans in 2000, with a budget of EUR 1.34 million, to 39 356 personalised plans in 2015, with a budget of EUR 117.8 million. EUR 120 million has been budgeted for 2019.</w:t>
      </w:r>
    </w:p>
    <w:p w14:paraId="4C027107" w14:textId="77777777" w:rsidR="00BF4791" w:rsidRPr="001A3B30" w:rsidRDefault="00BF4791" w:rsidP="001A3B30">
      <w:pPr>
        <w:jc w:val="both"/>
        <w:rPr>
          <w:rFonts w:cs="Arial"/>
          <w:szCs w:val="24"/>
          <w:lang w:eastAsia="it-IT"/>
        </w:rPr>
      </w:pPr>
    </w:p>
    <w:p w14:paraId="2EA555CA" w14:textId="77777777" w:rsidR="001A3B30" w:rsidRPr="001A3B30" w:rsidRDefault="001A3B30" w:rsidP="001A3B30">
      <w:pPr>
        <w:jc w:val="both"/>
        <w:rPr>
          <w:rFonts w:cs="Arial"/>
          <w:szCs w:val="24"/>
          <w:lang w:eastAsia="it-IT"/>
        </w:rPr>
      </w:pPr>
      <w:r w:rsidRPr="001A3B30">
        <w:rPr>
          <w:rFonts w:cs="Arial"/>
          <w:szCs w:val="24"/>
          <w:lang w:eastAsia="it-IT"/>
        </w:rPr>
        <w:t xml:space="preserve">Under regional act No 4 of 11 May 2006, Sardinia activated a programme called </w:t>
      </w:r>
      <w:proofErr w:type="spellStart"/>
      <w:r w:rsidRPr="001A3B30">
        <w:rPr>
          <w:rFonts w:cs="Arial"/>
          <w:i/>
          <w:iCs/>
          <w:szCs w:val="24"/>
          <w:lang w:eastAsia="it-IT"/>
        </w:rPr>
        <w:t>Ritornare</w:t>
      </w:r>
      <w:proofErr w:type="spellEnd"/>
      <w:r w:rsidRPr="001A3B30">
        <w:rPr>
          <w:rFonts w:cs="Arial"/>
          <w:i/>
          <w:iCs/>
          <w:szCs w:val="24"/>
          <w:lang w:eastAsia="it-IT"/>
        </w:rPr>
        <w:t xml:space="preserve"> in </w:t>
      </w:r>
      <w:proofErr w:type="spellStart"/>
      <w:r w:rsidRPr="001A3B30">
        <w:rPr>
          <w:rFonts w:cs="Arial"/>
          <w:i/>
          <w:iCs/>
          <w:szCs w:val="24"/>
          <w:lang w:eastAsia="it-IT"/>
        </w:rPr>
        <w:t>famiglia</w:t>
      </w:r>
      <w:proofErr w:type="spellEnd"/>
      <w:r w:rsidRPr="001A3B30">
        <w:rPr>
          <w:rFonts w:cs="Arial"/>
          <w:szCs w:val="24"/>
          <w:lang w:eastAsia="it-IT"/>
        </w:rPr>
        <w:t xml:space="preserve"> (Return to Family) ‘with the goal of favouring the return of persons currently in residential facilities of a social and/or medical type to their family and their communities, of overcoming institutionalisation, and of supporting residence in their domicile’.</w:t>
      </w:r>
      <w:r w:rsidRPr="001A3B30">
        <w:rPr>
          <w:rFonts w:cs="Arial"/>
          <w:szCs w:val="24"/>
          <w:vertAlign w:val="superscript"/>
          <w:lang w:eastAsia="it-IT"/>
        </w:rPr>
        <w:footnoteReference w:id="39"/>
      </w:r>
      <w:r w:rsidRPr="001A3B30">
        <w:rPr>
          <w:rFonts w:cs="Arial"/>
          <w:szCs w:val="24"/>
          <w:lang w:eastAsia="it-IT"/>
        </w:rPr>
        <w:t xml:space="preserve"> Between 2006 and the time of writing, approximately EUR 600 million has been allocated from regional funds. Around 3 300 plans were funded in 2018. Some recipients were released from institutions; for others, the risk of institutionalisation has been prevented. EUR 49 million was allocated in 2019, with annual funding ranging from EUR 18 000 to EUR 65 000 for each individual plan.</w:t>
      </w:r>
    </w:p>
    <w:p w14:paraId="17D8F822" w14:textId="77777777" w:rsidR="001A3B30" w:rsidRPr="001A3B30" w:rsidRDefault="001A3B30" w:rsidP="001A3B30">
      <w:pPr>
        <w:ind w:left="567" w:hanging="567"/>
        <w:jc w:val="both"/>
        <w:rPr>
          <w:rFonts w:cs="Arial"/>
          <w:szCs w:val="24"/>
          <w:lang w:eastAsia="it-IT"/>
        </w:rPr>
      </w:pPr>
    </w:p>
    <w:p w14:paraId="79B3EA58" w14:textId="77777777" w:rsidR="001A3B30" w:rsidRPr="001A3B30" w:rsidRDefault="001A3B30" w:rsidP="001A3B30">
      <w:pPr>
        <w:jc w:val="both"/>
        <w:rPr>
          <w:rFonts w:cs="Arial"/>
          <w:szCs w:val="24"/>
          <w:lang w:eastAsia="it-IT"/>
        </w:rPr>
      </w:pPr>
      <w:r w:rsidRPr="001A3B30">
        <w:rPr>
          <w:rFonts w:cs="Arial"/>
          <w:szCs w:val="24"/>
          <w:lang w:eastAsia="it-IT"/>
        </w:rPr>
        <w:t>Umbria allocated approximately EUR 2.4 million of European structural funds for activities related to independent living as part of the ‘</w:t>
      </w:r>
      <w:proofErr w:type="spellStart"/>
      <w:r w:rsidRPr="001A3B30">
        <w:rPr>
          <w:rFonts w:cs="Arial"/>
          <w:szCs w:val="24"/>
          <w:lang w:eastAsia="it-IT"/>
        </w:rPr>
        <w:t>Vado</w:t>
      </w:r>
      <w:proofErr w:type="spellEnd"/>
      <w:r w:rsidRPr="001A3B30">
        <w:rPr>
          <w:rFonts w:cs="Arial"/>
          <w:szCs w:val="24"/>
          <w:lang w:eastAsia="it-IT"/>
        </w:rPr>
        <w:t xml:space="preserve"> a Vivere da solo’ (I am going to live by myself) project,</w:t>
      </w:r>
      <w:r w:rsidRPr="001A3B30">
        <w:rPr>
          <w:rFonts w:cs="Arial"/>
          <w:szCs w:val="24"/>
          <w:vertAlign w:val="superscript"/>
          <w:lang w:eastAsia="it-IT"/>
        </w:rPr>
        <w:footnoteReference w:id="40"/>
      </w:r>
      <w:r w:rsidRPr="001A3B30">
        <w:rPr>
          <w:rFonts w:cs="Arial"/>
          <w:szCs w:val="24"/>
          <w:lang w:eastAsia="it-IT"/>
        </w:rPr>
        <w:t xml:space="preserve"> and it set out regional guidelines for independent living on the basis of the trial funded by the Ministry of Labour and Social Policy.</w:t>
      </w:r>
    </w:p>
    <w:p w14:paraId="06322271" w14:textId="77777777" w:rsidR="001A3B30" w:rsidRPr="001A3B30" w:rsidRDefault="001A3B30" w:rsidP="001A3B30">
      <w:pPr>
        <w:jc w:val="both"/>
        <w:rPr>
          <w:rFonts w:cs="Arial"/>
          <w:szCs w:val="24"/>
          <w:lang w:eastAsia="it-IT"/>
        </w:rPr>
      </w:pPr>
    </w:p>
    <w:p w14:paraId="4C5FEEE4" w14:textId="77777777" w:rsidR="001A3B30" w:rsidRPr="001A3B30" w:rsidRDefault="001A3B30" w:rsidP="001A3B30">
      <w:pPr>
        <w:jc w:val="both"/>
        <w:rPr>
          <w:rFonts w:cs="Arial"/>
          <w:szCs w:val="24"/>
          <w:lang w:eastAsia="it-IT"/>
        </w:rPr>
      </w:pPr>
      <w:r w:rsidRPr="001A3B30">
        <w:rPr>
          <w:rFonts w:cs="Arial"/>
          <w:szCs w:val="24"/>
          <w:lang w:eastAsia="it-IT"/>
        </w:rPr>
        <w:t xml:space="preserve">In 2017, Friuli adopted a decision corresponding with the British </w:t>
      </w:r>
      <w:r w:rsidRPr="001A3B30">
        <w:rPr>
          <w:rFonts w:cs="Arial"/>
          <w:iCs/>
          <w:szCs w:val="24"/>
          <w:lang w:eastAsia="it-IT"/>
        </w:rPr>
        <w:t>Care Act</w:t>
      </w:r>
      <w:r w:rsidRPr="001A3B30">
        <w:rPr>
          <w:rFonts w:cs="Arial"/>
          <w:i/>
          <w:iCs/>
          <w:szCs w:val="24"/>
          <w:lang w:eastAsia="it-IT"/>
        </w:rPr>
        <w:t xml:space="preserve"> </w:t>
      </w:r>
      <w:r w:rsidRPr="001A3B30">
        <w:rPr>
          <w:rFonts w:cs="Arial"/>
          <w:szCs w:val="24"/>
          <w:lang w:eastAsia="it-IT"/>
        </w:rPr>
        <w:t>of 2014, which started an evaluation process for the living conditions of persons with disabilities benefiting from residential and semi-residential services.</w:t>
      </w:r>
      <w:r w:rsidRPr="001A3B30">
        <w:rPr>
          <w:rFonts w:cs="Arial"/>
          <w:szCs w:val="24"/>
          <w:vertAlign w:val="superscript"/>
          <w:lang w:eastAsia="it-IT"/>
        </w:rPr>
        <w:footnoteReference w:id="41"/>
      </w:r>
    </w:p>
    <w:p w14:paraId="175C7041" w14:textId="77777777" w:rsidR="001A3B30" w:rsidRPr="001A3B30" w:rsidRDefault="001A3B30" w:rsidP="001A3B30">
      <w:pPr>
        <w:jc w:val="both"/>
        <w:rPr>
          <w:rFonts w:cs="Arial"/>
          <w:szCs w:val="24"/>
          <w:lang w:eastAsia="it-IT"/>
        </w:rPr>
      </w:pPr>
    </w:p>
    <w:p w14:paraId="504B35C5" w14:textId="77777777" w:rsidR="001A3B30" w:rsidRPr="001A3B30" w:rsidRDefault="001A3B30" w:rsidP="001A3B30">
      <w:pPr>
        <w:jc w:val="both"/>
        <w:rPr>
          <w:rFonts w:cs="Arial"/>
          <w:szCs w:val="24"/>
          <w:lang w:eastAsia="it-IT"/>
        </w:rPr>
      </w:pPr>
      <w:r w:rsidRPr="001A3B30">
        <w:rPr>
          <w:rFonts w:cs="Arial"/>
          <w:szCs w:val="24"/>
          <w:lang w:eastAsia="it-IT"/>
        </w:rPr>
        <w:lastRenderedPageBreak/>
        <w:t>In 2015, Tuscany allocated EUR 9 million towards 761 independent living plans,</w:t>
      </w:r>
      <w:r w:rsidRPr="001A3B30">
        <w:rPr>
          <w:rFonts w:cs="Arial"/>
          <w:szCs w:val="24"/>
          <w:vertAlign w:val="superscript"/>
          <w:lang w:eastAsia="it-IT"/>
        </w:rPr>
        <w:footnoteReference w:id="42"/>
      </w:r>
      <w:r w:rsidRPr="001A3B30" w:rsidDel="009067C5">
        <w:rPr>
          <w:rFonts w:cs="Arial"/>
          <w:szCs w:val="24"/>
          <w:lang w:eastAsia="it-IT"/>
        </w:rPr>
        <w:t xml:space="preserve"> </w:t>
      </w:r>
      <w:r w:rsidRPr="001A3B30">
        <w:rPr>
          <w:rFonts w:cs="Arial"/>
          <w:szCs w:val="24"/>
          <w:lang w:eastAsia="it-IT"/>
        </w:rPr>
        <w:t xml:space="preserve">based on the ‘Vita </w:t>
      </w:r>
      <w:proofErr w:type="spellStart"/>
      <w:r w:rsidRPr="001A3B30">
        <w:rPr>
          <w:rFonts w:cs="Arial"/>
          <w:szCs w:val="24"/>
          <w:lang w:eastAsia="it-IT"/>
        </w:rPr>
        <w:t>indipendente</w:t>
      </w:r>
      <w:proofErr w:type="spellEnd"/>
      <w:r w:rsidRPr="001A3B30">
        <w:rPr>
          <w:rFonts w:cs="Arial"/>
          <w:szCs w:val="24"/>
          <w:lang w:eastAsia="it-IT"/>
        </w:rPr>
        <w:t xml:space="preserve">’ (Living independently) project started in 2004, which was defined as regional policy in 2012, with specific guidelines. </w:t>
      </w:r>
    </w:p>
    <w:p w14:paraId="705A9D55" w14:textId="77777777" w:rsidR="001A3B30" w:rsidRPr="001A3B30" w:rsidRDefault="001A3B30" w:rsidP="001A3B30">
      <w:pPr>
        <w:jc w:val="both"/>
        <w:rPr>
          <w:rFonts w:cs="Arial"/>
          <w:szCs w:val="24"/>
          <w:lang w:eastAsia="it-IT"/>
        </w:rPr>
      </w:pPr>
    </w:p>
    <w:p w14:paraId="5F52ACC1" w14:textId="50D495E4" w:rsidR="001A3B30" w:rsidRDefault="001A3B30" w:rsidP="001A3B30">
      <w:pPr>
        <w:ind w:left="567" w:hanging="567"/>
        <w:jc w:val="both"/>
        <w:rPr>
          <w:rFonts w:cs="Arial"/>
          <w:b/>
          <w:bCs/>
          <w:szCs w:val="24"/>
          <w:lang w:eastAsia="it-IT"/>
        </w:rPr>
      </w:pPr>
      <w:r w:rsidRPr="001A3B30">
        <w:rPr>
          <w:rFonts w:cs="Arial"/>
          <w:b/>
          <w:bCs/>
          <w:szCs w:val="24"/>
          <w:lang w:eastAsia="it-IT"/>
        </w:rPr>
        <w:t>Stable local projects</w:t>
      </w:r>
    </w:p>
    <w:p w14:paraId="06871E67" w14:textId="77777777" w:rsidR="00BF4791" w:rsidRPr="001A3B30" w:rsidRDefault="00BF4791" w:rsidP="001A3B30">
      <w:pPr>
        <w:ind w:left="567" w:hanging="567"/>
        <w:jc w:val="both"/>
        <w:rPr>
          <w:rFonts w:cs="Arial"/>
          <w:b/>
          <w:bCs/>
          <w:szCs w:val="24"/>
          <w:lang w:eastAsia="it-IT"/>
        </w:rPr>
      </w:pPr>
    </w:p>
    <w:p w14:paraId="01BA5118" w14:textId="77777777" w:rsidR="001A3B30" w:rsidRPr="001A3B30" w:rsidRDefault="001A3B30" w:rsidP="001A3B30">
      <w:pPr>
        <w:jc w:val="both"/>
        <w:rPr>
          <w:rFonts w:cs="Arial"/>
          <w:szCs w:val="24"/>
          <w:lang w:eastAsia="it-IT"/>
        </w:rPr>
      </w:pPr>
      <w:r w:rsidRPr="001A3B30">
        <w:rPr>
          <w:rFonts w:cs="Arial"/>
          <w:szCs w:val="24"/>
          <w:lang w:eastAsia="it-IT"/>
        </w:rPr>
        <w:t>The Centre for Autonomy in Rome</w:t>
      </w:r>
      <w:r w:rsidRPr="00BF4791">
        <w:rPr>
          <w:rFonts w:cs="Arial"/>
          <w:vertAlign w:val="superscript"/>
          <w:lang w:eastAsia="it-IT"/>
        </w:rPr>
        <w:footnoteReference w:id="43"/>
      </w:r>
      <w:r w:rsidRPr="001A3B30">
        <w:rPr>
          <w:rFonts w:cs="Arial"/>
          <w:szCs w:val="24"/>
          <w:lang w:eastAsia="it-IT"/>
        </w:rPr>
        <w:t xml:space="preserve"> is a territorial service of ASL Roma 2, which, by means of a process of </w:t>
      </w:r>
      <w:proofErr w:type="spellStart"/>
      <w:r w:rsidRPr="001A3B30">
        <w:rPr>
          <w:rFonts w:cs="Arial"/>
          <w:szCs w:val="24"/>
          <w:lang w:eastAsia="it-IT"/>
        </w:rPr>
        <w:t>habilitation</w:t>
      </w:r>
      <w:proofErr w:type="spellEnd"/>
      <w:r w:rsidRPr="001A3B30">
        <w:rPr>
          <w:rFonts w:cs="Arial"/>
          <w:szCs w:val="24"/>
          <w:lang w:eastAsia="it-IT"/>
        </w:rPr>
        <w:t xml:space="preserve">/rehabilitation, supports persons with serious and extremely serious disabilities in achieving the highest possible degree of self-sufficiency and self-determination. </w:t>
      </w:r>
    </w:p>
    <w:p w14:paraId="63C5A530" w14:textId="77777777" w:rsidR="001A3B30" w:rsidRPr="001A3B30" w:rsidRDefault="001A3B30" w:rsidP="001A3B30">
      <w:pPr>
        <w:jc w:val="both"/>
        <w:rPr>
          <w:rFonts w:cs="Arial"/>
          <w:szCs w:val="24"/>
          <w:lang w:eastAsia="it-IT"/>
        </w:rPr>
      </w:pPr>
    </w:p>
    <w:p w14:paraId="305F075F" w14:textId="77777777" w:rsidR="001A3B30" w:rsidRPr="001A3B30" w:rsidRDefault="001A3B30" w:rsidP="001A3B30">
      <w:pPr>
        <w:jc w:val="both"/>
        <w:rPr>
          <w:rFonts w:cs="Arial"/>
          <w:szCs w:val="24"/>
          <w:lang w:eastAsia="it-IT"/>
        </w:rPr>
      </w:pPr>
      <w:r w:rsidRPr="001A3B30">
        <w:rPr>
          <w:rFonts w:cs="Arial"/>
          <w:szCs w:val="24"/>
          <w:lang w:eastAsia="it-IT"/>
        </w:rPr>
        <w:t>The Centre for Autonomy of Umbria</w:t>
      </w:r>
      <w:r w:rsidRPr="00BF4791">
        <w:rPr>
          <w:rFonts w:cs="Arial"/>
          <w:vertAlign w:val="superscript"/>
          <w:lang w:eastAsia="it-IT"/>
        </w:rPr>
        <w:footnoteReference w:id="44"/>
      </w:r>
      <w:r w:rsidRPr="00BF4791">
        <w:rPr>
          <w:rFonts w:cs="Arial"/>
          <w:sz w:val="32"/>
          <w:szCs w:val="24"/>
          <w:lang w:eastAsia="it-IT"/>
        </w:rPr>
        <w:t xml:space="preserve"> </w:t>
      </w:r>
      <w:r w:rsidRPr="001A3B30">
        <w:rPr>
          <w:rFonts w:cs="Arial"/>
          <w:szCs w:val="24"/>
          <w:lang w:eastAsia="it-IT"/>
        </w:rPr>
        <w:t>was created in 2003. Its mission is to guarantee persons with disabilities a lead role in choices relating to them by means of personal and community empowerment tools.</w:t>
      </w:r>
    </w:p>
    <w:p w14:paraId="48AA8554" w14:textId="77777777" w:rsidR="001A3B30" w:rsidRPr="001A3B30" w:rsidRDefault="001A3B30" w:rsidP="001A3B30">
      <w:pPr>
        <w:jc w:val="both"/>
        <w:rPr>
          <w:rFonts w:cs="Arial"/>
          <w:szCs w:val="24"/>
          <w:lang w:eastAsia="it-IT"/>
        </w:rPr>
      </w:pPr>
    </w:p>
    <w:p w14:paraId="50C9BBBC" w14:textId="77777777" w:rsidR="001A3B30" w:rsidRPr="001A3B30" w:rsidRDefault="001A3B30" w:rsidP="001A3B30">
      <w:pPr>
        <w:jc w:val="both"/>
        <w:rPr>
          <w:rFonts w:cs="Arial"/>
          <w:szCs w:val="24"/>
          <w:lang w:eastAsia="it-IT"/>
        </w:rPr>
      </w:pPr>
      <w:r w:rsidRPr="001A3B30">
        <w:rPr>
          <w:rFonts w:cs="Arial"/>
          <w:szCs w:val="24"/>
          <w:lang w:eastAsia="it-IT"/>
        </w:rPr>
        <w:t>The Centre for Studies on Rights and Independent Living of the University of Turin</w:t>
      </w:r>
      <w:r w:rsidRPr="001A3B30">
        <w:rPr>
          <w:rFonts w:cs="Arial"/>
          <w:iCs/>
          <w:sz w:val="20"/>
          <w:vertAlign w:val="superscript"/>
          <w:lang w:eastAsia="it-IT"/>
        </w:rPr>
        <w:footnoteReference w:id="45"/>
      </w:r>
      <w:r w:rsidRPr="001A3B30">
        <w:rPr>
          <w:rFonts w:cs="Arial"/>
          <w:szCs w:val="24"/>
          <w:lang w:eastAsia="it-IT"/>
        </w:rPr>
        <w:t xml:space="preserve"> supports the public service in the acquisition and development of support tools which give equal opportunities to adults with intellectual disabilities for their participation in social life, as well as promoting the protection of the right to choose where and with whom to live as established by the UN Convention.</w:t>
      </w:r>
    </w:p>
    <w:p w14:paraId="6633FB6E" w14:textId="77777777" w:rsidR="001A3B30" w:rsidRPr="001A3B30" w:rsidRDefault="001A3B30" w:rsidP="001A3B30">
      <w:pPr>
        <w:jc w:val="both"/>
        <w:rPr>
          <w:rFonts w:cs="Arial"/>
          <w:szCs w:val="24"/>
          <w:lang w:eastAsia="it-IT"/>
        </w:rPr>
      </w:pPr>
    </w:p>
    <w:p w14:paraId="73418685" w14:textId="77FC7180" w:rsidR="001A3B30" w:rsidRDefault="001A3B30" w:rsidP="001A3B30">
      <w:pPr>
        <w:ind w:left="567" w:hanging="567"/>
        <w:jc w:val="both"/>
        <w:rPr>
          <w:rFonts w:cs="Arial"/>
          <w:b/>
          <w:bCs/>
          <w:szCs w:val="24"/>
          <w:lang w:eastAsia="it-IT"/>
        </w:rPr>
      </w:pPr>
      <w:r w:rsidRPr="001A3B30">
        <w:rPr>
          <w:rFonts w:cs="Arial"/>
          <w:b/>
          <w:bCs/>
          <w:szCs w:val="24"/>
          <w:lang w:eastAsia="it-IT"/>
        </w:rPr>
        <w:t>Trial developmental participative local w</w:t>
      </w:r>
      <w:r w:rsidRPr="001A3B30">
        <w:rPr>
          <w:rFonts w:cs="Arial"/>
          <w:b/>
          <w:bCs/>
          <w:iCs/>
          <w:szCs w:val="24"/>
          <w:lang w:eastAsia="it-IT"/>
        </w:rPr>
        <w:t>elfare</w:t>
      </w:r>
      <w:r w:rsidRPr="001A3B30">
        <w:rPr>
          <w:rFonts w:cs="Arial"/>
          <w:b/>
          <w:bCs/>
          <w:szCs w:val="24"/>
          <w:lang w:eastAsia="it-IT"/>
        </w:rPr>
        <w:t xml:space="preserve"> projects</w:t>
      </w:r>
    </w:p>
    <w:p w14:paraId="2A9B3C3A" w14:textId="77777777" w:rsidR="00BF4791" w:rsidRPr="001A3B30" w:rsidRDefault="00BF4791" w:rsidP="001A3B30">
      <w:pPr>
        <w:ind w:left="567" w:hanging="567"/>
        <w:jc w:val="both"/>
        <w:rPr>
          <w:rFonts w:cs="Arial"/>
          <w:b/>
          <w:bCs/>
          <w:szCs w:val="24"/>
          <w:lang w:eastAsia="it-IT"/>
        </w:rPr>
      </w:pPr>
    </w:p>
    <w:p w14:paraId="33D29B2C" w14:textId="77777777" w:rsidR="001A3B30" w:rsidRPr="001A3B30" w:rsidRDefault="001A3B30" w:rsidP="001A3B30">
      <w:pPr>
        <w:jc w:val="both"/>
        <w:rPr>
          <w:rFonts w:cs="Arial"/>
          <w:szCs w:val="24"/>
          <w:lang w:eastAsia="it-IT"/>
        </w:rPr>
      </w:pPr>
      <w:r w:rsidRPr="001A3B30">
        <w:rPr>
          <w:rFonts w:cs="Arial"/>
          <w:szCs w:val="24"/>
          <w:lang w:eastAsia="it-IT"/>
        </w:rPr>
        <w:t>L-</w:t>
      </w:r>
      <w:proofErr w:type="spellStart"/>
      <w:r w:rsidRPr="001A3B30">
        <w:rPr>
          <w:rFonts w:cs="Arial"/>
          <w:szCs w:val="24"/>
          <w:lang w:eastAsia="it-IT"/>
        </w:rPr>
        <w:t>inc</w:t>
      </w:r>
      <w:proofErr w:type="spellEnd"/>
      <w:r w:rsidRPr="001A3B30">
        <w:rPr>
          <w:rFonts w:cs="Arial"/>
          <w:szCs w:val="24"/>
          <w:lang w:eastAsia="it-IT"/>
        </w:rPr>
        <w:t> (</w:t>
      </w:r>
      <w:proofErr w:type="spellStart"/>
      <w:r w:rsidRPr="001A3B30">
        <w:rPr>
          <w:rFonts w:cs="Arial"/>
          <w:szCs w:val="24"/>
          <w:lang w:eastAsia="it-IT"/>
        </w:rPr>
        <w:t>Laboratorio</w:t>
      </w:r>
      <w:proofErr w:type="spellEnd"/>
      <w:r w:rsidRPr="001A3B30">
        <w:rPr>
          <w:rFonts w:cs="Arial"/>
          <w:szCs w:val="24"/>
          <w:lang w:eastAsia="it-IT"/>
        </w:rPr>
        <w:t xml:space="preserve"> </w:t>
      </w:r>
      <w:proofErr w:type="spellStart"/>
      <w:r w:rsidRPr="001A3B30">
        <w:rPr>
          <w:rFonts w:cs="Arial"/>
          <w:szCs w:val="24"/>
          <w:lang w:eastAsia="it-IT"/>
        </w:rPr>
        <w:t>inclusione</w:t>
      </w:r>
      <w:proofErr w:type="spellEnd"/>
      <w:r w:rsidRPr="001A3B30">
        <w:rPr>
          <w:rFonts w:cs="Arial"/>
          <w:szCs w:val="24"/>
          <w:lang w:eastAsia="it-IT"/>
        </w:rPr>
        <w:t xml:space="preserve"> </w:t>
      </w:r>
      <w:proofErr w:type="spellStart"/>
      <w:r w:rsidRPr="001A3B30">
        <w:rPr>
          <w:rFonts w:cs="Arial"/>
          <w:szCs w:val="24"/>
          <w:lang w:eastAsia="it-IT"/>
        </w:rPr>
        <w:t>sociale</w:t>
      </w:r>
      <w:proofErr w:type="spellEnd"/>
      <w:r w:rsidRPr="001A3B30">
        <w:rPr>
          <w:rFonts w:cs="Arial"/>
          <w:szCs w:val="24"/>
          <w:lang w:eastAsia="it-IT"/>
        </w:rPr>
        <w:t xml:space="preserve"> </w:t>
      </w:r>
      <w:proofErr w:type="spellStart"/>
      <w:r w:rsidRPr="001A3B30">
        <w:rPr>
          <w:rFonts w:cs="Arial"/>
          <w:szCs w:val="24"/>
          <w:lang w:eastAsia="it-IT"/>
        </w:rPr>
        <w:t>disabilità</w:t>
      </w:r>
      <w:proofErr w:type="spellEnd"/>
      <w:r w:rsidRPr="00BF4791">
        <w:rPr>
          <w:rFonts w:cs="Arial"/>
          <w:vertAlign w:val="superscript"/>
          <w:lang w:eastAsia="it-IT"/>
        </w:rPr>
        <w:footnoteReference w:id="46"/>
      </w:r>
      <w:r w:rsidRPr="001A3B30">
        <w:rPr>
          <w:rFonts w:cs="Arial"/>
          <w:szCs w:val="24"/>
          <w:lang w:eastAsia="it-IT"/>
        </w:rPr>
        <w:t xml:space="preserve"> — the Social Inclusion Disability Laboratory) is a project that has started to address the difficulties faced by the welfare system in promoting actions of real social inclusion for all persons with disabilities, due to the persistence of the idea of disability as a chronic disease. L-</w:t>
      </w:r>
      <w:proofErr w:type="spellStart"/>
      <w:r w:rsidRPr="001A3B30">
        <w:rPr>
          <w:rFonts w:cs="Arial"/>
          <w:szCs w:val="24"/>
          <w:lang w:eastAsia="it-IT"/>
        </w:rPr>
        <w:t>inc</w:t>
      </w:r>
      <w:proofErr w:type="spellEnd"/>
      <w:r w:rsidRPr="001A3B30">
        <w:rPr>
          <w:rFonts w:cs="Arial"/>
          <w:szCs w:val="24"/>
          <w:lang w:eastAsia="it-IT"/>
        </w:rPr>
        <w:t xml:space="preserve"> was conceived as a laboratory that seeks to change the present costs of care and assistance for persons with disabilities by investing in independent living plans and in the activation of the community. L-</w:t>
      </w:r>
      <w:proofErr w:type="spellStart"/>
      <w:r w:rsidRPr="001A3B30">
        <w:rPr>
          <w:rFonts w:cs="Arial"/>
          <w:szCs w:val="24"/>
          <w:lang w:eastAsia="it-IT"/>
        </w:rPr>
        <w:t>inc</w:t>
      </w:r>
      <w:proofErr w:type="spellEnd"/>
      <w:r w:rsidRPr="001A3B30">
        <w:rPr>
          <w:rFonts w:cs="Arial"/>
          <w:szCs w:val="24"/>
          <w:lang w:eastAsia="it-IT"/>
        </w:rPr>
        <w:t xml:space="preserve"> involves some municipalities located in the northern districts of Milan. This project is promoted and implemented by a collection of various public and private associations, supported by the Fondazione Cariplo. The leading institution is the Lombardy branch of ANFFAS (</w:t>
      </w:r>
      <w:proofErr w:type="spellStart"/>
      <w:r w:rsidRPr="001A3B30">
        <w:rPr>
          <w:rFonts w:cs="Arial"/>
          <w:szCs w:val="24"/>
          <w:lang w:eastAsia="it-IT"/>
        </w:rPr>
        <w:t>Associazione</w:t>
      </w:r>
      <w:proofErr w:type="spellEnd"/>
      <w:r w:rsidRPr="001A3B30">
        <w:rPr>
          <w:rFonts w:cs="Arial"/>
          <w:szCs w:val="24"/>
          <w:lang w:eastAsia="it-IT"/>
        </w:rPr>
        <w:t xml:space="preserve"> Nazionale </w:t>
      </w:r>
      <w:proofErr w:type="spellStart"/>
      <w:r w:rsidRPr="001A3B30">
        <w:rPr>
          <w:rFonts w:cs="Arial"/>
          <w:szCs w:val="24"/>
          <w:lang w:eastAsia="it-IT"/>
        </w:rPr>
        <w:t>Famiglie</w:t>
      </w:r>
      <w:proofErr w:type="spellEnd"/>
      <w:r w:rsidRPr="001A3B30">
        <w:rPr>
          <w:rFonts w:cs="Arial"/>
          <w:szCs w:val="24"/>
          <w:lang w:eastAsia="it-IT"/>
        </w:rPr>
        <w:t xml:space="preserve"> di </w:t>
      </w:r>
      <w:proofErr w:type="spellStart"/>
      <w:r w:rsidRPr="001A3B30">
        <w:rPr>
          <w:rFonts w:cs="Arial"/>
          <w:szCs w:val="24"/>
          <w:lang w:eastAsia="it-IT"/>
        </w:rPr>
        <w:t>Persone</w:t>
      </w:r>
      <w:proofErr w:type="spellEnd"/>
      <w:r w:rsidRPr="001A3B30">
        <w:rPr>
          <w:rFonts w:cs="Arial"/>
          <w:szCs w:val="24"/>
          <w:lang w:eastAsia="it-IT"/>
        </w:rPr>
        <w:t xml:space="preserve"> con </w:t>
      </w:r>
      <w:proofErr w:type="spellStart"/>
      <w:r w:rsidRPr="001A3B30">
        <w:rPr>
          <w:rFonts w:cs="Arial"/>
          <w:szCs w:val="24"/>
          <w:lang w:eastAsia="it-IT"/>
        </w:rPr>
        <w:t>Disabilità</w:t>
      </w:r>
      <w:proofErr w:type="spellEnd"/>
      <w:r w:rsidRPr="001A3B30">
        <w:rPr>
          <w:rFonts w:cs="Arial"/>
          <w:szCs w:val="24"/>
          <w:lang w:eastAsia="it-IT"/>
        </w:rPr>
        <w:t xml:space="preserve"> </w:t>
      </w:r>
      <w:proofErr w:type="spellStart"/>
      <w:r w:rsidRPr="001A3B30">
        <w:rPr>
          <w:rFonts w:cs="Arial"/>
          <w:szCs w:val="24"/>
          <w:lang w:eastAsia="it-IT"/>
        </w:rPr>
        <w:t>Intellettiva</w:t>
      </w:r>
      <w:proofErr w:type="spellEnd"/>
      <w:r w:rsidRPr="001A3B30">
        <w:rPr>
          <w:rFonts w:cs="Arial"/>
          <w:szCs w:val="24"/>
          <w:lang w:eastAsia="it-IT"/>
        </w:rPr>
        <w:t xml:space="preserve"> e/o </w:t>
      </w:r>
      <w:proofErr w:type="spellStart"/>
      <w:r w:rsidRPr="001A3B30">
        <w:rPr>
          <w:rFonts w:cs="Arial"/>
          <w:szCs w:val="24"/>
          <w:lang w:eastAsia="it-IT"/>
        </w:rPr>
        <w:t>Relazionale</w:t>
      </w:r>
      <w:proofErr w:type="spellEnd"/>
      <w:r w:rsidRPr="001A3B30">
        <w:rPr>
          <w:rFonts w:cs="Arial"/>
          <w:szCs w:val="24"/>
          <w:lang w:eastAsia="it-IT"/>
        </w:rPr>
        <w:t xml:space="preserve"> — the National Association of Families of Persons with Intellectual and/or Relational Disabilities).</w:t>
      </w:r>
    </w:p>
    <w:p w14:paraId="3197AE64" w14:textId="77777777" w:rsidR="001A3B30" w:rsidRPr="001A3B30" w:rsidRDefault="001A3B30" w:rsidP="001A3B30">
      <w:pPr>
        <w:jc w:val="both"/>
        <w:rPr>
          <w:rFonts w:cs="Arial"/>
          <w:szCs w:val="24"/>
          <w:lang w:eastAsia="it-IT"/>
        </w:rPr>
      </w:pPr>
    </w:p>
    <w:p w14:paraId="5419F870" w14:textId="1A472B2B" w:rsidR="001A3B30" w:rsidRDefault="001A3B30" w:rsidP="00BF4791">
      <w:pPr>
        <w:jc w:val="both"/>
        <w:rPr>
          <w:rFonts w:cs="Arial"/>
          <w:szCs w:val="24"/>
          <w:lang w:eastAsia="it-IT"/>
        </w:rPr>
      </w:pPr>
      <w:r w:rsidRPr="001A3B30">
        <w:rPr>
          <w:rFonts w:cs="Arial"/>
          <w:szCs w:val="24"/>
          <w:lang w:eastAsia="it-IT"/>
        </w:rPr>
        <w:t>For some years now, the Habitat-</w:t>
      </w:r>
      <w:proofErr w:type="spellStart"/>
      <w:r w:rsidRPr="001A3B30">
        <w:rPr>
          <w:rFonts w:cs="Arial"/>
          <w:szCs w:val="24"/>
          <w:lang w:eastAsia="it-IT"/>
        </w:rPr>
        <w:t>Microaree</w:t>
      </w:r>
      <w:proofErr w:type="spellEnd"/>
      <w:r w:rsidRPr="001A3B30">
        <w:rPr>
          <w:rFonts w:cs="Arial"/>
          <w:szCs w:val="24"/>
          <w:lang w:eastAsia="it-IT"/>
        </w:rPr>
        <w:t xml:space="preserve"> programme,</w:t>
      </w:r>
      <w:r w:rsidRPr="00BF4791">
        <w:rPr>
          <w:rFonts w:cs="Arial"/>
          <w:vertAlign w:val="superscript"/>
          <w:lang w:eastAsia="it-IT"/>
        </w:rPr>
        <w:footnoteReference w:id="47"/>
      </w:r>
      <w:r w:rsidRPr="001A3B30">
        <w:rPr>
          <w:rFonts w:cs="Arial"/>
          <w:szCs w:val="24"/>
          <w:lang w:eastAsia="it-IT"/>
        </w:rPr>
        <w:t xml:space="preserve"> promoted by the Trieste integrated university health authority, has been trialling innovative forms of territorial interventions, pursuing the ideas of rights promotion, combating institutionalisation and promoting community building, with a special focus on elderly persons, persons with disabilities and children living in areas dominated by public housing. </w:t>
      </w:r>
    </w:p>
    <w:p w14:paraId="741A29D1" w14:textId="77777777" w:rsidR="008E0D83" w:rsidRPr="00BF4791" w:rsidRDefault="008E0D83" w:rsidP="00BF4791">
      <w:pPr>
        <w:jc w:val="both"/>
        <w:rPr>
          <w:rFonts w:cs="Arial"/>
          <w:szCs w:val="24"/>
          <w:lang w:eastAsia="it-IT"/>
        </w:rPr>
      </w:pPr>
    </w:p>
    <w:p w14:paraId="035CC5D8" w14:textId="77777777" w:rsidR="001A3B30" w:rsidRPr="001A3B30" w:rsidRDefault="00E86322" w:rsidP="00BF4791">
      <w:pPr>
        <w:pStyle w:val="Heading1"/>
        <w:rPr>
          <w:u w:color="000000"/>
          <w:bdr w:val="nil"/>
          <w:lang w:eastAsia="it-IT"/>
        </w:rPr>
      </w:pPr>
      <w:bookmarkStart w:id="42" w:name="_Toc5724468"/>
      <w:r w:rsidRPr="001A3B30">
        <w:rPr>
          <w:u w:color="000000"/>
          <w:bdr w:val="nil"/>
          <w:lang w:eastAsia="it-IT"/>
        </w:rPr>
        <w:t>Negative developments including examples of poor practice</w:t>
      </w:r>
      <w:bookmarkEnd w:id="42"/>
    </w:p>
    <w:p w14:paraId="191EAB30" w14:textId="374FDDA6" w:rsidR="001A3B30" w:rsidRPr="00BF4791" w:rsidRDefault="001A3B30" w:rsidP="001A3B30">
      <w:pPr>
        <w:ind w:left="567" w:hanging="567"/>
        <w:jc w:val="both"/>
        <w:rPr>
          <w:rFonts w:cs="Arial"/>
          <w:szCs w:val="24"/>
          <w:lang w:eastAsia="it-IT"/>
        </w:rPr>
      </w:pPr>
    </w:p>
    <w:p w14:paraId="489A215C" w14:textId="3CFF27D7" w:rsidR="001A3B30" w:rsidRDefault="001A3B30" w:rsidP="001A3B30">
      <w:pPr>
        <w:jc w:val="both"/>
        <w:rPr>
          <w:rFonts w:cs="Arial"/>
          <w:b/>
          <w:bCs/>
          <w:szCs w:val="24"/>
          <w:lang w:eastAsia="it-IT"/>
        </w:rPr>
      </w:pPr>
      <w:r w:rsidRPr="001A3B30">
        <w:rPr>
          <w:rFonts w:cs="Arial"/>
          <w:b/>
          <w:bCs/>
          <w:szCs w:val="24"/>
          <w:lang w:eastAsia="it-IT"/>
        </w:rPr>
        <w:t>General Index</w:t>
      </w:r>
    </w:p>
    <w:p w14:paraId="23A82C16" w14:textId="77777777" w:rsidR="00BF4791" w:rsidRPr="001A3B30" w:rsidRDefault="00BF4791" w:rsidP="001A3B30">
      <w:pPr>
        <w:jc w:val="both"/>
        <w:rPr>
          <w:rFonts w:cs="Arial"/>
          <w:b/>
          <w:bCs/>
          <w:szCs w:val="24"/>
          <w:lang w:eastAsia="it-IT"/>
        </w:rPr>
      </w:pPr>
    </w:p>
    <w:p w14:paraId="5BFEA6DA" w14:textId="77777777" w:rsidR="001A3B30" w:rsidRPr="001A3B30" w:rsidRDefault="001A3B30" w:rsidP="001A3B30">
      <w:pPr>
        <w:jc w:val="both"/>
        <w:rPr>
          <w:rFonts w:cs="Arial"/>
          <w:szCs w:val="24"/>
          <w:lang w:eastAsia="it-IT"/>
        </w:rPr>
      </w:pPr>
      <w:r w:rsidRPr="001A3B30">
        <w:rPr>
          <w:rFonts w:cs="Arial"/>
          <w:szCs w:val="24"/>
          <w:lang w:eastAsia="it-IT"/>
        </w:rPr>
        <w:t xml:space="preserve">In the last three years, there has been an increasing number of reports concerning cases of limitation of freedom, mistreatment, abuse and violence towards persons with disabilities in residential and semi-residential facilities. There are no valid data to evaluate whether there has been a quantitative and/or qualitative increase in these incidents in comparison with previous periods. The most realistic hypothesis is that the monitoring action started by the National Guarantor for the Rights of Persons Detained or Deprived of Personal Liberty (5.3), along with increased investigative efforts on the part of district attorney’s offices and the forces of law and order (in particular the NAS — Nuclei Carabinieri </w:t>
      </w:r>
      <w:proofErr w:type="spellStart"/>
      <w:r w:rsidRPr="001A3B30">
        <w:rPr>
          <w:rFonts w:cs="Arial"/>
          <w:szCs w:val="24"/>
          <w:lang w:eastAsia="it-IT"/>
        </w:rPr>
        <w:t>Antisofisticazione</w:t>
      </w:r>
      <w:proofErr w:type="spellEnd"/>
      <w:r w:rsidRPr="001A3B30">
        <w:rPr>
          <w:rFonts w:cs="Arial"/>
          <w:szCs w:val="24"/>
          <w:lang w:eastAsia="it-IT"/>
        </w:rPr>
        <w:t xml:space="preserve"> e </w:t>
      </w:r>
      <w:proofErr w:type="spellStart"/>
      <w:r w:rsidRPr="001A3B30">
        <w:rPr>
          <w:rFonts w:cs="Arial"/>
          <w:szCs w:val="24"/>
          <w:lang w:eastAsia="it-IT"/>
        </w:rPr>
        <w:t>Sanità</w:t>
      </w:r>
      <w:proofErr w:type="spellEnd"/>
      <w:r w:rsidRPr="001A3B30">
        <w:rPr>
          <w:rFonts w:cs="Arial"/>
          <w:szCs w:val="24"/>
          <w:lang w:eastAsia="it-IT"/>
        </w:rPr>
        <w:t>) as well as the awareness campaign implemented by the FISH (8), revealed some previously hidden cases.</w:t>
      </w:r>
      <w:r w:rsidRPr="00BF4791">
        <w:rPr>
          <w:rFonts w:cs="Arial"/>
          <w:vertAlign w:val="superscript"/>
          <w:lang w:eastAsia="it-IT"/>
        </w:rPr>
        <w:footnoteReference w:id="48"/>
      </w:r>
      <w:r w:rsidRPr="001A3B30">
        <w:rPr>
          <w:rFonts w:cs="Arial"/>
          <w:szCs w:val="24"/>
          <w:lang w:eastAsia="it-IT"/>
        </w:rPr>
        <w:t xml:space="preserve"> On the other hand, this monitoring activity could be lowering the social tolerance threshold to incidents of this sort. However, the number of cases and their distribution around the country hint at the existence of many situations of poor practice.</w:t>
      </w:r>
    </w:p>
    <w:p w14:paraId="5353F0A1" w14:textId="77777777" w:rsidR="001A3B30" w:rsidRPr="001A3B30" w:rsidRDefault="001A3B30" w:rsidP="001A3B30">
      <w:pPr>
        <w:jc w:val="both"/>
        <w:rPr>
          <w:rFonts w:ascii="Times New Roman" w:hAnsi="Times New Roman"/>
          <w:szCs w:val="24"/>
          <w:lang w:eastAsia="it-IT"/>
        </w:rPr>
      </w:pPr>
    </w:p>
    <w:p w14:paraId="56433EDB" w14:textId="466F4004" w:rsidR="001A3B30" w:rsidRDefault="001A3B30" w:rsidP="001A3B30">
      <w:pPr>
        <w:jc w:val="both"/>
        <w:rPr>
          <w:rFonts w:cs="Arial"/>
          <w:b/>
          <w:bCs/>
          <w:szCs w:val="24"/>
          <w:lang w:eastAsia="it-IT"/>
        </w:rPr>
      </w:pPr>
      <w:r w:rsidRPr="001A3B30">
        <w:rPr>
          <w:rFonts w:cs="Arial"/>
          <w:b/>
          <w:bCs/>
          <w:szCs w:val="24"/>
          <w:lang w:eastAsia="it-IT"/>
        </w:rPr>
        <w:t>A trend towards greater institutionalisation</w:t>
      </w:r>
    </w:p>
    <w:p w14:paraId="34F7B817" w14:textId="77777777" w:rsidR="00BF4791" w:rsidRPr="001A3B30" w:rsidRDefault="00BF4791" w:rsidP="001A3B30">
      <w:pPr>
        <w:jc w:val="both"/>
        <w:rPr>
          <w:rFonts w:cs="Arial"/>
          <w:b/>
          <w:bCs/>
          <w:szCs w:val="24"/>
          <w:lang w:eastAsia="it-IT"/>
        </w:rPr>
      </w:pPr>
    </w:p>
    <w:p w14:paraId="6CCF46C0" w14:textId="58A5E242" w:rsidR="001A3B30" w:rsidRDefault="001A3B30" w:rsidP="001A3B30">
      <w:pPr>
        <w:jc w:val="both"/>
        <w:rPr>
          <w:rFonts w:cs="Arial"/>
          <w:szCs w:val="24"/>
          <w:lang w:eastAsia="it-IT"/>
        </w:rPr>
      </w:pPr>
      <w:r w:rsidRPr="001A3B30">
        <w:rPr>
          <w:rFonts w:cs="Arial"/>
          <w:szCs w:val="24"/>
          <w:lang w:eastAsia="it-IT"/>
        </w:rPr>
        <w:t>Some recent acts and regional standards have provided for a significant increase in the number of beds in residential facilities, a signal of an expansion phase in the culture of institutionalisation, at least in some areas of the country (6.1).</w:t>
      </w:r>
    </w:p>
    <w:p w14:paraId="6EE5F63C" w14:textId="77777777" w:rsidR="00BF4791" w:rsidRPr="001A3B30" w:rsidRDefault="00BF4791" w:rsidP="001A3B30">
      <w:pPr>
        <w:jc w:val="both"/>
        <w:rPr>
          <w:rFonts w:cs="Arial"/>
          <w:szCs w:val="24"/>
          <w:lang w:eastAsia="it-IT"/>
        </w:rPr>
      </w:pPr>
    </w:p>
    <w:p w14:paraId="66DA22DE" w14:textId="77777777" w:rsidR="001A3B30" w:rsidRPr="001A3B30" w:rsidRDefault="001A3B30" w:rsidP="001A3B30">
      <w:pPr>
        <w:jc w:val="both"/>
        <w:rPr>
          <w:rFonts w:cs="Arial"/>
          <w:szCs w:val="24"/>
          <w:lang w:eastAsia="it-IT"/>
        </w:rPr>
      </w:pPr>
      <w:r w:rsidRPr="001A3B30">
        <w:rPr>
          <w:rFonts w:cs="Arial"/>
          <w:szCs w:val="24"/>
          <w:lang w:eastAsia="it-IT"/>
        </w:rPr>
        <w:t xml:space="preserve">One example of this trend is the regional government of Campania’s </w:t>
      </w:r>
      <w:proofErr w:type="spellStart"/>
      <w:r w:rsidRPr="001A3B30">
        <w:rPr>
          <w:rFonts w:cs="Arial"/>
          <w:szCs w:val="24"/>
          <w:lang w:eastAsia="it-IT"/>
        </w:rPr>
        <w:t>Decreto</w:t>
      </w:r>
      <w:proofErr w:type="spellEnd"/>
      <w:r w:rsidRPr="001A3B30">
        <w:rPr>
          <w:rFonts w:cs="Arial"/>
          <w:szCs w:val="24"/>
          <w:lang w:eastAsia="it-IT"/>
        </w:rPr>
        <w:t xml:space="preserve"> </w:t>
      </w:r>
      <w:proofErr w:type="spellStart"/>
      <w:r w:rsidRPr="001A3B30">
        <w:rPr>
          <w:rFonts w:cs="Arial"/>
          <w:szCs w:val="24"/>
          <w:lang w:eastAsia="it-IT"/>
        </w:rPr>
        <w:t>Dirigenziale</w:t>
      </w:r>
      <w:proofErr w:type="spellEnd"/>
      <w:r w:rsidRPr="001A3B30">
        <w:rPr>
          <w:rFonts w:cs="Arial"/>
          <w:szCs w:val="24"/>
          <w:lang w:eastAsia="it-IT"/>
        </w:rPr>
        <w:t xml:space="preserve"> No 3 of 3 January 2019, which fixes the maximum capacity of residences for adults with disabilities (social assistance facilities, known as RSA) at 120 beds, divided into units of up to 20 beds.</w:t>
      </w:r>
    </w:p>
    <w:p w14:paraId="597886DF" w14:textId="77777777" w:rsidR="001A3B30" w:rsidRPr="001A3B30" w:rsidRDefault="001A3B30" w:rsidP="001A3B30">
      <w:pPr>
        <w:jc w:val="both"/>
        <w:rPr>
          <w:rFonts w:cs="Arial"/>
          <w:szCs w:val="24"/>
          <w:lang w:eastAsia="it-IT"/>
        </w:rPr>
      </w:pPr>
    </w:p>
    <w:p w14:paraId="7FDB0C3F" w14:textId="44FBBC24" w:rsidR="001A3B30" w:rsidRDefault="001A3B30" w:rsidP="001A3B30">
      <w:pPr>
        <w:ind w:left="567" w:hanging="567"/>
        <w:jc w:val="both"/>
        <w:rPr>
          <w:rFonts w:cs="Arial"/>
          <w:b/>
          <w:bCs/>
          <w:szCs w:val="24"/>
          <w:lang w:eastAsia="it-IT"/>
        </w:rPr>
      </w:pPr>
      <w:r w:rsidRPr="001A3B30">
        <w:rPr>
          <w:rFonts w:cs="Arial"/>
          <w:b/>
          <w:bCs/>
          <w:szCs w:val="24"/>
          <w:lang w:eastAsia="it-IT"/>
        </w:rPr>
        <w:t>Medicalisation</w:t>
      </w:r>
    </w:p>
    <w:p w14:paraId="086D7A36" w14:textId="77777777" w:rsidR="00BF4791" w:rsidRPr="001A3B30" w:rsidRDefault="00BF4791" w:rsidP="001A3B30">
      <w:pPr>
        <w:ind w:left="567" w:hanging="567"/>
        <w:jc w:val="both"/>
        <w:rPr>
          <w:rFonts w:cs="Arial"/>
          <w:b/>
          <w:bCs/>
          <w:szCs w:val="24"/>
          <w:lang w:eastAsia="it-IT"/>
        </w:rPr>
      </w:pPr>
    </w:p>
    <w:p w14:paraId="1171DB07" w14:textId="77777777" w:rsidR="001A3B30" w:rsidRPr="001A3B30" w:rsidRDefault="001A3B30" w:rsidP="001A3B30">
      <w:pPr>
        <w:jc w:val="both"/>
        <w:rPr>
          <w:rFonts w:cs="Arial"/>
          <w:szCs w:val="24"/>
          <w:lang w:eastAsia="it-IT"/>
        </w:rPr>
      </w:pPr>
      <w:r w:rsidRPr="001A3B30">
        <w:rPr>
          <w:rFonts w:cs="Arial"/>
          <w:szCs w:val="24"/>
          <w:lang w:eastAsia="it-IT"/>
        </w:rPr>
        <w:t>In some regions, such as Lombardy, the welfare system is characterised by an explicit form of medicalisation, because all social policies are absorbed by regional legislation within the organisational health framework. Welfare is determined according to a medical model.</w:t>
      </w:r>
    </w:p>
    <w:p w14:paraId="22ED5E78" w14:textId="77777777" w:rsidR="001A3B30" w:rsidRPr="001A3B30" w:rsidRDefault="001A3B30" w:rsidP="001A3B30">
      <w:pPr>
        <w:jc w:val="both"/>
        <w:rPr>
          <w:rFonts w:cs="Arial"/>
          <w:szCs w:val="24"/>
          <w:lang w:eastAsia="it-IT"/>
        </w:rPr>
      </w:pPr>
    </w:p>
    <w:p w14:paraId="074DE4A9" w14:textId="6AF627E1" w:rsidR="001A3B30" w:rsidRPr="00BF4791" w:rsidRDefault="001A3B30" w:rsidP="001A3B30">
      <w:pPr>
        <w:rPr>
          <w:rFonts w:cs="Arial"/>
          <w:b/>
          <w:color w:val="000000"/>
          <w:szCs w:val="27"/>
          <w:shd w:val="clear" w:color="auto" w:fill="FFFFFF"/>
          <w:lang w:eastAsia="it-IT"/>
        </w:rPr>
      </w:pPr>
      <w:r w:rsidRPr="00BF4791">
        <w:rPr>
          <w:rFonts w:cs="Arial"/>
          <w:b/>
          <w:color w:val="000000"/>
          <w:szCs w:val="27"/>
          <w:shd w:val="clear" w:color="auto" w:fill="FFFFFF"/>
          <w:lang w:eastAsia="it-IT"/>
        </w:rPr>
        <w:t>Second action programme on disability (2017-19)</w:t>
      </w:r>
    </w:p>
    <w:p w14:paraId="0064E0C6" w14:textId="77777777" w:rsidR="00BF4791" w:rsidRPr="001A3B30" w:rsidRDefault="00BF4791" w:rsidP="001A3B30">
      <w:pPr>
        <w:rPr>
          <w:rFonts w:ascii="Calibri" w:hAnsi="Calibri"/>
          <w:b/>
          <w:color w:val="000000"/>
          <w:sz w:val="27"/>
          <w:szCs w:val="27"/>
          <w:shd w:val="clear" w:color="auto" w:fill="FFFFFF"/>
          <w:lang w:eastAsia="it-IT"/>
        </w:rPr>
      </w:pPr>
    </w:p>
    <w:p w14:paraId="5249CA4F" w14:textId="77777777" w:rsidR="001A3B30" w:rsidRPr="001A3B30" w:rsidRDefault="001A3B30" w:rsidP="001A3B30">
      <w:pPr>
        <w:jc w:val="both"/>
        <w:rPr>
          <w:rFonts w:cs="Arial"/>
          <w:szCs w:val="24"/>
          <w:lang w:eastAsia="it-IT"/>
        </w:rPr>
      </w:pPr>
      <w:r w:rsidRPr="001A3B30">
        <w:rPr>
          <w:rFonts w:cs="Arial"/>
          <w:szCs w:val="24"/>
          <w:lang w:eastAsia="it-IT"/>
        </w:rPr>
        <w:t>The second action programme on disability is an action plan, although in many respects it is not supported by policies. It contains the goal to achieve independent living, but this has not yet been implemented.</w:t>
      </w:r>
    </w:p>
    <w:p w14:paraId="6CFF9F20" w14:textId="77777777" w:rsidR="001A3B30" w:rsidRPr="001A3B30" w:rsidRDefault="001A3B30" w:rsidP="001A3B30">
      <w:pPr>
        <w:jc w:val="both"/>
        <w:rPr>
          <w:rFonts w:ascii="Times New Roman" w:hAnsi="Times New Roman"/>
          <w:b/>
          <w:bCs/>
          <w:szCs w:val="24"/>
          <w:lang w:eastAsia="it-IT"/>
        </w:rPr>
      </w:pPr>
    </w:p>
    <w:p w14:paraId="25887D25" w14:textId="5632785F" w:rsidR="001A3B30" w:rsidRDefault="00E86322" w:rsidP="00BF4791">
      <w:pPr>
        <w:pStyle w:val="Heading1"/>
        <w:rPr>
          <w:u w:color="000000"/>
          <w:bdr w:val="nil"/>
          <w:lang w:eastAsia="it-IT"/>
        </w:rPr>
      </w:pPr>
      <w:bookmarkStart w:id="43" w:name="_Toc5724469"/>
      <w:r w:rsidRPr="001A3B30">
        <w:rPr>
          <w:u w:color="000000"/>
          <w:bdr w:val="nil"/>
          <w:lang w:eastAsia="it-IT"/>
        </w:rPr>
        <w:t>Recommendations</w:t>
      </w:r>
      <w:bookmarkEnd w:id="43"/>
    </w:p>
    <w:p w14:paraId="6940A97A" w14:textId="77777777" w:rsidR="00BF4791" w:rsidRPr="00BF4791" w:rsidRDefault="00BF4791" w:rsidP="00BF4791">
      <w:pPr>
        <w:rPr>
          <w:rFonts w:eastAsia="Arial"/>
          <w:lang w:eastAsia="it-IT" w:bidi="en-US"/>
        </w:rPr>
      </w:pPr>
    </w:p>
    <w:p w14:paraId="0035CB4A"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Set out a national programme of deinstitutionalisation of persons with disabilities who live in segregated facilities;</w:t>
      </w:r>
    </w:p>
    <w:p w14:paraId="2AC47701"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lastRenderedPageBreak/>
        <w:t>Structure a national monitoring and data collection system for collecting data on deinstitutionalisation and on the application of Article 19 of the CRPD;</w:t>
      </w:r>
    </w:p>
    <w:p w14:paraId="4E161FC8"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 xml:space="preserve">Restrict the organisation of policies and public expenditure to the safeguarding of the rights recognised under Article 19 of the CRPD; </w:t>
      </w:r>
    </w:p>
    <w:p w14:paraId="41CE0948"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Develop and publicise mechanisms to allocate resources via the personalised budget system;</w:t>
      </w:r>
    </w:p>
    <w:p w14:paraId="1846EFE4"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Approve the national guidelines on the independent living plans by completely following the lines of the CRPD;</w:t>
      </w:r>
    </w:p>
    <w:p w14:paraId="746DC468" w14:textId="77777777" w:rsidR="001A3B30" w:rsidRPr="001A3B30" w:rsidRDefault="001A3B30" w:rsidP="00BF4791">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Develop new assessment criteria for persons applying for independent living plans;</w:t>
      </w:r>
    </w:p>
    <w:p w14:paraId="7E64B6E8" w14:textId="02C48FA0" w:rsidR="00D6096C" w:rsidRPr="00BF4791" w:rsidRDefault="001A3B30" w:rsidP="001A3B30">
      <w:pPr>
        <w:numPr>
          <w:ilvl w:val="0"/>
          <w:numId w:val="24"/>
        </w:numPr>
        <w:pBdr>
          <w:top w:val="nil"/>
          <w:left w:val="nil"/>
          <w:bottom w:val="nil"/>
          <w:right w:val="nil"/>
          <w:between w:val="nil"/>
          <w:bar w:val="nil"/>
        </w:pBdr>
        <w:ind w:left="567" w:hanging="567"/>
        <w:jc w:val="both"/>
        <w:rPr>
          <w:rFonts w:eastAsia="Arial" w:cs="Arial"/>
          <w:color w:val="000000"/>
          <w:szCs w:val="24"/>
          <w:u w:color="000000"/>
          <w:bdr w:val="nil"/>
          <w:lang w:eastAsia="it-IT"/>
        </w:rPr>
      </w:pPr>
      <w:r w:rsidRPr="001A3B30">
        <w:rPr>
          <w:rFonts w:eastAsia="Arial" w:cs="Arial"/>
          <w:color w:val="000000"/>
          <w:szCs w:val="24"/>
          <w:u w:color="000000"/>
          <w:bdr w:val="nil"/>
          <w:lang w:eastAsia="it-IT"/>
        </w:rPr>
        <w:t>Run information campaigns on independent living.</w:t>
      </w:r>
    </w:p>
    <w:sectPr w:rsidR="00D6096C" w:rsidRPr="00BF4791" w:rsidSect="00A75929">
      <w:headerReference w:type="default" r:id="rId11"/>
      <w:footerReference w:type="default" r:id="rId12"/>
      <w:pgSz w:w="11899" w:h="16838" w:code="9"/>
      <w:pgMar w:top="1560" w:right="1418" w:bottom="1418" w:left="1418" w:header="0" w:footer="414"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13DB" w14:textId="77777777" w:rsidR="0059770A" w:rsidRDefault="0059770A" w:rsidP="00D9246D">
      <w:r>
        <w:separator/>
      </w:r>
    </w:p>
  </w:endnote>
  <w:endnote w:type="continuationSeparator" w:id="0">
    <w:p w14:paraId="73A5490C" w14:textId="77777777" w:rsidR="0059770A" w:rsidRDefault="0059770A" w:rsidP="00D92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Corbe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370762"/>
      <w:docPartObj>
        <w:docPartGallery w:val="Page Numbers (Bottom of Page)"/>
        <w:docPartUnique/>
      </w:docPartObj>
    </w:sdtPr>
    <w:sdtEndPr>
      <w:rPr>
        <w:noProof/>
      </w:rPr>
    </w:sdtEndPr>
    <w:sdtContent>
      <w:p w14:paraId="4FE4DFF0" w14:textId="34D1EAC4" w:rsidR="008E0D83" w:rsidRDefault="008E0D83" w:rsidP="00000C42">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85F82" w14:textId="77777777" w:rsidR="0059770A" w:rsidRDefault="0059770A" w:rsidP="00D9246D">
      <w:r>
        <w:separator/>
      </w:r>
    </w:p>
  </w:footnote>
  <w:footnote w:type="continuationSeparator" w:id="0">
    <w:p w14:paraId="43A21810" w14:textId="77777777" w:rsidR="0059770A" w:rsidRDefault="0059770A" w:rsidP="00D9246D">
      <w:r>
        <w:continuationSeparator/>
      </w:r>
    </w:p>
  </w:footnote>
  <w:footnote w:id="1">
    <w:p w14:paraId="29673266" w14:textId="77777777" w:rsidR="008E0D83" w:rsidRPr="00082413" w:rsidRDefault="008E0D83" w:rsidP="001A3B30">
      <w:pPr>
        <w:pStyle w:val="Footnote"/>
        <w:rPr>
          <w:b/>
          <w:bCs/>
        </w:rPr>
      </w:pPr>
      <w:r w:rsidRPr="00082413">
        <w:rPr>
          <w:rStyle w:val="FootnoteReference"/>
        </w:rPr>
        <w:footnoteRef/>
      </w:r>
      <w:r w:rsidRPr="00082413">
        <w:t xml:space="preserve"> </w:t>
      </w:r>
      <w:r w:rsidRPr="00082413">
        <w:tab/>
      </w:r>
      <w:r w:rsidRPr="00082413">
        <w:rPr>
          <w:rStyle w:val="None"/>
          <w:rFonts w:eastAsia="Helvetica Neue"/>
          <w:lang w:val="en-GB"/>
        </w:rPr>
        <w:t>‘Non-self-sufficient’ is a classification of beneficiaries that, in Italy, is considered as a specific target. The target is a person who needs intensive support because she/he has a high level of assistance dependency. This term is a legislative category and it is used by the national and regional legislation and by the resulting regulation. Only people who fall within this category can obtain specific funds for deinstitutionalisation, as we have analysed below.</w:t>
      </w:r>
    </w:p>
  </w:footnote>
  <w:footnote w:id="2">
    <w:p w14:paraId="77052ACC" w14:textId="77777777" w:rsidR="008E0D83" w:rsidRPr="00082413" w:rsidRDefault="008E0D83" w:rsidP="001A3B30">
      <w:pPr>
        <w:pStyle w:val="Footnote"/>
      </w:pPr>
      <w:r w:rsidRPr="00082413">
        <w:rPr>
          <w:rStyle w:val="FootnoteReference"/>
        </w:rPr>
        <w:footnoteRef/>
      </w:r>
      <w:r w:rsidRPr="00082413">
        <w:t xml:space="preserve"> </w:t>
      </w:r>
      <w:r w:rsidRPr="00082413">
        <w:tab/>
        <w:t xml:space="preserve">ISTAT (the </w:t>
      </w:r>
      <w:proofErr w:type="spellStart"/>
      <w:r w:rsidRPr="00082413">
        <w:t>Istituto</w:t>
      </w:r>
      <w:proofErr w:type="spellEnd"/>
      <w:r w:rsidRPr="00082413">
        <w:t xml:space="preserve"> Nazionale di </w:t>
      </w:r>
      <w:proofErr w:type="spellStart"/>
      <w:r w:rsidRPr="00082413">
        <w:t>Statistica</w:t>
      </w:r>
      <w:proofErr w:type="spellEnd"/>
      <w:r w:rsidRPr="00082413">
        <w:t xml:space="preserve"> / Italian National Institute of Statistics) defines institutional care facilities as ‘community’, and it defines facilities provided by an organisation that replicates the characteristics of life in a family as ‘family based’.</w:t>
      </w:r>
    </w:p>
  </w:footnote>
  <w:footnote w:id="3">
    <w:p w14:paraId="1C47D9B6"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Those percentages can be affected by a minimal amount of questions not answered or data not categorised.</w:t>
      </w:r>
    </w:p>
  </w:footnote>
  <w:footnote w:id="4">
    <w:p w14:paraId="0B77C980" w14:textId="77777777" w:rsidR="008E0D83" w:rsidRPr="00082413" w:rsidRDefault="008E0D83" w:rsidP="001A3B30">
      <w:pPr>
        <w:pStyle w:val="Footnote"/>
      </w:pPr>
      <w:r w:rsidRPr="00082413">
        <w:rPr>
          <w:rStyle w:val="FootnoteReference"/>
        </w:rPr>
        <w:footnoteRef/>
      </w:r>
      <w:r w:rsidRPr="00082413">
        <w:t xml:space="preserve"> </w:t>
      </w:r>
      <w:r w:rsidRPr="00082413">
        <w:tab/>
        <w:t xml:space="preserve">Children with a physical, psychiatric or sensory disability. </w:t>
      </w:r>
    </w:p>
  </w:footnote>
  <w:footnote w:id="5">
    <w:p w14:paraId="0D79F7B0" w14:textId="77777777" w:rsidR="008E0D83" w:rsidRPr="00082413" w:rsidRDefault="008E0D83" w:rsidP="001A3B30">
      <w:pPr>
        <w:pStyle w:val="Footnote"/>
      </w:pPr>
      <w:r w:rsidRPr="00082413">
        <w:rPr>
          <w:rStyle w:val="None"/>
          <w:rFonts w:eastAsia="Helvetica Neue"/>
          <w:vertAlign w:val="superscript"/>
          <w:lang w:val="en-GB"/>
        </w:rPr>
        <w:footnoteRef/>
      </w:r>
      <w:r w:rsidRPr="00082413">
        <w:t xml:space="preserve"> </w:t>
      </w:r>
      <w:r w:rsidRPr="00082413">
        <w:tab/>
        <w:t>Adults between 18 and 64 years who have a physical, psychic or sensory disability, who have multiple disabilities or who have psychiatric problems.</w:t>
      </w:r>
    </w:p>
  </w:footnote>
  <w:footnote w:id="6">
    <w:p w14:paraId="1B1FD9A8"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Non-self-sufficient elderly persons over 65, i.e. persons in a permanent state of invalidity or who suffer from chronic diseases and who consequently have a reduced level of independence, leading to a need for constant help from other people in order to perform essential daily activities.</w:t>
      </w:r>
    </w:p>
  </w:footnote>
  <w:footnote w:id="7">
    <w:p w14:paraId="2FEDB6C8" w14:textId="7E7897BF" w:rsidR="008E0D83" w:rsidRPr="00082413" w:rsidRDefault="008E0D83" w:rsidP="001A3B30">
      <w:pPr>
        <w:pStyle w:val="Footnote"/>
      </w:pPr>
      <w:r w:rsidRPr="00082413">
        <w:rPr>
          <w:rStyle w:val="FootnoteReference"/>
        </w:rPr>
        <w:footnoteRef/>
      </w:r>
      <w:r w:rsidRPr="00082413">
        <w:t xml:space="preserve"> </w:t>
      </w:r>
      <w:r w:rsidRPr="00082413">
        <w:tab/>
        <w:t xml:space="preserve">See ‘Minority Reports: Cultural Disability Studies’ No 3, a special issue of </w:t>
      </w:r>
      <w:r>
        <w:rPr>
          <w:i/>
        </w:rPr>
        <w:t>t</w:t>
      </w:r>
      <w:r w:rsidRPr="00082413">
        <w:rPr>
          <w:i/>
        </w:rPr>
        <w:t>he deposition of criminal lunatic asylum</w:t>
      </w:r>
      <w:r w:rsidRPr="00082413">
        <w:t>, 2016.</w:t>
      </w:r>
    </w:p>
  </w:footnote>
  <w:footnote w:id="8">
    <w:p w14:paraId="4D89EBB3" w14:textId="07516688"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Act No 517 of 4 August 1977, </w:t>
      </w:r>
      <w:hyperlink r:id="rId1" w:history="1">
        <w:r w:rsidRPr="00082413">
          <w:rPr>
            <w:rStyle w:val="Hyperlink"/>
            <w:rFonts w:eastAsia="Helvetica Neue"/>
          </w:rPr>
          <w:t>http://www.gazzettaufficiale.it/eli/id/1977/08/18/077U0517/sg</w:t>
        </w:r>
      </w:hyperlink>
      <w:r w:rsidRPr="00082413">
        <w:rPr>
          <w:rStyle w:val="None"/>
          <w:rFonts w:eastAsia="Helvetica Neue"/>
          <w:lang w:val="en-GB"/>
        </w:rPr>
        <w:t>.</w:t>
      </w:r>
    </w:p>
  </w:footnote>
  <w:footnote w:id="9">
    <w:p w14:paraId="3F241216" w14:textId="58D7285A"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Act No 180 of 13 May 1978, </w:t>
      </w:r>
      <w:hyperlink r:id="rId2" w:history="1">
        <w:r w:rsidRPr="00082413">
          <w:rPr>
            <w:rStyle w:val="Hyperlink"/>
            <w:rFonts w:eastAsia="Helvetica Neue"/>
          </w:rPr>
          <w:t>http://www.gazzettaufficiale.it/eli/id/1978/05/16/078U0180/sg</w:t>
        </w:r>
      </w:hyperlink>
      <w:r w:rsidRPr="00082413">
        <w:rPr>
          <w:rStyle w:val="None"/>
          <w:rFonts w:eastAsia="Helvetica Neue"/>
          <w:lang w:val="en-GB"/>
        </w:rPr>
        <w:t>.</w:t>
      </w:r>
    </w:p>
  </w:footnote>
  <w:footnote w:id="10">
    <w:p w14:paraId="65D6AA96" w14:textId="364C565B" w:rsidR="008E0D83" w:rsidRPr="00082413" w:rsidRDefault="008E0D83" w:rsidP="001A3B30">
      <w:pPr>
        <w:pStyle w:val="Footnote"/>
      </w:pPr>
      <w:r w:rsidRPr="00082413">
        <w:rPr>
          <w:rStyle w:val="None"/>
          <w:rFonts w:eastAsia="Helvetica Neue"/>
          <w:vertAlign w:val="superscript"/>
          <w:lang w:val="en-GB"/>
        </w:rPr>
        <w:footnoteRef/>
      </w:r>
      <w:r w:rsidRPr="00082413">
        <w:t xml:space="preserve"> </w:t>
      </w:r>
      <w:r w:rsidRPr="00082413">
        <w:tab/>
        <w:t xml:space="preserve">The present report does not deal with the situation and the problems related to psychiatric institutions. In Italy there is an historic and pronounced split between the field of mental health and the field of disability, so much so that the field of mental health uses different collection and monitoring systems. Recently, however, there have been signs of convergence between the two fields, as may be noticed, for example, from draft law No 180, </w:t>
      </w:r>
      <w:proofErr w:type="spellStart"/>
      <w:r w:rsidRPr="00082413">
        <w:t>Disposizioni</w:t>
      </w:r>
      <w:proofErr w:type="spellEnd"/>
      <w:r w:rsidRPr="00082413">
        <w:t xml:space="preserve"> in </w:t>
      </w:r>
      <w:proofErr w:type="spellStart"/>
      <w:r w:rsidRPr="00082413">
        <w:t>materia</w:t>
      </w:r>
      <w:proofErr w:type="spellEnd"/>
      <w:r w:rsidRPr="00082413">
        <w:t xml:space="preserve"> di tutela </w:t>
      </w:r>
      <w:proofErr w:type="spellStart"/>
      <w:r w:rsidRPr="00082413">
        <w:t>della</w:t>
      </w:r>
      <w:proofErr w:type="spellEnd"/>
      <w:r w:rsidRPr="00082413">
        <w:t xml:space="preserve"> salute </w:t>
      </w:r>
      <w:proofErr w:type="spellStart"/>
      <w:r w:rsidRPr="00082413">
        <w:t>mentale</w:t>
      </w:r>
      <w:proofErr w:type="spellEnd"/>
      <w:r w:rsidRPr="00082413">
        <w:t xml:space="preserve"> volte </w:t>
      </w:r>
      <w:proofErr w:type="spellStart"/>
      <w:r w:rsidRPr="00082413">
        <w:t>all’attuazione</w:t>
      </w:r>
      <w:proofErr w:type="spellEnd"/>
      <w:r w:rsidRPr="00082413">
        <w:t xml:space="preserve"> e </w:t>
      </w:r>
      <w:proofErr w:type="spellStart"/>
      <w:r w:rsidRPr="00082413">
        <w:t>allo</w:t>
      </w:r>
      <w:proofErr w:type="spellEnd"/>
      <w:r w:rsidRPr="00082413">
        <w:t xml:space="preserve"> </w:t>
      </w:r>
      <w:proofErr w:type="spellStart"/>
      <w:r w:rsidRPr="00082413">
        <w:t>sviluppo</w:t>
      </w:r>
      <w:proofErr w:type="spellEnd"/>
      <w:r w:rsidRPr="00082413">
        <w:t xml:space="preserve"> </w:t>
      </w:r>
      <w:proofErr w:type="spellStart"/>
      <w:r w:rsidRPr="00082413">
        <w:t>dei</w:t>
      </w:r>
      <w:proofErr w:type="spellEnd"/>
      <w:r w:rsidRPr="00082413">
        <w:t xml:space="preserve"> </w:t>
      </w:r>
      <w:proofErr w:type="spellStart"/>
      <w:r w:rsidRPr="00082413">
        <w:t>princìpi</w:t>
      </w:r>
      <w:proofErr w:type="spellEnd"/>
      <w:r w:rsidRPr="00082413">
        <w:t xml:space="preserve"> di cui </w:t>
      </w:r>
      <w:proofErr w:type="spellStart"/>
      <w:r w:rsidRPr="00082413">
        <w:t>alla</w:t>
      </w:r>
      <w:proofErr w:type="spellEnd"/>
      <w:r w:rsidRPr="00082413">
        <w:t xml:space="preserve"> </w:t>
      </w:r>
      <w:proofErr w:type="spellStart"/>
      <w:r w:rsidRPr="00082413">
        <w:t>legge</w:t>
      </w:r>
      <w:proofErr w:type="spellEnd"/>
      <w:r w:rsidRPr="00082413">
        <w:t xml:space="preserve"> 13 </w:t>
      </w:r>
      <w:proofErr w:type="spellStart"/>
      <w:r w:rsidRPr="00082413">
        <w:t>maggio</w:t>
      </w:r>
      <w:proofErr w:type="spellEnd"/>
      <w:r w:rsidRPr="00082413">
        <w:t xml:space="preserve"> 1978, which is explicitly placed within the framework of the CRPD. This draft law is not currently being examined by the Parliament (see </w:t>
      </w:r>
      <w:hyperlink r:id="rId3" w:history="1">
        <w:r w:rsidRPr="00CF59A9">
          <w:rPr>
            <w:rStyle w:val="Hyperlink"/>
            <w:rFonts w:cs="Arial"/>
          </w:rPr>
          <w:t>http://www.senato.it/leg/17/BGT/Schede/Ddliter/48103.htm</w:t>
        </w:r>
      </w:hyperlink>
      <w:r w:rsidRPr="00082413">
        <w:t>).</w:t>
      </w:r>
    </w:p>
  </w:footnote>
  <w:footnote w:id="11">
    <w:p w14:paraId="775B191A" w14:textId="77777777" w:rsidR="008E0D83" w:rsidRPr="00082413" w:rsidRDefault="008E0D83" w:rsidP="001A3B30">
      <w:pPr>
        <w:pStyle w:val="Footnote"/>
        <w:rPr>
          <w:rStyle w:val="None"/>
          <w:rFonts w:eastAsia="Helvetica Neue"/>
          <w:lang w:val="en-GB"/>
        </w:rPr>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Decree of the President of the Republic of 4 October 2013, </w:t>
      </w:r>
      <w:proofErr w:type="spellStart"/>
      <w:r w:rsidRPr="00082413">
        <w:rPr>
          <w:rStyle w:val="None"/>
          <w:rFonts w:eastAsia="Helvetica Neue"/>
          <w:i/>
          <w:iCs/>
          <w:lang w:val="en-GB"/>
        </w:rPr>
        <w:t>Adozione</w:t>
      </w:r>
      <w:proofErr w:type="spellEnd"/>
      <w:r w:rsidRPr="00082413">
        <w:rPr>
          <w:rStyle w:val="None"/>
          <w:rFonts w:eastAsia="Helvetica Neue"/>
          <w:i/>
          <w:iCs/>
          <w:lang w:val="en-GB"/>
        </w:rPr>
        <w:t xml:space="preserve"> del </w:t>
      </w:r>
      <w:proofErr w:type="spellStart"/>
      <w:r w:rsidRPr="00082413">
        <w:rPr>
          <w:rStyle w:val="None"/>
          <w:rFonts w:eastAsia="Helvetica Neue"/>
          <w:i/>
          <w:iCs/>
          <w:lang w:val="en-GB"/>
        </w:rPr>
        <w:t>programma</w:t>
      </w:r>
      <w:proofErr w:type="spellEnd"/>
      <w:r w:rsidRPr="00082413">
        <w:rPr>
          <w:rStyle w:val="None"/>
          <w:rFonts w:eastAsia="Helvetica Neue"/>
          <w:i/>
          <w:iCs/>
          <w:lang w:val="en-GB"/>
        </w:rPr>
        <w:t xml:space="preserve"> di </w:t>
      </w:r>
      <w:proofErr w:type="spellStart"/>
      <w:r w:rsidRPr="00082413">
        <w:rPr>
          <w:rStyle w:val="None"/>
          <w:rFonts w:eastAsia="Helvetica Neue"/>
          <w:i/>
          <w:iCs/>
          <w:lang w:val="en-GB"/>
        </w:rPr>
        <w:t>azione</w:t>
      </w:r>
      <w:proofErr w:type="spellEnd"/>
      <w:r w:rsidRPr="00082413">
        <w:rPr>
          <w:rStyle w:val="None"/>
          <w:rFonts w:eastAsia="Helvetica Neue"/>
          <w:i/>
          <w:iCs/>
          <w:lang w:val="en-GB"/>
        </w:rPr>
        <w:t xml:space="preserve"> biennale per la </w:t>
      </w:r>
      <w:proofErr w:type="spellStart"/>
      <w:r w:rsidRPr="00082413">
        <w:rPr>
          <w:rStyle w:val="None"/>
          <w:rFonts w:eastAsia="Helvetica Neue"/>
          <w:i/>
          <w:iCs/>
          <w:lang w:val="en-GB"/>
        </w:rPr>
        <w:t>promozione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dei</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diritti</w:t>
      </w:r>
      <w:proofErr w:type="spellEnd"/>
      <w:r w:rsidRPr="00082413">
        <w:rPr>
          <w:rStyle w:val="None"/>
          <w:rFonts w:eastAsia="Helvetica Neue"/>
          <w:i/>
          <w:iCs/>
          <w:lang w:val="en-GB"/>
        </w:rPr>
        <w:t xml:space="preserve"> e </w:t>
      </w:r>
      <w:proofErr w:type="spellStart"/>
      <w:r w:rsidRPr="00082413">
        <w:rPr>
          <w:rStyle w:val="None"/>
          <w:rFonts w:eastAsia="Helvetica Neue"/>
          <w:i/>
          <w:iCs/>
          <w:lang w:val="en-GB"/>
        </w:rPr>
        <w:t>l’integrazione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delle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persone</w:t>
      </w:r>
      <w:proofErr w:type="spellEnd"/>
      <w:r w:rsidRPr="00082413">
        <w:rPr>
          <w:rStyle w:val="None"/>
          <w:rFonts w:eastAsia="Helvetica Neue"/>
          <w:i/>
          <w:iCs/>
          <w:lang w:val="en-GB"/>
        </w:rPr>
        <w:t xml:space="preserve"> con </w:t>
      </w:r>
      <w:proofErr w:type="spellStart"/>
      <w:r w:rsidRPr="00082413">
        <w:rPr>
          <w:rStyle w:val="None"/>
          <w:rFonts w:eastAsia="Helvetica Neue"/>
          <w:i/>
          <w:iCs/>
          <w:lang w:val="en-GB"/>
        </w:rPr>
        <w:t>disabilità</w:t>
      </w:r>
      <w:proofErr w:type="spellEnd"/>
      <w:r w:rsidRPr="00082413">
        <w:rPr>
          <w:rStyle w:val="None"/>
          <w:rFonts w:eastAsia="Helvetica Neue"/>
          <w:lang w:val="en-GB"/>
        </w:rPr>
        <w:t xml:space="preserve">, </w:t>
      </w:r>
      <w:hyperlink r:id="rId4" w:history="1">
        <w:r w:rsidRPr="00082413">
          <w:rPr>
            <w:rStyle w:val="Hyperlink"/>
            <w:rFonts w:eastAsia="Arial"/>
          </w:rPr>
          <w:t>http://www.gazzettaufficiale.it/eli/id/2013/12/28/13A10469/sg</w:t>
        </w:r>
      </w:hyperlink>
      <w:r w:rsidRPr="00082413">
        <w:rPr>
          <w:rStyle w:val="Hyperlink0"/>
        </w:rPr>
        <w:t>.</w:t>
      </w:r>
    </w:p>
    <w:p w14:paraId="7CDEE7C3" w14:textId="77777777" w:rsidR="008E0D83" w:rsidRPr="00082413" w:rsidRDefault="008E0D83" w:rsidP="001A3B30">
      <w:pPr>
        <w:pStyle w:val="Footnote"/>
        <w:ind w:firstLine="0"/>
      </w:pPr>
      <w:r w:rsidRPr="00082413">
        <w:rPr>
          <w:rStyle w:val="None"/>
          <w:rFonts w:eastAsia="Helvetica Neue"/>
          <w:lang w:val="en-GB"/>
        </w:rPr>
        <w:t xml:space="preserve">The decree of the President of the Republic of 12 October 2017, </w:t>
      </w:r>
      <w:proofErr w:type="spellStart"/>
      <w:r w:rsidRPr="00082413">
        <w:rPr>
          <w:rStyle w:val="None"/>
          <w:rFonts w:eastAsia="Helvetica Neue"/>
          <w:i/>
          <w:iCs/>
          <w:lang w:val="en-GB"/>
        </w:rPr>
        <w:t>Adozione</w:t>
      </w:r>
      <w:proofErr w:type="spellEnd"/>
      <w:r w:rsidRPr="00082413">
        <w:rPr>
          <w:rStyle w:val="None"/>
          <w:rFonts w:eastAsia="Helvetica Neue"/>
          <w:i/>
          <w:iCs/>
          <w:lang w:val="en-GB"/>
        </w:rPr>
        <w:t xml:space="preserve"> del secondo </w:t>
      </w:r>
      <w:proofErr w:type="spellStart"/>
      <w:r w:rsidRPr="00082413">
        <w:rPr>
          <w:rStyle w:val="None"/>
          <w:rFonts w:eastAsia="Helvetica Neue"/>
          <w:i/>
          <w:iCs/>
          <w:lang w:val="en-GB"/>
        </w:rPr>
        <w:t>programma</w:t>
      </w:r>
      <w:proofErr w:type="spellEnd"/>
      <w:r w:rsidRPr="00082413">
        <w:rPr>
          <w:rStyle w:val="None"/>
          <w:rFonts w:eastAsia="Helvetica Neue"/>
          <w:i/>
          <w:iCs/>
          <w:lang w:val="en-GB"/>
        </w:rPr>
        <w:t xml:space="preserve"> di </w:t>
      </w:r>
      <w:proofErr w:type="spellStart"/>
      <w:r w:rsidRPr="00082413">
        <w:rPr>
          <w:rStyle w:val="None"/>
          <w:rFonts w:eastAsia="Helvetica Neue"/>
          <w:i/>
          <w:iCs/>
          <w:lang w:val="en-GB"/>
        </w:rPr>
        <w:t>azione</w:t>
      </w:r>
      <w:proofErr w:type="spellEnd"/>
      <w:r w:rsidRPr="00082413">
        <w:rPr>
          <w:rStyle w:val="None"/>
          <w:rFonts w:eastAsia="Helvetica Neue"/>
          <w:i/>
          <w:iCs/>
          <w:lang w:val="en-GB"/>
        </w:rPr>
        <w:t xml:space="preserve"> biennale per la </w:t>
      </w:r>
      <w:proofErr w:type="spellStart"/>
      <w:r w:rsidRPr="00082413">
        <w:rPr>
          <w:rStyle w:val="None"/>
          <w:rFonts w:eastAsia="Helvetica Neue"/>
          <w:i/>
          <w:iCs/>
          <w:lang w:val="en-GB"/>
        </w:rPr>
        <w:t>promozione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dei</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diritti</w:t>
      </w:r>
      <w:proofErr w:type="spellEnd"/>
      <w:r w:rsidRPr="00082413">
        <w:rPr>
          <w:rStyle w:val="None"/>
          <w:rFonts w:eastAsia="Helvetica Neue"/>
          <w:i/>
          <w:iCs/>
          <w:lang w:val="en-GB"/>
        </w:rPr>
        <w:t xml:space="preserve"> e </w:t>
      </w:r>
      <w:proofErr w:type="spellStart"/>
      <w:r w:rsidRPr="00082413">
        <w:rPr>
          <w:rStyle w:val="None"/>
          <w:rFonts w:eastAsia="Helvetica Neue"/>
          <w:i/>
          <w:iCs/>
          <w:lang w:val="en-GB"/>
        </w:rPr>
        <w:t>l’integrazione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delle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persone</w:t>
      </w:r>
      <w:proofErr w:type="spellEnd"/>
      <w:r w:rsidRPr="00082413">
        <w:rPr>
          <w:rStyle w:val="None"/>
          <w:rFonts w:eastAsia="Helvetica Neue"/>
          <w:i/>
          <w:iCs/>
          <w:lang w:val="en-GB"/>
        </w:rPr>
        <w:t xml:space="preserve"> con </w:t>
      </w:r>
      <w:proofErr w:type="spellStart"/>
      <w:r w:rsidRPr="00082413">
        <w:rPr>
          <w:rStyle w:val="None"/>
          <w:rFonts w:eastAsia="Helvetica Neue"/>
          <w:i/>
          <w:iCs/>
          <w:lang w:val="en-GB"/>
        </w:rPr>
        <w:t>disabilità</w:t>
      </w:r>
      <w:proofErr w:type="spellEnd"/>
      <w:r w:rsidRPr="00082413">
        <w:rPr>
          <w:rStyle w:val="None"/>
          <w:rFonts w:eastAsia="Helvetica Neue"/>
          <w:lang w:val="en-GB"/>
        </w:rPr>
        <w:t xml:space="preserve">, moves from action line 3 by expanding it. See </w:t>
      </w:r>
      <w:hyperlink r:id="rId5" w:history="1">
        <w:r w:rsidRPr="00082413">
          <w:rPr>
            <w:rStyle w:val="Hyperlink"/>
            <w:rFonts w:eastAsia="Helvetica Neue"/>
          </w:rPr>
          <w:t>http://www.gazzettaufficiale.it/eli/id/2017/12/12/17A08310/SG</w:t>
        </w:r>
      </w:hyperlink>
      <w:r w:rsidRPr="00082413">
        <w:rPr>
          <w:rStyle w:val="None"/>
          <w:rFonts w:eastAsia="Helvetica Neue"/>
          <w:lang w:val="en-GB"/>
        </w:rPr>
        <w:t>.</w:t>
      </w:r>
    </w:p>
  </w:footnote>
  <w:footnote w:id="12">
    <w:p w14:paraId="0E6E24A5"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See </w:t>
      </w:r>
      <w:hyperlink r:id="rId6" w:history="1">
        <w:r w:rsidRPr="00082413">
          <w:rPr>
            <w:rStyle w:val="Hyperlink"/>
            <w:rFonts w:eastAsia="Arial Unicode MS"/>
          </w:rPr>
          <w:t>http://www.osservatoriodisabilita.it</w:t>
        </w:r>
      </w:hyperlink>
      <w:r w:rsidRPr="00082413">
        <w:rPr>
          <w:rFonts w:eastAsia="Arial Unicode MS"/>
        </w:rPr>
        <w:t>.</w:t>
      </w:r>
    </w:p>
  </w:footnote>
  <w:footnote w:id="13">
    <w:p w14:paraId="32808AB6" w14:textId="6C67DCCB"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Adopted by decree of the President of the Republic, 12 October 2017, </w:t>
      </w:r>
      <w:hyperlink r:id="rId7" w:history="1">
        <w:r w:rsidRPr="00082413">
          <w:rPr>
            <w:rStyle w:val="Hyperlink"/>
            <w:rFonts w:eastAsia="Arial Unicode MS"/>
          </w:rPr>
          <w:t>http://www.gazzettaufficiale.it/eli/id/2017/12/12/17A08310/SG</w:t>
        </w:r>
      </w:hyperlink>
      <w:r w:rsidRPr="00082413">
        <w:rPr>
          <w:rStyle w:val="Link"/>
          <w:rFonts w:eastAsia="Arial Unicode MS"/>
        </w:rPr>
        <w:t>.</w:t>
      </w:r>
      <w:r w:rsidRPr="00082413">
        <w:rPr>
          <w:rFonts w:eastAsia="Arial Unicode MS"/>
        </w:rPr>
        <w:t xml:space="preserve"> </w:t>
      </w:r>
    </w:p>
  </w:footnote>
  <w:footnote w:id="14">
    <w:p w14:paraId="08562783" w14:textId="77777777" w:rsidR="008E0D83" w:rsidRPr="00082413" w:rsidRDefault="008E0D83" w:rsidP="001A3B30">
      <w:pPr>
        <w:pStyle w:val="Footnote"/>
      </w:pPr>
      <w:r w:rsidRPr="00082413">
        <w:rPr>
          <w:rStyle w:val="FootnoteReference"/>
        </w:rPr>
        <w:footnoteRef/>
      </w:r>
      <w:r w:rsidRPr="00082413">
        <w:t xml:space="preserve"> </w:t>
      </w:r>
      <w:r w:rsidRPr="00082413">
        <w:tab/>
        <w:t xml:space="preserve">This call is funded by the government; the funds are transferred to the regions. Regions make a call to the territorial social services that present a project of independent living activities; </w:t>
      </w:r>
      <w:proofErr w:type="gramStart"/>
      <w:r w:rsidRPr="00082413">
        <w:t>finally</w:t>
      </w:r>
      <w:proofErr w:type="gramEnd"/>
      <w:r w:rsidRPr="00082413">
        <w:t xml:space="preserve"> the territorial social services open a call for candidature of persons with disabilities to have access to a selection of individualized projects. The term call is used to describe in synthesis this process.</w:t>
      </w:r>
    </w:p>
  </w:footnote>
  <w:footnote w:id="15">
    <w:p w14:paraId="6C367353"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See</w:t>
      </w:r>
      <w:r w:rsidRPr="00082413">
        <w:rPr>
          <w:rStyle w:val="Hyperlink"/>
          <w:rFonts w:eastAsia="Helvetica Neue"/>
        </w:rPr>
        <w:t xml:space="preserve"> </w:t>
      </w:r>
      <w:hyperlink r:id="rId8" w:history="1">
        <w:r w:rsidRPr="00082413">
          <w:rPr>
            <w:rStyle w:val="Hyperlink"/>
            <w:rFonts w:eastAsia="Arial"/>
          </w:rPr>
          <w:t>http://www.lavoro.gov.it/temi-e-priorita/disabilita-e-non-autosufficienza/focus-on/Vita-indipendente/Documents/Vita%20indipendente_Bandi%202014.pdf</w:t>
        </w:r>
      </w:hyperlink>
      <w:r w:rsidRPr="00082413">
        <w:rPr>
          <w:rStyle w:val="Hyperlink1"/>
          <w:lang w:val="en-GB"/>
        </w:rPr>
        <w:t>.</w:t>
      </w:r>
      <w:r w:rsidRPr="00082413">
        <w:rPr>
          <w:rStyle w:val="None"/>
          <w:rFonts w:eastAsia="Helvetica Neue"/>
          <w:lang w:val="en-GB"/>
        </w:rPr>
        <w:t xml:space="preserve"> </w:t>
      </w:r>
    </w:p>
  </w:footnote>
  <w:footnote w:id="16">
    <w:p w14:paraId="7FF333D4"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9" w:history="1">
        <w:r w:rsidRPr="00082413">
          <w:rPr>
            <w:rStyle w:val="Hyperlink"/>
            <w:rFonts w:eastAsia="Arial"/>
          </w:rPr>
          <w:t>http://www.lavoro.gov.it/temi-e-priorita/disabilita-e-non-autosufficienza/focus-on/Vita-indipendente/Documents/Vita%20indipendente_Bandi%202015.pdf</w:t>
        </w:r>
      </w:hyperlink>
      <w:r w:rsidRPr="00082413">
        <w:rPr>
          <w:rStyle w:val="Hyperlink1"/>
          <w:lang w:val="en-GB"/>
        </w:rPr>
        <w:t>.</w:t>
      </w:r>
      <w:r w:rsidRPr="00082413">
        <w:rPr>
          <w:rStyle w:val="None"/>
          <w:rFonts w:eastAsia="Helvetica Neue"/>
          <w:lang w:val="en-GB"/>
        </w:rPr>
        <w:t xml:space="preserve"> </w:t>
      </w:r>
    </w:p>
  </w:footnote>
  <w:footnote w:id="17">
    <w:p w14:paraId="301855CF" w14:textId="694D47B8"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vertAlign w:val="superscript"/>
          <w:lang w:val="en-GB"/>
        </w:rPr>
        <w:t xml:space="preserve"> </w:t>
      </w:r>
      <w:r w:rsidRPr="00082413">
        <w:rPr>
          <w:rStyle w:val="None"/>
          <w:rFonts w:eastAsia="Helvetica Neue"/>
          <w:vertAlign w:val="superscript"/>
          <w:lang w:val="en-GB"/>
        </w:rPr>
        <w:tab/>
      </w:r>
      <w:hyperlink r:id="rId10" w:history="1">
        <w:r w:rsidRPr="00082413">
          <w:rPr>
            <w:rStyle w:val="Hyperlink"/>
            <w:rFonts w:eastAsia="Helvetica Neue"/>
          </w:rPr>
          <w:t>Directorial Decree No 808 of 29 December 2017</w:t>
        </w:r>
      </w:hyperlink>
      <w:r w:rsidRPr="00082413">
        <w:rPr>
          <w:rStyle w:val="None"/>
          <w:rFonts w:eastAsia="Helvetica Neue"/>
          <w:color w:val="1C2024"/>
          <w:u w:color="1C2024"/>
          <w:lang w:val="en-GB"/>
        </w:rPr>
        <w:t>,</w:t>
      </w:r>
      <w:r w:rsidRPr="00082413">
        <w:rPr>
          <w:rStyle w:val="None"/>
          <w:rFonts w:eastAsia="Helvetica Neue"/>
          <w:lang w:val="en-GB"/>
        </w:rPr>
        <w:t xml:space="preserve"> </w:t>
      </w:r>
      <w:hyperlink r:id="rId11" w:history="1">
        <w:r w:rsidRPr="00082413">
          <w:rPr>
            <w:rStyle w:val="Hyperlink"/>
            <w:rFonts w:eastAsia="Arial"/>
          </w:rPr>
          <w:t>http://www.lavoro.gov.it/notizie/Pagine/Linee-Guida-Vita-Indipendente-anno-2017.aspx</w:t>
        </w:r>
      </w:hyperlink>
      <w:r w:rsidRPr="00082413">
        <w:rPr>
          <w:rStyle w:val="None"/>
          <w:rFonts w:eastAsia="Helvetica Neue"/>
          <w:lang w:val="en-GB"/>
        </w:rPr>
        <w:t>.</w:t>
      </w:r>
    </w:p>
  </w:footnote>
  <w:footnote w:id="18">
    <w:p w14:paraId="30A0C18A" w14:textId="2FB421D8"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r>
      <w:hyperlink r:id="rId12" w:history="1">
        <w:r w:rsidRPr="00082413">
          <w:rPr>
            <w:rStyle w:val="Hyperlink"/>
            <w:rFonts w:eastAsia="Arial"/>
          </w:rPr>
          <w:t>Directorial Decree No 669 of 28 December 2018</w:t>
        </w:r>
      </w:hyperlink>
      <w:r w:rsidRPr="00082413">
        <w:rPr>
          <w:rStyle w:val="None"/>
          <w:rFonts w:eastAsia="Helvetica Neue"/>
          <w:lang w:val="en-GB"/>
        </w:rPr>
        <w:t xml:space="preserve">, </w:t>
      </w:r>
      <w:hyperlink r:id="rId13" w:history="1">
        <w:r w:rsidRPr="00082413">
          <w:rPr>
            <w:rStyle w:val="Hyperlink"/>
            <w:rFonts w:eastAsia="Arial"/>
          </w:rPr>
          <w:t>http://www.lavoro.gov.it/notizie/pagine/linee-guida-vita-indipendente-anno-2018.aspx/</w:t>
        </w:r>
      </w:hyperlink>
      <w:r w:rsidRPr="00082413">
        <w:rPr>
          <w:rStyle w:val="Hyperlink1"/>
          <w:lang w:val="en-GB"/>
        </w:rPr>
        <w:t>.</w:t>
      </w:r>
    </w:p>
  </w:footnote>
  <w:footnote w:id="19">
    <w:p w14:paraId="222D8EB8"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Act</w:t>
      </w:r>
      <w:r w:rsidRPr="00082413">
        <w:rPr>
          <w:rStyle w:val="None"/>
          <w:rFonts w:eastAsia="Helvetica Neue"/>
          <w:u w:color="444444"/>
          <w:lang w:val="en-GB"/>
        </w:rPr>
        <w:t xml:space="preserve"> No 112 of 22.6.2016, </w:t>
      </w:r>
      <w:proofErr w:type="spellStart"/>
      <w:r w:rsidRPr="00082413">
        <w:rPr>
          <w:rStyle w:val="None"/>
          <w:rFonts w:eastAsia="Helvetica Neue"/>
          <w:u w:color="444444"/>
          <w:lang w:val="en-GB"/>
        </w:rPr>
        <w:t>Disposizioni</w:t>
      </w:r>
      <w:proofErr w:type="spellEnd"/>
      <w:r w:rsidRPr="00082413">
        <w:rPr>
          <w:rStyle w:val="None"/>
          <w:rFonts w:eastAsia="Helvetica Neue"/>
          <w:u w:color="444444"/>
          <w:lang w:val="en-GB"/>
        </w:rPr>
        <w:t xml:space="preserve"> in </w:t>
      </w:r>
      <w:proofErr w:type="spellStart"/>
      <w:r w:rsidRPr="00082413">
        <w:rPr>
          <w:rStyle w:val="None"/>
          <w:rFonts w:eastAsia="Helvetica Neue"/>
          <w:u w:color="444444"/>
          <w:lang w:val="en-GB"/>
        </w:rPr>
        <w:t>materia</w:t>
      </w:r>
      <w:proofErr w:type="spellEnd"/>
      <w:r w:rsidRPr="00082413">
        <w:rPr>
          <w:rStyle w:val="None"/>
          <w:rFonts w:eastAsia="Helvetica Neue"/>
          <w:u w:color="444444"/>
          <w:lang w:val="en-GB"/>
        </w:rPr>
        <w:t xml:space="preserve"> di </w:t>
      </w:r>
      <w:proofErr w:type="spellStart"/>
      <w:r w:rsidRPr="00082413">
        <w:rPr>
          <w:rStyle w:val="None"/>
          <w:rFonts w:eastAsia="Helvetica Neue"/>
          <w:u w:color="444444"/>
          <w:lang w:val="en-GB"/>
        </w:rPr>
        <w:t>assistenza</w:t>
      </w:r>
      <w:proofErr w:type="spellEnd"/>
      <w:r w:rsidRPr="00082413">
        <w:rPr>
          <w:rStyle w:val="None"/>
          <w:rFonts w:eastAsia="Helvetica Neue"/>
          <w:u w:color="444444"/>
          <w:lang w:val="en-GB"/>
        </w:rPr>
        <w:t xml:space="preserve"> in </w:t>
      </w:r>
      <w:proofErr w:type="spellStart"/>
      <w:r w:rsidRPr="00082413">
        <w:rPr>
          <w:rStyle w:val="None"/>
          <w:rFonts w:eastAsia="Helvetica Neue"/>
          <w:u w:color="444444"/>
          <w:lang w:val="en-GB"/>
        </w:rPr>
        <w:t>favore</w:t>
      </w:r>
      <w:proofErr w:type="spellEnd"/>
      <w:r w:rsidRPr="00082413">
        <w:rPr>
          <w:rStyle w:val="None"/>
          <w:rFonts w:eastAsia="Helvetica Neue"/>
          <w:u w:color="444444"/>
          <w:lang w:val="en-GB"/>
        </w:rPr>
        <w:t xml:space="preserve"> </w:t>
      </w:r>
      <w:proofErr w:type="spellStart"/>
      <w:r w:rsidRPr="00082413">
        <w:rPr>
          <w:rStyle w:val="None"/>
          <w:rFonts w:eastAsia="Helvetica Neue"/>
          <w:u w:color="444444"/>
          <w:lang w:val="en-GB"/>
        </w:rPr>
        <w:t>delle</w:t>
      </w:r>
      <w:proofErr w:type="spellEnd"/>
      <w:r w:rsidRPr="00082413">
        <w:rPr>
          <w:rStyle w:val="None"/>
          <w:rFonts w:eastAsia="Helvetica Neue"/>
          <w:u w:color="444444"/>
          <w:lang w:val="en-GB"/>
        </w:rPr>
        <w:t xml:space="preserve"> </w:t>
      </w:r>
      <w:proofErr w:type="spellStart"/>
      <w:r w:rsidRPr="00082413">
        <w:rPr>
          <w:rStyle w:val="None"/>
          <w:rFonts w:eastAsia="Helvetica Neue"/>
          <w:u w:color="444444"/>
          <w:lang w:val="en-GB"/>
        </w:rPr>
        <w:t>persone</w:t>
      </w:r>
      <w:proofErr w:type="spellEnd"/>
      <w:r w:rsidRPr="00082413">
        <w:rPr>
          <w:rStyle w:val="None"/>
          <w:rFonts w:eastAsia="Helvetica Neue"/>
          <w:u w:color="444444"/>
          <w:lang w:val="en-GB"/>
        </w:rPr>
        <w:t xml:space="preserve"> con </w:t>
      </w:r>
      <w:proofErr w:type="spellStart"/>
      <w:r w:rsidRPr="00082413">
        <w:rPr>
          <w:rStyle w:val="None"/>
          <w:rFonts w:eastAsia="Helvetica Neue"/>
          <w:u w:color="444444"/>
          <w:lang w:val="en-GB"/>
        </w:rPr>
        <w:t>disabilità</w:t>
      </w:r>
      <w:proofErr w:type="spellEnd"/>
      <w:r w:rsidRPr="00082413">
        <w:rPr>
          <w:rStyle w:val="None"/>
          <w:rFonts w:eastAsia="Helvetica Neue"/>
          <w:u w:color="444444"/>
          <w:lang w:val="en-GB"/>
        </w:rPr>
        <w:t xml:space="preserve"> grave </w:t>
      </w:r>
      <w:proofErr w:type="spellStart"/>
      <w:r w:rsidRPr="00082413">
        <w:rPr>
          <w:rStyle w:val="None"/>
          <w:rFonts w:eastAsia="Helvetica Neue"/>
          <w:u w:color="444444"/>
          <w:lang w:val="en-GB"/>
        </w:rPr>
        <w:t>prive</w:t>
      </w:r>
      <w:proofErr w:type="spellEnd"/>
      <w:r w:rsidRPr="00082413">
        <w:rPr>
          <w:rStyle w:val="None"/>
          <w:rFonts w:eastAsia="Helvetica Neue"/>
          <w:u w:color="444444"/>
          <w:lang w:val="en-GB"/>
        </w:rPr>
        <w:t xml:space="preserve"> del </w:t>
      </w:r>
      <w:proofErr w:type="spellStart"/>
      <w:r w:rsidRPr="00082413">
        <w:rPr>
          <w:rStyle w:val="None"/>
          <w:rFonts w:eastAsia="Helvetica Neue"/>
          <w:u w:color="444444"/>
          <w:lang w:val="en-GB"/>
        </w:rPr>
        <w:t>sostegno</w:t>
      </w:r>
      <w:proofErr w:type="spellEnd"/>
      <w:r w:rsidRPr="00082413">
        <w:rPr>
          <w:rStyle w:val="None"/>
          <w:rFonts w:eastAsia="Helvetica Neue"/>
          <w:u w:color="444444"/>
          <w:lang w:val="en-GB"/>
        </w:rPr>
        <w:t xml:space="preserve"> </w:t>
      </w:r>
      <w:proofErr w:type="spellStart"/>
      <w:r w:rsidRPr="00082413">
        <w:rPr>
          <w:rStyle w:val="None"/>
          <w:rFonts w:eastAsia="Helvetica Neue"/>
          <w:u w:color="444444"/>
          <w:lang w:val="en-GB"/>
        </w:rPr>
        <w:t>familiare</w:t>
      </w:r>
      <w:proofErr w:type="spellEnd"/>
      <w:r w:rsidRPr="00082413">
        <w:rPr>
          <w:rStyle w:val="None"/>
          <w:rFonts w:eastAsia="Helvetica Neue"/>
          <w:u w:color="444444"/>
          <w:lang w:val="en-GB"/>
        </w:rPr>
        <w:t xml:space="preserve">, </w:t>
      </w:r>
      <w:hyperlink r:id="rId14" w:history="1">
        <w:r w:rsidRPr="00082413">
          <w:rPr>
            <w:rStyle w:val="Hyperlink"/>
            <w:rFonts w:eastAsia="Arial"/>
          </w:rPr>
          <w:t>http://www.handylex.org/stato/l220616.shtml</w:t>
        </w:r>
      </w:hyperlink>
      <w:r w:rsidRPr="00082413">
        <w:rPr>
          <w:rStyle w:val="None"/>
          <w:rFonts w:eastAsia="Helvetica Neue"/>
          <w:color w:val="444444"/>
          <w:u w:color="444444"/>
          <w:lang w:val="en-GB"/>
        </w:rPr>
        <w:t>.</w:t>
      </w:r>
    </w:p>
  </w:footnote>
  <w:footnote w:id="20">
    <w:p w14:paraId="48C8FC8A" w14:textId="6B23D0D0"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See </w:t>
      </w:r>
      <w:hyperlink r:id="rId15" w:history="1">
        <w:r w:rsidRPr="00082413">
          <w:rPr>
            <w:rStyle w:val="Hyperlink"/>
            <w:rFonts w:eastAsia="Arial Unicode MS"/>
          </w:rPr>
          <w:t>https://www.ohchr.org</w:t>
        </w:r>
      </w:hyperlink>
      <w:r w:rsidRPr="00082413">
        <w:rPr>
          <w:rFonts w:eastAsia="Arial Unicode MS"/>
        </w:rPr>
        <w:t xml:space="preserve">. </w:t>
      </w:r>
    </w:p>
  </w:footnote>
  <w:footnote w:id="21">
    <w:p w14:paraId="618D0FD9" w14:textId="18A80E04"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‘From institutions to community living for persons with disabilities: perspectives from the ground’, </w:t>
      </w:r>
      <w:hyperlink r:id="rId16" w:history="1">
        <w:r w:rsidRPr="00082413">
          <w:rPr>
            <w:rStyle w:val="Hyperlink"/>
            <w:rFonts w:eastAsia="Arial"/>
          </w:rPr>
          <w:t>https://fra.europa.eu/en/publication/2018/independent-living-reality</w:t>
        </w:r>
      </w:hyperlink>
      <w:r w:rsidRPr="00082413">
        <w:rPr>
          <w:rStyle w:val="None"/>
          <w:rFonts w:eastAsia="Helvetica Neue"/>
          <w:lang w:val="en-GB"/>
        </w:rPr>
        <w:t xml:space="preserve">; and ‘The right to independent living of persons with disabilities’, </w:t>
      </w:r>
      <w:hyperlink r:id="rId17" w:history="1">
        <w:r w:rsidRPr="00082413">
          <w:rPr>
            <w:rStyle w:val="Hyperlink"/>
            <w:rFonts w:eastAsia="Arial"/>
          </w:rPr>
          <w:t>https://fra.europa.eu/en/project/2014/right-independent-living-persons-disabilities</w:t>
        </w:r>
      </w:hyperlink>
      <w:r w:rsidRPr="00082413">
        <w:rPr>
          <w:rStyle w:val="Hyperlink"/>
          <w:rFonts w:eastAsia="Helvetica Neue"/>
          <w:u w:val="none"/>
        </w:rPr>
        <w:t>.</w:t>
      </w:r>
    </w:p>
  </w:footnote>
  <w:footnote w:id="22">
    <w:p w14:paraId="7BA5F03D" w14:textId="643F1158" w:rsidR="008E0D83" w:rsidRPr="00082413" w:rsidRDefault="008E0D83" w:rsidP="001A3B30">
      <w:pPr>
        <w:pStyle w:val="Footnote"/>
      </w:pPr>
      <w:r w:rsidRPr="00082413">
        <w:rPr>
          <w:rStyle w:val="None"/>
          <w:rFonts w:eastAsia="Helvetica Neue"/>
          <w:shd w:val="clear" w:color="auto" w:fill="FFFFFF"/>
          <w:vertAlign w:val="superscript"/>
          <w:lang w:val="en-GB"/>
        </w:rPr>
        <w:footnoteRef/>
      </w:r>
      <w:r w:rsidRPr="00082413">
        <w:rPr>
          <w:rFonts w:eastAsia="Arial Unicode MS"/>
        </w:rPr>
        <w:t xml:space="preserve"> </w:t>
      </w:r>
      <w:r w:rsidRPr="00082413">
        <w:rPr>
          <w:rFonts w:eastAsia="Arial Unicode MS"/>
        </w:rPr>
        <w:tab/>
        <w:t xml:space="preserve">Ratified by Italy by </w:t>
      </w:r>
      <w:r w:rsidRPr="00082413">
        <w:rPr>
          <w:rStyle w:val="None"/>
          <w:rFonts w:eastAsia="Helvetica Neue"/>
          <w:lang w:val="en-GB"/>
        </w:rPr>
        <w:t>Act No 195 of</w:t>
      </w:r>
      <w:r w:rsidRPr="00082413">
        <w:rPr>
          <w:rFonts w:eastAsia="Arial Unicode MS"/>
        </w:rPr>
        <w:t xml:space="preserve"> 9 November 2012, </w:t>
      </w:r>
      <w:hyperlink r:id="rId18" w:history="1">
        <w:r w:rsidRPr="00082413">
          <w:rPr>
            <w:rStyle w:val="Hyperlink"/>
            <w:rFonts w:eastAsia="Arial Unicode MS" w:cs="Arial"/>
          </w:rPr>
          <w:t>http://www.gazzettaufficiale.it/eli/id/2012/11/19/012G0216/sg</w:t>
        </w:r>
      </w:hyperlink>
      <w:r w:rsidRPr="00082413">
        <w:rPr>
          <w:rFonts w:eastAsia="Arial Unicode MS"/>
        </w:rPr>
        <w:t xml:space="preserve">. </w:t>
      </w:r>
    </w:p>
  </w:footnote>
  <w:footnote w:id="23">
    <w:p w14:paraId="27FE5065" w14:textId="5AEC764E" w:rsidR="008E0D83" w:rsidRPr="00082413" w:rsidRDefault="008E0D83" w:rsidP="001A3B30">
      <w:pPr>
        <w:pStyle w:val="Footnote"/>
      </w:pPr>
      <w:r w:rsidRPr="00082413">
        <w:rPr>
          <w:rStyle w:val="None"/>
          <w:rFonts w:eastAsia="Helvetica Neue"/>
          <w:shd w:val="clear" w:color="auto" w:fill="FFFFFF"/>
          <w:vertAlign w:val="superscript"/>
          <w:lang w:val="en-GB"/>
        </w:rPr>
        <w:footnoteRef/>
      </w:r>
      <w:r w:rsidRPr="00082413">
        <w:rPr>
          <w:rFonts w:eastAsia="Arial Unicode MS"/>
        </w:rPr>
        <w:t xml:space="preserve"> </w:t>
      </w:r>
      <w:r w:rsidRPr="00082413">
        <w:rPr>
          <w:rFonts w:eastAsia="Arial Unicode MS"/>
        </w:rPr>
        <w:tab/>
        <w:t xml:space="preserve">See </w:t>
      </w:r>
      <w:hyperlink r:id="rId19" w:history="1">
        <w:r w:rsidRPr="00082413">
          <w:rPr>
            <w:rStyle w:val="Hyperlink"/>
            <w:rFonts w:eastAsia="Arial Unicode MS"/>
          </w:rPr>
          <w:t>https://www.ohchr.org</w:t>
        </w:r>
      </w:hyperlink>
      <w:r w:rsidRPr="00082413">
        <w:rPr>
          <w:rStyle w:val="Hyperlink"/>
          <w:rFonts w:eastAsia="Arial Unicode MS"/>
          <w:u w:val="none"/>
        </w:rPr>
        <w:t>.</w:t>
      </w:r>
      <w:r w:rsidRPr="00082413">
        <w:rPr>
          <w:rFonts w:eastAsia="Arial Unicode MS"/>
        </w:rPr>
        <w:t xml:space="preserve"> </w:t>
      </w:r>
    </w:p>
  </w:footnote>
  <w:footnote w:id="24">
    <w:p w14:paraId="625EEC76" w14:textId="3C83749D" w:rsidR="008E0D83" w:rsidRPr="00082413" w:rsidRDefault="008E0D83" w:rsidP="001A3B30">
      <w:pPr>
        <w:pStyle w:val="Footnote"/>
      </w:pPr>
      <w:r w:rsidRPr="00082413">
        <w:rPr>
          <w:rStyle w:val="None"/>
          <w:rFonts w:eastAsia="Helvetica Neue"/>
          <w:shd w:val="clear" w:color="auto" w:fill="FFFFFF"/>
          <w:vertAlign w:val="superscript"/>
          <w:lang w:val="en-GB"/>
        </w:rPr>
        <w:footnoteRef/>
      </w:r>
      <w:r w:rsidRPr="00082413">
        <w:t xml:space="preserve"> </w:t>
      </w:r>
      <w:r w:rsidRPr="00082413">
        <w:tab/>
        <w:t>The activities of the GNPL are scientifically supported by an operational research protocol on</w:t>
      </w:r>
    </w:p>
    <w:p w14:paraId="6EA2466D" w14:textId="77777777" w:rsidR="008E0D83" w:rsidRPr="00082413" w:rsidRDefault="008E0D83" w:rsidP="0046751E">
      <w:pPr>
        <w:pStyle w:val="Footnote"/>
        <w:ind w:firstLine="0"/>
      </w:pPr>
      <w:r w:rsidRPr="00082413">
        <w:t xml:space="preserve">‘Places, forms and ways of segregated disability’, which involves a collaboration between </w:t>
      </w:r>
      <w:r w:rsidRPr="00082413">
        <w:rPr>
          <w:rStyle w:val="None"/>
          <w:rFonts w:eastAsia="Helvetica Neue"/>
          <w:lang w:val="en-GB"/>
        </w:rPr>
        <w:t xml:space="preserve">GNPL, </w:t>
      </w:r>
      <w:proofErr w:type="spellStart"/>
      <w:r w:rsidRPr="00082413">
        <w:rPr>
          <w:rStyle w:val="None"/>
          <w:rFonts w:eastAsia="Helvetica Neue"/>
          <w:lang w:val="en-GB"/>
        </w:rPr>
        <w:t>L’Altro</w:t>
      </w:r>
      <w:proofErr w:type="spellEnd"/>
      <w:r w:rsidRPr="00082413">
        <w:rPr>
          <w:rStyle w:val="None"/>
          <w:rFonts w:eastAsia="Helvetica Neue"/>
          <w:lang w:val="en-GB"/>
        </w:rPr>
        <w:t xml:space="preserve"> </w:t>
      </w:r>
      <w:proofErr w:type="spellStart"/>
      <w:r w:rsidRPr="00082413">
        <w:rPr>
          <w:rStyle w:val="None"/>
          <w:rFonts w:eastAsia="Helvetica Neue"/>
          <w:lang w:val="en-GB"/>
        </w:rPr>
        <w:t>diritto</w:t>
      </w:r>
      <w:proofErr w:type="spellEnd"/>
      <w:r w:rsidRPr="00082413">
        <w:rPr>
          <w:rStyle w:val="None"/>
          <w:rFonts w:eastAsia="Helvetica Neue"/>
          <w:lang w:val="en-GB"/>
        </w:rPr>
        <w:t xml:space="preserve">, Centro di </w:t>
      </w:r>
      <w:proofErr w:type="spellStart"/>
      <w:r w:rsidRPr="00082413">
        <w:rPr>
          <w:rStyle w:val="None"/>
          <w:rFonts w:eastAsia="Helvetica Neue"/>
          <w:lang w:val="en-GB"/>
        </w:rPr>
        <w:t>ricerca</w:t>
      </w:r>
      <w:proofErr w:type="spellEnd"/>
      <w:r w:rsidRPr="00082413">
        <w:rPr>
          <w:rStyle w:val="None"/>
          <w:rFonts w:eastAsia="Helvetica Neue"/>
          <w:lang w:val="en-GB"/>
        </w:rPr>
        <w:t xml:space="preserve"> </w:t>
      </w:r>
      <w:proofErr w:type="spellStart"/>
      <w:r w:rsidRPr="00082413">
        <w:rPr>
          <w:rStyle w:val="None"/>
          <w:rFonts w:eastAsia="Helvetica Neue"/>
          <w:lang w:val="en-GB"/>
        </w:rPr>
        <w:t>interuniversitario</w:t>
      </w:r>
      <w:proofErr w:type="spellEnd"/>
      <w:r w:rsidRPr="00082413">
        <w:rPr>
          <w:rStyle w:val="None"/>
          <w:rFonts w:eastAsia="Helvetica Neue"/>
          <w:lang w:val="en-GB"/>
        </w:rPr>
        <w:t xml:space="preserve"> </w:t>
      </w:r>
      <w:proofErr w:type="spellStart"/>
      <w:r w:rsidRPr="00082413">
        <w:rPr>
          <w:rStyle w:val="None"/>
          <w:rFonts w:eastAsia="Helvetica Neue"/>
          <w:lang w:val="en-GB"/>
        </w:rPr>
        <w:t>su</w:t>
      </w:r>
      <w:proofErr w:type="spellEnd"/>
      <w:r w:rsidRPr="00082413">
        <w:rPr>
          <w:rStyle w:val="None"/>
          <w:rFonts w:eastAsia="Helvetica Neue"/>
          <w:lang w:val="en-GB"/>
        </w:rPr>
        <w:t xml:space="preserve"> </w:t>
      </w:r>
      <w:proofErr w:type="spellStart"/>
      <w:r w:rsidRPr="00082413">
        <w:rPr>
          <w:rStyle w:val="None"/>
          <w:rFonts w:eastAsia="Helvetica Neue"/>
          <w:lang w:val="en-GB"/>
        </w:rPr>
        <w:t>carcere</w:t>
      </w:r>
      <w:proofErr w:type="spellEnd"/>
      <w:r w:rsidRPr="00082413">
        <w:rPr>
          <w:rStyle w:val="None"/>
          <w:rFonts w:eastAsia="Helvetica Neue"/>
          <w:lang w:val="en-GB"/>
        </w:rPr>
        <w:t xml:space="preserve">, </w:t>
      </w:r>
      <w:proofErr w:type="spellStart"/>
      <w:r w:rsidRPr="00082413">
        <w:rPr>
          <w:rStyle w:val="None"/>
          <w:rFonts w:eastAsia="Helvetica Neue"/>
          <w:lang w:val="en-GB"/>
        </w:rPr>
        <w:t>devianza</w:t>
      </w:r>
      <w:proofErr w:type="spellEnd"/>
      <w:r w:rsidRPr="00082413">
        <w:rPr>
          <w:rStyle w:val="None"/>
          <w:rFonts w:eastAsia="Helvetica Neue"/>
          <w:lang w:val="en-GB"/>
        </w:rPr>
        <w:t xml:space="preserve">, </w:t>
      </w:r>
      <w:proofErr w:type="spellStart"/>
      <w:r w:rsidRPr="00082413">
        <w:rPr>
          <w:rStyle w:val="None"/>
          <w:rFonts w:eastAsia="Helvetica Neue"/>
          <w:lang w:val="en-GB"/>
        </w:rPr>
        <w:t>marginalità</w:t>
      </w:r>
      <w:proofErr w:type="spellEnd"/>
      <w:r w:rsidRPr="00082413">
        <w:rPr>
          <w:rStyle w:val="None"/>
          <w:rFonts w:eastAsia="Helvetica Neue"/>
          <w:lang w:val="en-GB"/>
        </w:rPr>
        <w:t xml:space="preserve"> e </w:t>
      </w:r>
      <w:proofErr w:type="spellStart"/>
      <w:r w:rsidRPr="00082413">
        <w:rPr>
          <w:rStyle w:val="None"/>
          <w:rFonts w:eastAsia="Helvetica Neue"/>
          <w:lang w:val="en-GB"/>
        </w:rPr>
        <w:t>migrazioni</w:t>
      </w:r>
      <w:proofErr w:type="spellEnd"/>
      <w:r w:rsidRPr="00082413">
        <w:rPr>
          <w:rStyle w:val="None"/>
          <w:rFonts w:eastAsia="Helvetica Neue"/>
          <w:lang w:val="en-GB"/>
        </w:rPr>
        <w:t xml:space="preserve"> of the University of Florence, </w:t>
      </w:r>
      <w:proofErr w:type="spellStart"/>
      <w:r w:rsidRPr="00082413">
        <w:rPr>
          <w:rStyle w:val="None"/>
          <w:rFonts w:eastAsia="Helvetica Neue"/>
          <w:lang w:val="en-GB"/>
        </w:rPr>
        <w:t>Atypicalab</w:t>
      </w:r>
      <w:proofErr w:type="spellEnd"/>
      <w:r w:rsidRPr="00082413">
        <w:rPr>
          <w:rStyle w:val="None"/>
          <w:rFonts w:eastAsia="Helvetica Neue"/>
          <w:lang w:val="en-GB"/>
        </w:rPr>
        <w:t xml:space="preserve"> for Cultural Disability Studies of the University of Calabria and the Robert Castel Centre for Governmentality and Disability Studies at the </w:t>
      </w:r>
      <w:proofErr w:type="spellStart"/>
      <w:r w:rsidRPr="00082413">
        <w:rPr>
          <w:rStyle w:val="None"/>
          <w:rFonts w:eastAsia="Helvetica Neue"/>
          <w:lang w:val="en-GB"/>
        </w:rPr>
        <w:t>Suor</w:t>
      </w:r>
      <w:proofErr w:type="spellEnd"/>
      <w:r w:rsidRPr="00082413">
        <w:rPr>
          <w:rStyle w:val="None"/>
          <w:rFonts w:eastAsia="Helvetica Neue"/>
          <w:lang w:val="en-GB"/>
        </w:rPr>
        <w:t xml:space="preserve"> </w:t>
      </w:r>
      <w:proofErr w:type="spellStart"/>
      <w:r w:rsidRPr="00082413">
        <w:rPr>
          <w:rStyle w:val="None"/>
          <w:rFonts w:eastAsia="Helvetica Neue"/>
          <w:lang w:val="en-GB"/>
        </w:rPr>
        <w:t>Orsola</w:t>
      </w:r>
      <w:proofErr w:type="spellEnd"/>
      <w:r w:rsidRPr="00082413">
        <w:rPr>
          <w:rStyle w:val="None"/>
          <w:rFonts w:eastAsia="Helvetica Neue"/>
          <w:lang w:val="en-GB"/>
        </w:rPr>
        <w:t xml:space="preserve"> </w:t>
      </w:r>
      <w:proofErr w:type="spellStart"/>
      <w:r w:rsidRPr="00082413">
        <w:rPr>
          <w:rStyle w:val="None"/>
          <w:rFonts w:eastAsia="Helvetica Neue"/>
          <w:lang w:val="en-GB"/>
        </w:rPr>
        <w:t>Benincasa</w:t>
      </w:r>
      <w:proofErr w:type="spellEnd"/>
      <w:r w:rsidRPr="00082413">
        <w:rPr>
          <w:rStyle w:val="None"/>
          <w:rFonts w:eastAsia="Helvetica Neue"/>
          <w:lang w:val="en-GB"/>
        </w:rPr>
        <w:t xml:space="preserve"> University of Naples.</w:t>
      </w:r>
    </w:p>
  </w:footnote>
  <w:footnote w:id="25">
    <w:p w14:paraId="6274C273" w14:textId="08F559D6" w:rsidR="008E0D83" w:rsidRPr="00082413" w:rsidRDefault="008E0D83" w:rsidP="001A3B30">
      <w:pPr>
        <w:pStyle w:val="Footnote"/>
      </w:pPr>
      <w:r w:rsidRPr="00082413">
        <w:rPr>
          <w:rStyle w:val="None"/>
          <w:rFonts w:eastAsia="Helvetica Neue"/>
          <w:shd w:val="clear" w:color="auto" w:fill="FFFFFF"/>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20" w:history="1">
        <w:r w:rsidRPr="00082413">
          <w:rPr>
            <w:rStyle w:val="Hyperlink"/>
            <w:rFonts w:eastAsia="Helvetica Neue" w:cs="Arial"/>
          </w:rPr>
          <w:t>http://www.garantenazionaleprivatiliberta.it/gnpl/it/rapporti.page</w:t>
        </w:r>
      </w:hyperlink>
      <w:r w:rsidRPr="00082413">
        <w:rPr>
          <w:rStyle w:val="None"/>
          <w:rFonts w:eastAsia="Helvetica Neue"/>
          <w:lang w:val="en-GB"/>
        </w:rPr>
        <w:t>.</w:t>
      </w:r>
    </w:p>
  </w:footnote>
  <w:footnote w:id="26">
    <w:p w14:paraId="3454A38C" w14:textId="57648B08" w:rsidR="008E0D83" w:rsidRPr="00082413" w:rsidRDefault="008E0D83" w:rsidP="001A3B30">
      <w:pPr>
        <w:pStyle w:val="Footnote"/>
      </w:pPr>
      <w:r w:rsidRPr="00082413">
        <w:rPr>
          <w:rStyle w:val="None"/>
          <w:rFonts w:eastAsia="Helvetica Neue"/>
          <w:shd w:val="clear" w:color="auto" w:fill="FFFFFF"/>
          <w:vertAlign w:val="superscript"/>
          <w:lang w:val="en-GB"/>
        </w:rPr>
        <w:footnoteRef/>
      </w:r>
      <w:r w:rsidRPr="00082413">
        <w:rPr>
          <w:rFonts w:eastAsia="Arial Unicode MS"/>
        </w:rPr>
        <w:t xml:space="preserve"> </w:t>
      </w:r>
      <w:r w:rsidRPr="00082413">
        <w:rPr>
          <w:rFonts w:eastAsia="Arial Unicode MS"/>
        </w:rPr>
        <w:tab/>
        <w:t xml:space="preserve">See </w:t>
      </w:r>
      <w:hyperlink r:id="rId21" w:history="1">
        <w:r w:rsidRPr="00082413">
          <w:rPr>
            <w:rStyle w:val="Hyperlink"/>
            <w:rFonts w:eastAsia="Arial Unicode MS" w:cs="Arial"/>
          </w:rPr>
          <w:t>http://www.garantenazionaleprivatiliberta.it/gnpl/it/pub_rel_par.page</w:t>
        </w:r>
      </w:hyperlink>
      <w:r w:rsidRPr="00082413">
        <w:rPr>
          <w:rFonts w:eastAsia="Arial Unicode MS"/>
        </w:rPr>
        <w:t xml:space="preserve">. </w:t>
      </w:r>
    </w:p>
  </w:footnote>
  <w:footnote w:id="27">
    <w:p w14:paraId="2E130FAC" w14:textId="6D805D56" w:rsidR="008E0D83" w:rsidRPr="00082413" w:rsidRDefault="008E0D83" w:rsidP="001A3B30">
      <w:pPr>
        <w:pStyle w:val="Footnote"/>
      </w:pPr>
      <w:r w:rsidRPr="00082413">
        <w:rPr>
          <w:rStyle w:val="FootnoteReference"/>
        </w:rPr>
        <w:footnoteRef/>
      </w:r>
      <w:r w:rsidRPr="00082413">
        <w:t xml:space="preserve"> </w:t>
      </w:r>
      <w:r w:rsidRPr="00082413">
        <w:tab/>
        <w:t xml:space="preserve">The alternative report can be downloaded at </w:t>
      </w:r>
      <w:hyperlink r:id="rId22" w:history="1">
        <w:r w:rsidRPr="00082413">
          <w:rPr>
            <w:rStyle w:val="Hyperlink"/>
            <w:rFonts w:cs="Arial"/>
          </w:rPr>
          <w:t>http://www.superando.it/files/2016/03/fid-rapporto-convenzione-marzo-2016.pdf</w:t>
        </w:r>
      </w:hyperlink>
      <w:r w:rsidRPr="00082413">
        <w:t>.</w:t>
      </w:r>
    </w:p>
  </w:footnote>
  <w:footnote w:id="28">
    <w:p w14:paraId="2C4CFCD9"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ab/>
        <w:t xml:space="preserve">See </w:t>
      </w:r>
      <w:hyperlink r:id="rId23" w:history="1">
        <w:r w:rsidRPr="00082413">
          <w:rPr>
            <w:rStyle w:val="Hyperlink"/>
            <w:rFonts w:eastAsia="Arial"/>
          </w:rPr>
          <w:t>www.superando.it</w:t>
        </w:r>
      </w:hyperlink>
      <w:r w:rsidRPr="00082413">
        <w:rPr>
          <w:rStyle w:val="Hyperlink5"/>
          <w:lang w:val="en-GB"/>
        </w:rPr>
        <w:t>,</w:t>
      </w:r>
      <w:r w:rsidRPr="00082413">
        <w:rPr>
          <w:rStyle w:val="None"/>
          <w:rFonts w:eastAsia="Helvetica Neue"/>
          <w:lang w:val="en-GB"/>
        </w:rPr>
        <w:t xml:space="preserve"> searching for ‘</w:t>
      </w:r>
      <w:proofErr w:type="spellStart"/>
      <w:r w:rsidRPr="00082413">
        <w:rPr>
          <w:rStyle w:val="None"/>
          <w:rFonts w:eastAsia="Helvetica Neue"/>
          <w:lang w:val="en-GB"/>
        </w:rPr>
        <w:t>istituzionalizzazione</w:t>
      </w:r>
      <w:proofErr w:type="spellEnd"/>
      <w:r w:rsidRPr="00082413">
        <w:rPr>
          <w:rStyle w:val="None"/>
          <w:rFonts w:eastAsia="Helvetica Neue"/>
          <w:lang w:val="en-GB"/>
        </w:rPr>
        <w:t>’.</w:t>
      </w:r>
    </w:p>
  </w:footnote>
  <w:footnote w:id="29">
    <w:p w14:paraId="208CCFA0" w14:textId="77777777"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ab/>
        <w:t xml:space="preserve">Beadle-Brown, J. and </w:t>
      </w:r>
      <w:proofErr w:type="spellStart"/>
      <w:r w:rsidRPr="00082413">
        <w:rPr>
          <w:rStyle w:val="None"/>
          <w:rFonts w:eastAsia="Helvetica Neue"/>
          <w:lang w:val="en-GB"/>
        </w:rPr>
        <w:t>Kozma</w:t>
      </w:r>
      <w:proofErr w:type="spellEnd"/>
      <w:r w:rsidRPr="00082413">
        <w:rPr>
          <w:rStyle w:val="None"/>
          <w:rFonts w:eastAsia="Helvetica Neue"/>
          <w:lang w:val="en-GB"/>
        </w:rPr>
        <w:t xml:space="preserve">, A., </w:t>
      </w:r>
      <w:r w:rsidRPr="00082413">
        <w:rPr>
          <w:rStyle w:val="None"/>
          <w:rFonts w:eastAsia="Helvetica Neue"/>
          <w:i/>
          <w:lang w:val="en-GB"/>
        </w:rPr>
        <w:t>Deinstitutionalisation and community living – outcomes and costs (DECLOC)</w:t>
      </w:r>
      <w:r w:rsidRPr="00082413">
        <w:rPr>
          <w:rStyle w:val="None"/>
          <w:rFonts w:eastAsia="Helvetica Neue"/>
          <w:lang w:val="en-GB"/>
        </w:rPr>
        <w:t>, report of a European Study, Vol. 3: Country Reports, Tizard Centre, University of Kent, Canterbury, 2007.</w:t>
      </w:r>
    </w:p>
  </w:footnote>
  <w:footnote w:id="30">
    <w:p w14:paraId="5505E8D8" w14:textId="6CCC56A9"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Decree of the Ministry of Labour and Social Policies, 14 May 2015 ‘Allocation of the tributary financial resources to the Fund for non-self-sufficiency, for the year 2015’, art. 3.</w:t>
      </w:r>
    </w:p>
  </w:footnote>
  <w:footnote w:id="31">
    <w:p w14:paraId="5EC27764" w14:textId="420B1114"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Deliberation No 444 of 3 June 2014 (L.R. No. 66 of 2008) </w:t>
      </w:r>
      <w:r w:rsidRPr="00082413">
        <w:rPr>
          <w:rStyle w:val="None"/>
          <w:rFonts w:eastAsia="Helvetica Neue"/>
          <w:lang w:val="en-GB"/>
        </w:rPr>
        <w:t>‘</w:t>
      </w:r>
      <w:r w:rsidRPr="00082413">
        <w:rPr>
          <w:rFonts w:eastAsia="Arial Unicode MS"/>
        </w:rPr>
        <w:t xml:space="preserve">Establishment of the regional fund for non-self-sufficiency’, Year 2014: allocation to the Zone/District of the fund for non-self-sufficiency. – </w:t>
      </w:r>
      <w:proofErr w:type="spellStart"/>
      <w:r w:rsidRPr="00082413">
        <w:rPr>
          <w:rFonts w:eastAsia="Arial Unicode MS"/>
        </w:rPr>
        <w:t>Bollettino</w:t>
      </w:r>
      <w:proofErr w:type="spellEnd"/>
      <w:r w:rsidRPr="00082413">
        <w:rPr>
          <w:rFonts w:eastAsia="Arial Unicode MS"/>
        </w:rPr>
        <w:t xml:space="preserve"> </w:t>
      </w:r>
      <w:proofErr w:type="spellStart"/>
      <w:r w:rsidRPr="00082413">
        <w:rPr>
          <w:rFonts w:eastAsia="Arial Unicode MS"/>
        </w:rPr>
        <w:t>ufficiale</w:t>
      </w:r>
      <w:proofErr w:type="spellEnd"/>
      <w:r w:rsidRPr="00082413">
        <w:rPr>
          <w:rFonts w:eastAsia="Arial Unicode MS"/>
        </w:rPr>
        <w:t xml:space="preserve"> </w:t>
      </w:r>
      <w:proofErr w:type="spellStart"/>
      <w:r w:rsidRPr="00082413">
        <w:rPr>
          <w:rFonts w:eastAsia="Arial Unicode MS"/>
        </w:rPr>
        <w:t>della</w:t>
      </w:r>
      <w:proofErr w:type="spellEnd"/>
      <w:r w:rsidRPr="00082413">
        <w:rPr>
          <w:rFonts w:eastAsia="Arial Unicode MS"/>
        </w:rPr>
        <w:t xml:space="preserve"> </w:t>
      </w:r>
      <w:proofErr w:type="spellStart"/>
      <w:r w:rsidRPr="00082413">
        <w:rPr>
          <w:rFonts w:eastAsia="Arial Unicode MS"/>
        </w:rPr>
        <w:t>Regione</w:t>
      </w:r>
      <w:proofErr w:type="spellEnd"/>
      <w:r w:rsidRPr="00082413">
        <w:rPr>
          <w:rFonts w:eastAsia="Arial Unicode MS"/>
        </w:rPr>
        <w:t xml:space="preserve"> Toscana No. 23 of 1 June 2014.</w:t>
      </w:r>
    </w:p>
  </w:footnote>
  <w:footnote w:id="32">
    <w:p w14:paraId="656B17C2" w14:textId="1807E683"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ISTAT, </w:t>
      </w:r>
      <w:r w:rsidRPr="00082413">
        <w:rPr>
          <w:rStyle w:val="None"/>
          <w:rFonts w:eastAsia="Helvetica Neue"/>
          <w:i/>
          <w:lang w:val="en-GB"/>
        </w:rPr>
        <w:t xml:space="preserve">Disability in Italy: Il </w:t>
      </w:r>
      <w:proofErr w:type="spellStart"/>
      <w:r w:rsidRPr="00082413">
        <w:rPr>
          <w:rStyle w:val="None"/>
          <w:rFonts w:eastAsia="Helvetica Neue"/>
          <w:i/>
          <w:lang w:val="en-GB"/>
        </w:rPr>
        <w:t>quadro</w:t>
      </w:r>
      <w:proofErr w:type="spellEnd"/>
      <w:r w:rsidRPr="00082413">
        <w:rPr>
          <w:rStyle w:val="None"/>
          <w:rFonts w:eastAsia="Helvetica Neue"/>
          <w:i/>
          <w:lang w:val="en-GB"/>
        </w:rPr>
        <w:t xml:space="preserve"> </w:t>
      </w:r>
      <w:proofErr w:type="spellStart"/>
      <w:r w:rsidRPr="00082413">
        <w:rPr>
          <w:rStyle w:val="None"/>
          <w:rFonts w:eastAsia="Helvetica Neue"/>
          <w:i/>
          <w:lang w:val="en-GB"/>
        </w:rPr>
        <w:t>della</w:t>
      </w:r>
      <w:proofErr w:type="spellEnd"/>
      <w:r w:rsidRPr="00082413">
        <w:rPr>
          <w:rStyle w:val="None"/>
          <w:rFonts w:eastAsia="Helvetica Neue"/>
          <w:i/>
          <w:lang w:val="en-GB"/>
        </w:rPr>
        <w:t xml:space="preserve"> </w:t>
      </w:r>
      <w:proofErr w:type="spellStart"/>
      <w:r w:rsidRPr="00082413">
        <w:rPr>
          <w:rStyle w:val="None"/>
          <w:rFonts w:eastAsia="Helvetica Neue"/>
          <w:i/>
          <w:lang w:val="en-GB"/>
        </w:rPr>
        <w:t>statistica</w:t>
      </w:r>
      <w:proofErr w:type="spellEnd"/>
      <w:r w:rsidRPr="00082413">
        <w:rPr>
          <w:rStyle w:val="None"/>
          <w:rFonts w:eastAsia="Helvetica Neue"/>
          <w:i/>
          <w:lang w:val="en-GB"/>
        </w:rPr>
        <w:t xml:space="preserve"> </w:t>
      </w:r>
      <w:proofErr w:type="spellStart"/>
      <w:r w:rsidRPr="00082413">
        <w:rPr>
          <w:rStyle w:val="None"/>
          <w:rFonts w:eastAsia="Helvetica Neue"/>
          <w:i/>
          <w:lang w:val="en-GB"/>
        </w:rPr>
        <w:t>ufficiale</w:t>
      </w:r>
      <w:proofErr w:type="spellEnd"/>
      <w:r w:rsidRPr="00082413">
        <w:rPr>
          <w:rStyle w:val="None"/>
          <w:rFonts w:eastAsia="Helvetica Neue"/>
          <w:lang w:val="en-GB"/>
        </w:rPr>
        <w:t>, 2009.</w:t>
      </w:r>
    </w:p>
  </w:footnote>
  <w:footnote w:id="33">
    <w:p w14:paraId="587B64E9" w14:textId="220FCEBD"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r>
      <w:proofErr w:type="spellStart"/>
      <w:r w:rsidRPr="00082413">
        <w:rPr>
          <w:rStyle w:val="None"/>
          <w:rFonts w:eastAsia="Helvetica Neue"/>
          <w:lang w:val="en-GB"/>
        </w:rPr>
        <w:t>Censis</w:t>
      </w:r>
      <w:proofErr w:type="spellEnd"/>
      <w:r w:rsidRPr="00082413">
        <w:rPr>
          <w:rStyle w:val="None"/>
          <w:rFonts w:eastAsia="Helvetica Neue"/>
          <w:lang w:val="en-GB"/>
        </w:rPr>
        <w:t xml:space="preserve">, </w:t>
      </w:r>
      <w:proofErr w:type="spellStart"/>
      <w:r w:rsidRPr="00082413">
        <w:rPr>
          <w:rStyle w:val="None"/>
          <w:rFonts w:eastAsia="Helvetica Neue"/>
          <w:i/>
          <w:lang w:val="en-GB"/>
        </w:rPr>
        <w:t>Diario</w:t>
      </w:r>
      <w:proofErr w:type="spellEnd"/>
      <w:r w:rsidRPr="00082413">
        <w:rPr>
          <w:rStyle w:val="None"/>
          <w:rFonts w:eastAsia="Helvetica Neue"/>
          <w:i/>
          <w:lang w:val="en-GB"/>
        </w:rPr>
        <w:t xml:space="preserve"> </w:t>
      </w:r>
      <w:proofErr w:type="spellStart"/>
      <w:r w:rsidRPr="00082413">
        <w:rPr>
          <w:rStyle w:val="None"/>
          <w:rFonts w:eastAsia="Helvetica Neue"/>
          <w:i/>
          <w:lang w:val="en-GB"/>
        </w:rPr>
        <w:t>della</w:t>
      </w:r>
      <w:proofErr w:type="spellEnd"/>
      <w:r w:rsidRPr="00082413">
        <w:rPr>
          <w:rStyle w:val="None"/>
          <w:rFonts w:eastAsia="Helvetica Neue"/>
          <w:i/>
          <w:lang w:val="en-GB"/>
        </w:rPr>
        <w:t xml:space="preserve"> </w:t>
      </w:r>
      <w:proofErr w:type="spellStart"/>
      <w:r w:rsidRPr="00082413">
        <w:rPr>
          <w:rStyle w:val="None"/>
          <w:rFonts w:eastAsia="Helvetica Neue"/>
          <w:i/>
          <w:lang w:val="en-GB"/>
        </w:rPr>
        <w:t>transizione</w:t>
      </w:r>
      <w:proofErr w:type="spellEnd"/>
      <w:r w:rsidRPr="00082413">
        <w:rPr>
          <w:rStyle w:val="None"/>
          <w:rFonts w:eastAsia="Helvetica Neue"/>
          <w:lang w:val="en-GB"/>
        </w:rPr>
        <w:t xml:space="preserve">, issue 3, 2014. </w:t>
      </w:r>
    </w:p>
  </w:footnote>
  <w:footnote w:id="34">
    <w:p w14:paraId="10DB2D04" w14:textId="092D2017"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See </w:t>
      </w:r>
      <w:hyperlink r:id="rId24" w:history="1">
        <w:r w:rsidRPr="00082413">
          <w:rPr>
            <w:rStyle w:val="Hyperlink"/>
            <w:rFonts w:eastAsia="Arial Unicode MS" w:cs="Arial"/>
          </w:rPr>
          <w:t>http://www.garantenazionaleprivatiliberta.it/gnpl/it/pub_rel_par.page</w:t>
        </w:r>
      </w:hyperlink>
      <w:r w:rsidRPr="00082413">
        <w:rPr>
          <w:rFonts w:eastAsia="Arial Unicode MS"/>
        </w:rPr>
        <w:t xml:space="preserve">. </w:t>
      </w:r>
    </w:p>
  </w:footnote>
  <w:footnote w:id="35">
    <w:p w14:paraId="435ABB49" w14:textId="62E6F26B"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See </w:t>
      </w:r>
      <w:hyperlink r:id="rId25" w:history="1">
        <w:r w:rsidRPr="00082413">
          <w:rPr>
            <w:rStyle w:val="Hyperlink"/>
            <w:rFonts w:eastAsia="Arial Unicode MS" w:cs="Arial"/>
          </w:rPr>
          <w:t>http://www.garantenazionaleprivatiliberta.it/gnpl/it/pub_rel_par.page</w:t>
        </w:r>
      </w:hyperlink>
      <w:r w:rsidRPr="00082413">
        <w:rPr>
          <w:rFonts w:eastAsia="Arial Unicode MS"/>
        </w:rPr>
        <w:t>.</w:t>
      </w:r>
    </w:p>
  </w:footnote>
  <w:footnote w:id="36">
    <w:p w14:paraId="0ACFA847" w14:textId="15A12A78"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t xml:space="preserve">See </w:t>
      </w:r>
      <w:hyperlink r:id="rId26" w:history="1">
        <w:r w:rsidRPr="00082413">
          <w:rPr>
            <w:rStyle w:val="Hyperlink"/>
            <w:rFonts w:eastAsia="Arial Unicode MS" w:cs="Arial"/>
          </w:rPr>
          <w:t>http://www.grusol.it/pubblicaN.asp</w:t>
        </w:r>
      </w:hyperlink>
      <w:r w:rsidRPr="00082413">
        <w:rPr>
          <w:rFonts w:eastAsia="Arial Unicode MS"/>
        </w:rPr>
        <w:t>.</w:t>
      </w:r>
    </w:p>
  </w:footnote>
  <w:footnote w:id="37">
    <w:p w14:paraId="5B776D94" w14:textId="07F9CFAF" w:rsidR="008E0D83" w:rsidRPr="00082413" w:rsidRDefault="008E0D83" w:rsidP="001A3B30">
      <w:pPr>
        <w:pStyle w:val="Footnote"/>
      </w:pPr>
      <w:r w:rsidRPr="00082413">
        <w:rPr>
          <w:rStyle w:val="None"/>
          <w:rFonts w:eastAsia="Helvetica Neue"/>
          <w:vertAlign w:val="superscript"/>
          <w:lang w:val="en-GB"/>
        </w:rPr>
        <w:footnoteRef/>
      </w:r>
      <w:r w:rsidRPr="00082413">
        <w:rPr>
          <w:rFonts w:eastAsia="Arial Unicode MS"/>
        </w:rPr>
        <w:t xml:space="preserve"> </w:t>
      </w:r>
      <w:r w:rsidRPr="00082413">
        <w:rPr>
          <w:rFonts w:eastAsia="Arial Unicode MS"/>
        </w:rPr>
        <w:tab/>
      </w:r>
      <w:r w:rsidRPr="00082413">
        <w:t xml:space="preserve">See </w:t>
      </w:r>
      <w:hyperlink r:id="rId27" w:history="1">
        <w:r w:rsidRPr="00082413">
          <w:rPr>
            <w:rStyle w:val="Hyperlink"/>
            <w:rFonts w:eastAsia="Helvetica Neue"/>
          </w:rPr>
          <w:t>http://community-living.info/</w:t>
        </w:r>
      </w:hyperlink>
      <w:r w:rsidRPr="00082413">
        <w:t xml:space="preserve"> on the European Coalition for Community Living. </w:t>
      </w:r>
      <w:r w:rsidRPr="00082413">
        <w:rPr>
          <w:i/>
          <w:iCs/>
        </w:rPr>
        <w:t>Focus on Article 19 of the UN Convention on the Rights of Persons with Disabilities: Focus report 2009</w:t>
      </w:r>
      <w:r w:rsidRPr="00082413">
        <w:t>, see</w:t>
      </w:r>
    </w:p>
    <w:p w14:paraId="0FB3B30A" w14:textId="6F14ED88" w:rsidR="008E0D83" w:rsidRPr="00082413" w:rsidRDefault="0085596D" w:rsidP="00BF4791">
      <w:pPr>
        <w:pStyle w:val="Footnote"/>
        <w:ind w:firstLine="0"/>
        <w:rPr>
          <w:color w:val="222222"/>
        </w:rPr>
      </w:pPr>
      <w:hyperlink r:id="rId28" w:history="1">
        <w:r w:rsidR="008E0D83" w:rsidRPr="00082413">
          <w:rPr>
            <w:rStyle w:val="Hyperlink"/>
            <w:rFonts w:eastAsia="Helvetica Neue"/>
          </w:rPr>
          <w:t>http://community-living.info/wp-content/uploads/2014/02/ECCL-Focus-Report-2009-final-WEB.pdf</w:t>
        </w:r>
      </w:hyperlink>
      <w:r w:rsidR="008E0D83" w:rsidRPr="00082413">
        <w:rPr>
          <w:rStyle w:val="Hyperlink"/>
          <w:rFonts w:eastAsia="Helvetica Neue"/>
          <w:color w:val="000000"/>
          <w:u w:val="none"/>
        </w:rPr>
        <w:t>.</w:t>
      </w:r>
    </w:p>
  </w:footnote>
  <w:footnote w:id="38">
    <w:p w14:paraId="7BE84C2A" w14:textId="4A7ADE21"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29" w:history="1">
        <w:r w:rsidRPr="00082413">
          <w:rPr>
            <w:rStyle w:val="Hyperlink"/>
            <w:rFonts w:eastAsia="Arial"/>
          </w:rPr>
          <w:t>https://sus.regione.sardegna.it/sus/searchprocedure/details/420</w:t>
        </w:r>
      </w:hyperlink>
      <w:r w:rsidRPr="00082413">
        <w:rPr>
          <w:rStyle w:val="Hyperlink"/>
          <w:rFonts w:eastAsia="Helvetica Neue"/>
          <w:u w:val="none"/>
        </w:rPr>
        <w:t>.</w:t>
      </w:r>
    </w:p>
  </w:footnote>
  <w:footnote w:id="39">
    <w:p w14:paraId="19BED6AE" w14:textId="65E569FC"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0" w:history="1">
        <w:r w:rsidRPr="00082413">
          <w:rPr>
            <w:rStyle w:val="Hyperlink"/>
            <w:rFonts w:eastAsia="Arial"/>
          </w:rPr>
          <w:t>https://sus.regione.sardegna.it/sus/searchprocedure/details/409</w:t>
        </w:r>
      </w:hyperlink>
      <w:r w:rsidRPr="00082413">
        <w:rPr>
          <w:rStyle w:val="None"/>
          <w:rFonts w:eastAsia="Helvetica Neue"/>
          <w:lang w:val="en-GB"/>
        </w:rPr>
        <w:t>.</w:t>
      </w:r>
    </w:p>
  </w:footnote>
  <w:footnote w:id="40">
    <w:p w14:paraId="493E8895" w14:textId="74602874" w:rsidR="008E0D83" w:rsidRPr="00082413" w:rsidRDefault="008E0D83" w:rsidP="001A3B30">
      <w:pPr>
        <w:pStyle w:val="Footnote"/>
      </w:pPr>
      <w:r w:rsidRPr="00082413">
        <w:rPr>
          <w:rStyle w:val="None"/>
          <w:rFonts w:eastAsia="Helvetica Neue"/>
          <w:vertAlign w:val="superscript"/>
          <w:lang w:val="en-GB"/>
        </w:rPr>
        <w:footnoteRef/>
      </w:r>
      <w:r w:rsidRPr="00082413">
        <w:t xml:space="preserve"> </w:t>
      </w:r>
      <w:r w:rsidRPr="00082413">
        <w:tab/>
      </w:r>
      <w:r w:rsidRPr="00082413">
        <w:rPr>
          <w:rStyle w:val="None"/>
          <w:rFonts w:eastAsia="Helvetica Neue"/>
          <w:lang w:val="en-GB"/>
        </w:rPr>
        <w:t xml:space="preserve">PO Umbria 2014-2020. </w:t>
      </w:r>
      <w:proofErr w:type="spellStart"/>
      <w:r w:rsidRPr="00082413">
        <w:rPr>
          <w:rStyle w:val="None"/>
          <w:rFonts w:eastAsia="Helvetica Neue"/>
          <w:lang w:val="en-GB"/>
        </w:rPr>
        <w:t>Asse</w:t>
      </w:r>
      <w:proofErr w:type="spellEnd"/>
      <w:r w:rsidRPr="00082413">
        <w:rPr>
          <w:rStyle w:val="None"/>
          <w:rFonts w:eastAsia="Helvetica Neue"/>
          <w:lang w:val="en-GB"/>
        </w:rPr>
        <w:t xml:space="preserve"> 2, </w:t>
      </w:r>
      <w:proofErr w:type="spellStart"/>
      <w:r w:rsidRPr="00082413">
        <w:rPr>
          <w:rStyle w:val="None"/>
          <w:rFonts w:eastAsia="Helvetica Neue"/>
          <w:lang w:val="en-GB"/>
        </w:rPr>
        <w:t>priorità</w:t>
      </w:r>
      <w:proofErr w:type="spellEnd"/>
      <w:r w:rsidRPr="00082413">
        <w:rPr>
          <w:rStyle w:val="None"/>
          <w:rFonts w:eastAsia="Helvetica Neue"/>
          <w:lang w:val="en-GB"/>
        </w:rPr>
        <w:t xml:space="preserve"> di </w:t>
      </w:r>
      <w:proofErr w:type="spellStart"/>
      <w:r w:rsidRPr="00082413">
        <w:rPr>
          <w:rStyle w:val="None"/>
          <w:rFonts w:eastAsia="Helvetica Neue"/>
          <w:lang w:val="en-GB"/>
        </w:rPr>
        <w:t>investimento</w:t>
      </w:r>
      <w:proofErr w:type="spellEnd"/>
      <w:r w:rsidRPr="00082413">
        <w:rPr>
          <w:rStyle w:val="None"/>
          <w:rFonts w:eastAsia="Helvetica Neue"/>
          <w:lang w:val="en-GB"/>
        </w:rPr>
        <w:t xml:space="preserve"> 9.1 - </w:t>
      </w:r>
      <w:proofErr w:type="spellStart"/>
      <w:r w:rsidRPr="00082413">
        <w:rPr>
          <w:rStyle w:val="None"/>
          <w:rFonts w:eastAsia="Helvetica Neue"/>
          <w:lang w:val="en-GB"/>
        </w:rPr>
        <w:t>Obiettivo</w:t>
      </w:r>
      <w:proofErr w:type="spellEnd"/>
      <w:r w:rsidRPr="00082413">
        <w:rPr>
          <w:rStyle w:val="None"/>
          <w:rFonts w:eastAsia="Helvetica Neue"/>
          <w:lang w:val="en-GB"/>
        </w:rPr>
        <w:t xml:space="preserve"> </w:t>
      </w:r>
      <w:proofErr w:type="spellStart"/>
      <w:r w:rsidRPr="00082413">
        <w:rPr>
          <w:rStyle w:val="None"/>
          <w:rFonts w:eastAsia="Helvetica Neue"/>
          <w:lang w:val="en-GB"/>
        </w:rPr>
        <w:t>specifico</w:t>
      </w:r>
      <w:proofErr w:type="spellEnd"/>
      <w:r w:rsidRPr="00082413">
        <w:rPr>
          <w:rStyle w:val="None"/>
          <w:rFonts w:eastAsia="Helvetica Neue"/>
          <w:lang w:val="en-GB"/>
        </w:rPr>
        <w:t xml:space="preserve"> RA 9.2, ‘</w:t>
      </w:r>
      <w:proofErr w:type="spellStart"/>
      <w:r w:rsidRPr="00082413">
        <w:rPr>
          <w:rStyle w:val="None"/>
          <w:rFonts w:eastAsia="Helvetica Neue"/>
          <w:lang w:val="en-GB"/>
        </w:rPr>
        <w:t>Incremento</w:t>
      </w:r>
      <w:proofErr w:type="spellEnd"/>
      <w:r w:rsidRPr="00082413">
        <w:rPr>
          <w:rStyle w:val="None"/>
          <w:rFonts w:eastAsia="Helvetica Neue"/>
          <w:lang w:val="en-GB"/>
        </w:rPr>
        <w:t xml:space="preserve"> </w:t>
      </w:r>
      <w:proofErr w:type="spellStart"/>
      <w:r w:rsidRPr="00082413">
        <w:rPr>
          <w:rStyle w:val="None"/>
          <w:rFonts w:eastAsia="Helvetica Neue"/>
          <w:lang w:val="en-GB"/>
        </w:rPr>
        <w:t>dell’occupabilità</w:t>
      </w:r>
      <w:proofErr w:type="spellEnd"/>
      <w:r w:rsidRPr="00082413">
        <w:rPr>
          <w:rStyle w:val="None"/>
          <w:rFonts w:eastAsia="Helvetica Neue"/>
          <w:lang w:val="en-GB"/>
        </w:rPr>
        <w:t xml:space="preserve"> e </w:t>
      </w:r>
      <w:proofErr w:type="spellStart"/>
      <w:r w:rsidRPr="00082413">
        <w:rPr>
          <w:rStyle w:val="None"/>
          <w:rFonts w:eastAsia="Helvetica Neue"/>
          <w:lang w:val="en-GB"/>
        </w:rPr>
        <w:t>della</w:t>
      </w:r>
      <w:proofErr w:type="spellEnd"/>
      <w:r w:rsidRPr="00082413">
        <w:rPr>
          <w:rStyle w:val="None"/>
          <w:rFonts w:eastAsia="Helvetica Neue"/>
          <w:lang w:val="en-GB"/>
        </w:rPr>
        <w:t xml:space="preserve"> </w:t>
      </w:r>
      <w:proofErr w:type="spellStart"/>
      <w:r w:rsidRPr="00082413">
        <w:rPr>
          <w:rStyle w:val="None"/>
          <w:rFonts w:eastAsia="Helvetica Neue"/>
          <w:lang w:val="en-GB"/>
        </w:rPr>
        <w:t>partecipazione</w:t>
      </w:r>
      <w:proofErr w:type="spellEnd"/>
      <w:r w:rsidRPr="00082413">
        <w:rPr>
          <w:rStyle w:val="None"/>
          <w:rFonts w:eastAsia="Helvetica Neue"/>
          <w:lang w:val="en-GB"/>
        </w:rPr>
        <w:t xml:space="preserve"> al </w:t>
      </w:r>
      <w:proofErr w:type="spellStart"/>
      <w:r w:rsidRPr="00082413">
        <w:rPr>
          <w:rStyle w:val="None"/>
          <w:rFonts w:eastAsia="Helvetica Neue"/>
          <w:lang w:val="en-GB"/>
        </w:rPr>
        <w:t>mercato</w:t>
      </w:r>
      <w:proofErr w:type="spellEnd"/>
      <w:r w:rsidRPr="00082413">
        <w:rPr>
          <w:rStyle w:val="None"/>
          <w:rFonts w:eastAsia="Helvetica Neue"/>
          <w:lang w:val="en-GB"/>
        </w:rPr>
        <w:t xml:space="preserve"> del </w:t>
      </w:r>
      <w:proofErr w:type="spellStart"/>
      <w:r w:rsidRPr="00082413">
        <w:rPr>
          <w:rStyle w:val="None"/>
          <w:rFonts w:eastAsia="Helvetica Neue"/>
          <w:lang w:val="en-GB"/>
        </w:rPr>
        <w:t>lavoro</w:t>
      </w:r>
      <w:proofErr w:type="spellEnd"/>
      <w:r w:rsidRPr="00082413">
        <w:rPr>
          <w:rStyle w:val="None"/>
          <w:rFonts w:eastAsia="Helvetica Neue"/>
          <w:lang w:val="en-GB"/>
        </w:rPr>
        <w:t xml:space="preserve"> </w:t>
      </w:r>
      <w:proofErr w:type="spellStart"/>
      <w:r w:rsidRPr="00082413">
        <w:rPr>
          <w:rStyle w:val="None"/>
          <w:rFonts w:eastAsia="Helvetica Neue"/>
          <w:lang w:val="en-GB"/>
        </w:rPr>
        <w:t>attraverso</w:t>
      </w:r>
      <w:proofErr w:type="spellEnd"/>
      <w:r w:rsidRPr="00082413">
        <w:rPr>
          <w:rStyle w:val="None"/>
          <w:rFonts w:eastAsia="Helvetica Neue"/>
          <w:lang w:val="en-GB"/>
        </w:rPr>
        <w:t xml:space="preserve"> </w:t>
      </w:r>
      <w:proofErr w:type="spellStart"/>
      <w:r w:rsidRPr="00082413">
        <w:rPr>
          <w:rStyle w:val="None"/>
          <w:rFonts w:eastAsia="Helvetica Neue"/>
          <w:lang w:val="en-GB"/>
        </w:rPr>
        <w:t>percorsi</w:t>
      </w:r>
      <w:proofErr w:type="spellEnd"/>
      <w:r w:rsidRPr="00082413">
        <w:rPr>
          <w:rStyle w:val="None"/>
          <w:rFonts w:eastAsia="Helvetica Neue"/>
          <w:lang w:val="en-GB"/>
        </w:rPr>
        <w:t xml:space="preserve"> </w:t>
      </w:r>
      <w:proofErr w:type="spellStart"/>
      <w:r w:rsidRPr="00082413">
        <w:rPr>
          <w:rStyle w:val="None"/>
          <w:rFonts w:eastAsia="Helvetica Neue"/>
          <w:lang w:val="en-GB"/>
        </w:rPr>
        <w:t>integrati</w:t>
      </w:r>
      <w:proofErr w:type="spellEnd"/>
      <w:r w:rsidRPr="00082413">
        <w:rPr>
          <w:rStyle w:val="None"/>
          <w:rFonts w:eastAsia="Helvetica Neue"/>
          <w:lang w:val="en-GB"/>
        </w:rPr>
        <w:t xml:space="preserve"> e </w:t>
      </w:r>
      <w:proofErr w:type="spellStart"/>
      <w:r w:rsidRPr="00082413">
        <w:rPr>
          <w:rStyle w:val="None"/>
          <w:rFonts w:eastAsia="Helvetica Neue"/>
          <w:lang w:val="en-GB"/>
        </w:rPr>
        <w:t>multidimensionali</w:t>
      </w:r>
      <w:proofErr w:type="spellEnd"/>
      <w:r w:rsidRPr="00082413">
        <w:rPr>
          <w:rStyle w:val="None"/>
          <w:rFonts w:eastAsia="Helvetica Neue"/>
          <w:lang w:val="en-GB"/>
        </w:rPr>
        <w:t xml:space="preserve"> di </w:t>
      </w:r>
      <w:proofErr w:type="spellStart"/>
      <w:r w:rsidRPr="00082413">
        <w:rPr>
          <w:rStyle w:val="None"/>
          <w:rFonts w:eastAsia="Helvetica Neue"/>
          <w:lang w:val="en-GB"/>
        </w:rPr>
        <w:t>inclusione</w:t>
      </w:r>
      <w:proofErr w:type="spellEnd"/>
      <w:r w:rsidRPr="00082413">
        <w:rPr>
          <w:rStyle w:val="None"/>
          <w:rFonts w:eastAsia="Helvetica Neue"/>
          <w:lang w:val="en-GB"/>
        </w:rPr>
        <w:t xml:space="preserve"> </w:t>
      </w:r>
      <w:proofErr w:type="spellStart"/>
      <w:r w:rsidRPr="00082413">
        <w:rPr>
          <w:rStyle w:val="None"/>
          <w:rFonts w:eastAsia="Helvetica Neue"/>
          <w:lang w:val="en-GB"/>
        </w:rPr>
        <w:t>attiva</w:t>
      </w:r>
      <w:proofErr w:type="spellEnd"/>
      <w:r w:rsidRPr="00082413">
        <w:rPr>
          <w:rStyle w:val="None"/>
          <w:rFonts w:eastAsia="Helvetica Neue"/>
          <w:lang w:val="en-GB"/>
        </w:rPr>
        <w:t xml:space="preserve"> </w:t>
      </w:r>
      <w:proofErr w:type="spellStart"/>
      <w:r w:rsidRPr="00082413">
        <w:rPr>
          <w:rStyle w:val="None"/>
          <w:rFonts w:eastAsia="Helvetica Neue"/>
          <w:lang w:val="en-GB"/>
        </w:rPr>
        <w:t>delle</w:t>
      </w:r>
      <w:proofErr w:type="spellEnd"/>
      <w:r w:rsidRPr="00082413">
        <w:rPr>
          <w:rStyle w:val="None"/>
          <w:rFonts w:eastAsia="Helvetica Neue"/>
          <w:lang w:val="en-GB"/>
        </w:rPr>
        <w:t xml:space="preserve"> </w:t>
      </w:r>
      <w:proofErr w:type="spellStart"/>
      <w:r w:rsidRPr="00082413">
        <w:rPr>
          <w:rStyle w:val="None"/>
          <w:rFonts w:eastAsia="Helvetica Neue"/>
          <w:lang w:val="en-GB"/>
        </w:rPr>
        <w:t>persone</w:t>
      </w:r>
      <w:proofErr w:type="spellEnd"/>
      <w:r w:rsidRPr="00082413">
        <w:rPr>
          <w:rStyle w:val="None"/>
          <w:rFonts w:eastAsia="Helvetica Neue"/>
          <w:lang w:val="en-GB"/>
        </w:rPr>
        <w:t xml:space="preserve"> </w:t>
      </w:r>
      <w:proofErr w:type="spellStart"/>
      <w:r w:rsidRPr="00082413">
        <w:rPr>
          <w:rStyle w:val="None"/>
          <w:rFonts w:eastAsia="Helvetica Neue"/>
          <w:lang w:val="en-GB"/>
        </w:rPr>
        <w:t>maggiormente</w:t>
      </w:r>
      <w:proofErr w:type="spellEnd"/>
      <w:r w:rsidRPr="00082413">
        <w:rPr>
          <w:rStyle w:val="None"/>
          <w:rFonts w:eastAsia="Helvetica Neue"/>
          <w:lang w:val="en-GB"/>
        </w:rPr>
        <w:t xml:space="preserve"> </w:t>
      </w:r>
      <w:proofErr w:type="spellStart"/>
      <w:r w:rsidRPr="00082413">
        <w:rPr>
          <w:rStyle w:val="None"/>
          <w:rFonts w:eastAsia="Helvetica Neue"/>
          <w:lang w:val="en-GB"/>
        </w:rPr>
        <w:t>vulnerabili</w:t>
      </w:r>
      <w:proofErr w:type="spellEnd"/>
      <w:r w:rsidRPr="00082413">
        <w:rPr>
          <w:rStyle w:val="None"/>
          <w:rFonts w:eastAsia="Helvetica Neue"/>
          <w:lang w:val="en-GB"/>
        </w:rPr>
        <w:t>’, specific intervention, ‘</w:t>
      </w:r>
      <w:proofErr w:type="spellStart"/>
      <w:r w:rsidRPr="00082413">
        <w:rPr>
          <w:rStyle w:val="None"/>
          <w:rFonts w:eastAsia="Helvetica Neue"/>
          <w:lang w:val="en-GB"/>
        </w:rPr>
        <w:t>Potenziamento</w:t>
      </w:r>
      <w:proofErr w:type="spellEnd"/>
      <w:r w:rsidRPr="00082413">
        <w:rPr>
          <w:rStyle w:val="None"/>
          <w:rFonts w:eastAsia="Helvetica Neue"/>
          <w:lang w:val="en-GB"/>
        </w:rPr>
        <w:t xml:space="preserve"> </w:t>
      </w:r>
      <w:proofErr w:type="spellStart"/>
      <w:r w:rsidRPr="00082413">
        <w:rPr>
          <w:rStyle w:val="None"/>
          <w:rFonts w:eastAsia="Helvetica Neue"/>
          <w:lang w:val="en-GB"/>
        </w:rPr>
        <w:t>delle</w:t>
      </w:r>
      <w:proofErr w:type="spellEnd"/>
      <w:r w:rsidRPr="00082413">
        <w:rPr>
          <w:rStyle w:val="None"/>
          <w:rFonts w:eastAsia="Helvetica Neue"/>
          <w:lang w:val="en-GB"/>
        </w:rPr>
        <w:t xml:space="preserve"> </w:t>
      </w:r>
      <w:proofErr w:type="spellStart"/>
      <w:r w:rsidRPr="00082413">
        <w:rPr>
          <w:rStyle w:val="None"/>
          <w:rFonts w:eastAsia="Helvetica Neue"/>
          <w:lang w:val="en-GB"/>
        </w:rPr>
        <w:t>autonomie</w:t>
      </w:r>
      <w:proofErr w:type="spellEnd"/>
      <w:r w:rsidRPr="00082413">
        <w:rPr>
          <w:rStyle w:val="None"/>
          <w:rFonts w:eastAsia="Helvetica Neue"/>
          <w:lang w:val="en-GB"/>
        </w:rPr>
        <w:t xml:space="preserve"> </w:t>
      </w:r>
      <w:proofErr w:type="spellStart"/>
      <w:r w:rsidRPr="00082413">
        <w:rPr>
          <w:rStyle w:val="None"/>
          <w:rFonts w:eastAsia="Helvetica Neue"/>
          <w:lang w:val="en-GB"/>
        </w:rPr>
        <w:t>possibili</w:t>
      </w:r>
      <w:proofErr w:type="spellEnd"/>
      <w:r w:rsidRPr="00082413">
        <w:rPr>
          <w:rStyle w:val="None"/>
          <w:rFonts w:eastAsia="Helvetica Neue"/>
          <w:lang w:val="en-GB"/>
        </w:rPr>
        <w:t xml:space="preserve">. </w:t>
      </w:r>
      <w:proofErr w:type="spellStart"/>
      <w:r w:rsidRPr="00082413">
        <w:rPr>
          <w:rStyle w:val="None"/>
          <w:rFonts w:eastAsia="Helvetica Neue"/>
          <w:lang w:val="en-GB"/>
        </w:rPr>
        <w:t>Sperimentazione</w:t>
      </w:r>
      <w:proofErr w:type="spellEnd"/>
      <w:r w:rsidRPr="00082413">
        <w:rPr>
          <w:rStyle w:val="None"/>
          <w:rFonts w:eastAsia="Helvetica Neue"/>
          <w:lang w:val="en-GB"/>
        </w:rPr>
        <w:t xml:space="preserve"> di Vita </w:t>
      </w:r>
      <w:proofErr w:type="spellStart"/>
      <w:r w:rsidRPr="00082413">
        <w:rPr>
          <w:rStyle w:val="None"/>
          <w:rFonts w:eastAsia="Helvetica Neue"/>
          <w:lang w:val="en-GB"/>
        </w:rPr>
        <w:t>Indipendente</w:t>
      </w:r>
      <w:proofErr w:type="spellEnd"/>
      <w:r w:rsidRPr="00082413">
        <w:rPr>
          <w:rStyle w:val="None"/>
          <w:rFonts w:eastAsia="Helvetica Neue"/>
          <w:lang w:val="en-GB"/>
        </w:rPr>
        <w:t xml:space="preserve">’, </w:t>
      </w:r>
      <w:hyperlink r:id="rId31" w:history="1">
        <w:r w:rsidRPr="00082413">
          <w:rPr>
            <w:rStyle w:val="Hyperlink"/>
            <w:rFonts w:eastAsia="Arial"/>
          </w:rPr>
          <w:t>http://www.regione.umbria.it/sociale/vita-indipendente</w:t>
        </w:r>
      </w:hyperlink>
      <w:r w:rsidRPr="00082413">
        <w:rPr>
          <w:rStyle w:val="Hyperlink"/>
          <w:rFonts w:eastAsia="Arial"/>
          <w:u w:val="none"/>
        </w:rPr>
        <w:t>.</w:t>
      </w:r>
    </w:p>
  </w:footnote>
  <w:footnote w:id="41">
    <w:p w14:paraId="7F0A9EE2" w14:textId="27FCDAC2"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Friuli-Venezia Giulia Regional Council, </w:t>
      </w:r>
      <w:r w:rsidRPr="00082413">
        <w:rPr>
          <w:rStyle w:val="None"/>
          <w:rFonts w:eastAsia="Helvetica Neue"/>
          <w:i/>
          <w:iCs/>
          <w:lang w:val="en-GB"/>
        </w:rPr>
        <w:t xml:space="preserve">LR 41/1996 Art. 1- </w:t>
      </w:r>
      <w:proofErr w:type="spellStart"/>
      <w:r w:rsidRPr="00082413">
        <w:rPr>
          <w:rStyle w:val="None"/>
          <w:rFonts w:eastAsia="Helvetica Neue"/>
          <w:i/>
          <w:iCs/>
          <w:lang w:val="en-GB"/>
        </w:rPr>
        <w:t>Avvio</w:t>
      </w:r>
      <w:proofErr w:type="spellEnd"/>
      <w:r w:rsidRPr="00082413">
        <w:rPr>
          <w:rStyle w:val="None"/>
          <w:rFonts w:eastAsia="Helvetica Neue"/>
          <w:i/>
          <w:iCs/>
          <w:lang w:val="en-GB"/>
        </w:rPr>
        <w:t xml:space="preserve"> di un </w:t>
      </w:r>
      <w:proofErr w:type="spellStart"/>
      <w:r w:rsidRPr="00082413">
        <w:rPr>
          <w:rStyle w:val="None"/>
          <w:rFonts w:eastAsia="Helvetica Neue"/>
          <w:i/>
          <w:iCs/>
          <w:lang w:val="en-GB"/>
        </w:rPr>
        <w:t>percorso</w:t>
      </w:r>
      <w:proofErr w:type="spellEnd"/>
      <w:r w:rsidRPr="00082413">
        <w:rPr>
          <w:rStyle w:val="None"/>
          <w:rFonts w:eastAsia="Helvetica Neue"/>
          <w:i/>
          <w:iCs/>
          <w:lang w:val="en-GB"/>
        </w:rPr>
        <w:t xml:space="preserve"> per la </w:t>
      </w:r>
      <w:proofErr w:type="spellStart"/>
      <w:r w:rsidRPr="00082413">
        <w:rPr>
          <w:rStyle w:val="None"/>
          <w:rFonts w:eastAsia="Helvetica Neue"/>
          <w:i/>
          <w:iCs/>
          <w:lang w:val="en-GB"/>
        </w:rPr>
        <w:t>valutazione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delle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condizioni</w:t>
      </w:r>
      <w:proofErr w:type="spellEnd"/>
      <w:r w:rsidRPr="00082413">
        <w:rPr>
          <w:rStyle w:val="None"/>
          <w:rFonts w:eastAsia="Helvetica Neue"/>
          <w:i/>
          <w:iCs/>
          <w:lang w:val="en-GB"/>
        </w:rPr>
        <w:t xml:space="preserve"> di vita </w:t>
      </w:r>
      <w:proofErr w:type="spellStart"/>
      <w:r w:rsidRPr="00082413">
        <w:rPr>
          <w:rStyle w:val="None"/>
          <w:rFonts w:eastAsia="Helvetica Neue"/>
          <w:i/>
          <w:iCs/>
          <w:lang w:val="en-GB"/>
        </w:rPr>
        <w:t>delle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persone</w:t>
      </w:r>
      <w:proofErr w:type="spellEnd"/>
      <w:r w:rsidRPr="00082413">
        <w:rPr>
          <w:rStyle w:val="None"/>
          <w:rFonts w:eastAsia="Helvetica Neue"/>
          <w:i/>
          <w:iCs/>
          <w:lang w:val="en-GB"/>
        </w:rPr>
        <w:t xml:space="preserve"> con </w:t>
      </w:r>
      <w:proofErr w:type="spellStart"/>
      <w:r w:rsidRPr="00082413">
        <w:rPr>
          <w:rStyle w:val="None"/>
          <w:rFonts w:eastAsia="Helvetica Neue"/>
          <w:i/>
          <w:iCs/>
          <w:lang w:val="en-GB"/>
        </w:rPr>
        <w:t>disabilità</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che</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usufruiscono</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dei</w:t>
      </w:r>
      <w:proofErr w:type="spellEnd"/>
      <w:r w:rsidRPr="00082413">
        <w:rPr>
          <w:rStyle w:val="None"/>
          <w:rFonts w:eastAsia="Helvetica Neue"/>
          <w:i/>
          <w:iCs/>
          <w:lang w:val="en-GB"/>
        </w:rPr>
        <w:t xml:space="preserve"> </w:t>
      </w:r>
      <w:proofErr w:type="spellStart"/>
      <w:r w:rsidRPr="00082413">
        <w:rPr>
          <w:rStyle w:val="None"/>
          <w:rFonts w:eastAsia="Helvetica Neue"/>
          <w:i/>
          <w:iCs/>
          <w:lang w:val="en-GB"/>
        </w:rPr>
        <w:t>servizi</w:t>
      </w:r>
      <w:proofErr w:type="spellEnd"/>
      <w:r w:rsidRPr="00082413">
        <w:rPr>
          <w:rStyle w:val="None"/>
          <w:rFonts w:eastAsia="Helvetica Neue"/>
          <w:i/>
          <w:iCs/>
          <w:lang w:val="en-GB"/>
        </w:rPr>
        <w:t xml:space="preserve"> a regime </w:t>
      </w:r>
      <w:proofErr w:type="spellStart"/>
      <w:r w:rsidRPr="00082413">
        <w:rPr>
          <w:rStyle w:val="None"/>
          <w:rFonts w:eastAsia="Helvetica Neue"/>
          <w:i/>
          <w:iCs/>
          <w:lang w:val="en-GB"/>
        </w:rPr>
        <w:t>semiresidenziale</w:t>
      </w:r>
      <w:proofErr w:type="spellEnd"/>
      <w:r w:rsidRPr="00082413">
        <w:rPr>
          <w:rStyle w:val="None"/>
          <w:rFonts w:eastAsia="Helvetica Neue"/>
          <w:i/>
          <w:iCs/>
          <w:lang w:val="en-GB"/>
        </w:rPr>
        <w:t xml:space="preserve"> e </w:t>
      </w:r>
      <w:proofErr w:type="spellStart"/>
      <w:r w:rsidRPr="00082413">
        <w:rPr>
          <w:rStyle w:val="None"/>
          <w:rFonts w:eastAsia="Helvetica Neue"/>
          <w:i/>
          <w:iCs/>
          <w:lang w:val="en-GB"/>
        </w:rPr>
        <w:t>residenziale</w:t>
      </w:r>
      <w:proofErr w:type="spellEnd"/>
      <w:r w:rsidRPr="00082413">
        <w:rPr>
          <w:rStyle w:val="None"/>
          <w:rFonts w:eastAsia="Helvetica Neue"/>
          <w:lang w:val="en-GB"/>
        </w:rPr>
        <w:t xml:space="preserve">, </w:t>
      </w:r>
      <w:proofErr w:type="spellStart"/>
      <w:r w:rsidRPr="00082413">
        <w:rPr>
          <w:rStyle w:val="None"/>
          <w:rFonts w:eastAsia="Helvetica Neue"/>
          <w:lang w:val="en-GB"/>
        </w:rPr>
        <w:t>Delibera</w:t>
      </w:r>
      <w:proofErr w:type="spellEnd"/>
      <w:r w:rsidRPr="00082413">
        <w:rPr>
          <w:rStyle w:val="None"/>
          <w:rFonts w:eastAsia="Helvetica Neue"/>
          <w:lang w:val="en-GB"/>
        </w:rPr>
        <w:t xml:space="preserve"> No 370, 2017.</w:t>
      </w:r>
    </w:p>
  </w:footnote>
  <w:footnote w:id="42">
    <w:p w14:paraId="557E2D60" w14:textId="3BFFCF09" w:rsidR="008E0D83" w:rsidRPr="00082413" w:rsidRDefault="008E0D83" w:rsidP="001A3B30">
      <w:pPr>
        <w:pStyle w:val="Footnote"/>
      </w:pPr>
      <w:r w:rsidRPr="00082413">
        <w:rPr>
          <w:rStyle w:val="FootnoteReference"/>
        </w:rPr>
        <w:footnoteRef/>
      </w:r>
      <w:r w:rsidRPr="00082413">
        <w:t xml:space="preserve"> </w:t>
      </w:r>
      <w:r w:rsidRPr="00082413">
        <w:tab/>
      </w:r>
      <w:proofErr w:type="spellStart"/>
      <w:r w:rsidRPr="00082413">
        <w:t>Regione</w:t>
      </w:r>
      <w:proofErr w:type="spellEnd"/>
      <w:r w:rsidRPr="00082413">
        <w:t xml:space="preserve"> Toscana, </w:t>
      </w:r>
      <w:r w:rsidRPr="00082413">
        <w:rPr>
          <w:bCs/>
          <w:i/>
        </w:rPr>
        <w:t xml:space="preserve">La </w:t>
      </w:r>
      <w:proofErr w:type="spellStart"/>
      <w:r w:rsidRPr="00082413">
        <w:rPr>
          <w:bCs/>
          <w:i/>
        </w:rPr>
        <w:t>disabilità</w:t>
      </w:r>
      <w:proofErr w:type="spellEnd"/>
      <w:r w:rsidRPr="00082413">
        <w:rPr>
          <w:bCs/>
          <w:i/>
        </w:rPr>
        <w:t xml:space="preserve"> in Toscana: </w:t>
      </w:r>
      <w:r w:rsidRPr="00082413">
        <w:rPr>
          <w:i/>
        </w:rPr>
        <w:t xml:space="preserve">Secondo </w:t>
      </w:r>
      <w:proofErr w:type="spellStart"/>
      <w:r w:rsidRPr="00082413">
        <w:rPr>
          <w:i/>
        </w:rPr>
        <w:t>rapporto</w:t>
      </w:r>
      <w:proofErr w:type="spellEnd"/>
      <w:r w:rsidRPr="00082413">
        <w:rPr>
          <w:i/>
        </w:rPr>
        <w:t xml:space="preserve"> - Anno 2016, </w:t>
      </w:r>
      <w:proofErr w:type="spellStart"/>
      <w:r w:rsidRPr="00082413">
        <w:t>Osservatorio</w:t>
      </w:r>
      <w:proofErr w:type="spellEnd"/>
      <w:r w:rsidRPr="00082413">
        <w:t xml:space="preserve"> </w:t>
      </w:r>
      <w:proofErr w:type="spellStart"/>
      <w:r w:rsidRPr="00082413">
        <w:t>regionale</w:t>
      </w:r>
      <w:proofErr w:type="spellEnd"/>
      <w:r w:rsidRPr="00082413">
        <w:t xml:space="preserve"> </w:t>
      </w:r>
      <w:proofErr w:type="spellStart"/>
      <w:r w:rsidRPr="00082413">
        <w:t>sociale</w:t>
      </w:r>
      <w:proofErr w:type="spellEnd"/>
      <w:r w:rsidRPr="00082413">
        <w:t xml:space="preserve">, Florence, 2017, p. 80; see </w:t>
      </w:r>
      <w:hyperlink r:id="rId32" w:history="1">
        <w:r w:rsidRPr="00082413">
          <w:rPr>
            <w:rStyle w:val="Hyperlink"/>
            <w:rFonts w:eastAsia="Helvetica Neue"/>
          </w:rPr>
          <w:t>http://www.regione.toscana.it/osservatoriosocialeregionale/attivita/disabilita/le-pubblicazioni</w:t>
        </w:r>
      </w:hyperlink>
      <w:r w:rsidRPr="00082413">
        <w:rPr>
          <w:rStyle w:val="Hyperlink"/>
          <w:rFonts w:eastAsia="Helvetica Neue"/>
          <w:u w:val="none"/>
        </w:rPr>
        <w:t>.</w:t>
      </w:r>
      <w:r w:rsidRPr="00082413">
        <w:t xml:space="preserve"> </w:t>
      </w:r>
    </w:p>
  </w:footnote>
  <w:footnote w:id="43">
    <w:p w14:paraId="649F9DA8" w14:textId="20A513FC"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3" w:history="1">
        <w:r w:rsidRPr="00082413">
          <w:rPr>
            <w:rStyle w:val="Hyperlink"/>
            <w:rFonts w:eastAsia="Arial"/>
          </w:rPr>
          <w:t>http://www.centroperlautonomia.it</w:t>
        </w:r>
      </w:hyperlink>
      <w:r w:rsidRPr="00082413">
        <w:rPr>
          <w:rStyle w:val="Hyperlink"/>
          <w:rFonts w:eastAsia="Arial"/>
          <w:u w:val="none"/>
        </w:rPr>
        <w:t>.</w:t>
      </w:r>
      <w:r w:rsidRPr="00082413">
        <w:rPr>
          <w:rStyle w:val="None"/>
          <w:rFonts w:eastAsia="Helvetica Neue"/>
          <w:lang w:val="en-GB"/>
        </w:rPr>
        <w:t xml:space="preserve"> </w:t>
      </w:r>
    </w:p>
  </w:footnote>
  <w:footnote w:id="44">
    <w:p w14:paraId="5A701171" w14:textId="71F6E32C"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4" w:history="1">
        <w:r w:rsidRPr="00082413">
          <w:rPr>
            <w:rStyle w:val="Hyperlink"/>
          </w:rPr>
          <w:t>http://www.cpaonline.it</w:t>
        </w:r>
      </w:hyperlink>
      <w:r w:rsidRPr="00082413">
        <w:rPr>
          <w:rStyle w:val="Hyperlink7"/>
          <w:lang w:val="en-GB"/>
        </w:rPr>
        <w:t>.</w:t>
      </w:r>
    </w:p>
  </w:footnote>
  <w:footnote w:id="45">
    <w:p w14:paraId="185A0CF8" w14:textId="2775F783" w:rsidR="008E0D83" w:rsidRPr="00082413" w:rsidRDefault="008E0D83" w:rsidP="001A3B30">
      <w:pPr>
        <w:pStyle w:val="Footnote"/>
      </w:pPr>
      <w:r w:rsidRPr="00082413">
        <w:rPr>
          <w:rStyle w:val="None"/>
          <w:rFonts w:eastAsia="Helvetica Neue"/>
          <w:iCs/>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5" w:history="1">
        <w:r w:rsidRPr="00082413">
          <w:rPr>
            <w:rStyle w:val="Hyperlink"/>
            <w:rFonts w:eastAsia="Arial"/>
          </w:rPr>
          <w:t>https://www.centrostudidivi.unito.it/progetti/officina-per-la-vita-indipendente</w:t>
        </w:r>
      </w:hyperlink>
      <w:r w:rsidRPr="00082413">
        <w:rPr>
          <w:rStyle w:val="Hyperlink1"/>
          <w:lang w:val="en-GB"/>
        </w:rPr>
        <w:t>.</w:t>
      </w:r>
      <w:r w:rsidRPr="00082413">
        <w:rPr>
          <w:rStyle w:val="None"/>
          <w:rFonts w:eastAsia="Helvetica Neue"/>
          <w:lang w:val="en-GB"/>
        </w:rPr>
        <w:t xml:space="preserve"> </w:t>
      </w:r>
    </w:p>
  </w:footnote>
  <w:footnote w:id="46">
    <w:p w14:paraId="51B055AB" w14:textId="5942178D"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6" w:history="1">
        <w:r w:rsidRPr="00082413">
          <w:rPr>
            <w:rStyle w:val="Hyperlink"/>
          </w:rPr>
          <w:t>http://www.laboratoriolinc.it/</w:t>
        </w:r>
      </w:hyperlink>
      <w:r w:rsidRPr="00082413">
        <w:rPr>
          <w:rStyle w:val="Hyperlink"/>
          <w:u w:val="none"/>
        </w:rPr>
        <w:t>.</w:t>
      </w:r>
    </w:p>
  </w:footnote>
  <w:footnote w:id="47">
    <w:p w14:paraId="74D35736" w14:textId="1111F3CC"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7" w:history="1">
        <w:r w:rsidRPr="00082413">
          <w:rPr>
            <w:rStyle w:val="Hyperlink"/>
            <w:rFonts w:eastAsia="Arial"/>
          </w:rPr>
          <w:t>http://www.secondowelfare.it/governi-locali/habitat-microaree-unesperienza-di-welfare-di-comunita-a-trieste.html</w:t>
        </w:r>
      </w:hyperlink>
      <w:r w:rsidRPr="00082413">
        <w:rPr>
          <w:rStyle w:val="Hyperlink1"/>
          <w:lang w:val="en-GB"/>
        </w:rPr>
        <w:t>.</w:t>
      </w:r>
    </w:p>
  </w:footnote>
  <w:footnote w:id="48">
    <w:p w14:paraId="6AC5A781" w14:textId="0EFAC246" w:rsidR="008E0D83" w:rsidRPr="00082413" w:rsidRDefault="008E0D83" w:rsidP="001A3B30">
      <w:pPr>
        <w:pStyle w:val="Footnote"/>
      </w:pPr>
      <w:r w:rsidRPr="00082413">
        <w:rPr>
          <w:rStyle w:val="None"/>
          <w:rFonts w:eastAsia="Helvetica Neue"/>
          <w:vertAlign w:val="superscript"/>
          <w:lang w:val="en-GB"/>
        </w:rPr>
        <w:footnoteRef/>
      </w:r>
      <w:r w:rsidRPr="00082413">
        <w:rPr>
          <w:rStyle w:val="None"/>
          <w:rFonts w:eastAsia="Helvetica Neue"/>
          <w:lang w:val="en-GB"/>
        </w:rPr>
        <w:t xml:space="preserve"> </w:t>
      </w:r>
      <w:r w:rsidRPr="00082413">
        <w:rPr>
          <w:rStyle w:val="None"/>
          <w:rFonts w:eastAsia="Helvetica Neue"/>
          <w:lang w:val="en-GB"/>
        </w:rPr>
        <w:tab/>
        <w:t xml:space="preserve">See </w:t>
      </w:r>
      <w:hyperlink r:id="rId38" w:history="1">
        <w:r w:rsidRPr="00082413">
          <w:rPr>
            <w:rStyle w:val="Hyperlink"/>
            <w:rFonts w:eastAsia="Arial"/>
          </w:rPr>
          <w:t>http://www.fishonlus.it/segregazione/category/abusi-e-violenze/</w:t>
        </w:r>
      </w:hyperlink>
      <w:r w:rsidRPr="00082413">
        <w:rPr>
          <w:rStyle w:val="None"/>
          <w:rFonts w:eastAsia="Helvetica Neue"/>
          <w:lang w:val="en-GB"/>
        </w:rPr>
        <w:t xml:space="preserve"> and </w:t>
      </w:r>
      <w:hyperlink r:id="rId39" w:history="1">
        <w:r w:rsidRPr="00082413">
          <w:rPr>
            <w:rStyle w:val="Hyperlink"/>
            <w:rFonts w:eastAsia="Arial"/>
          </w:rPr>
          <w:t>http://www.fishonlus.it/segregazione/category/segregazione/</w:t>
        </w:r>
      </w:hyperlink>
      <w:r w:rsidRPr="00082413">
        <w:rPr>
          <w:rStyle w:val="Hyperlink9"/>
          <w:lang w:val="en-GB"/>
        </w:rPr>
        <w:t>.</w:t>
      </w:r>
      <w:r w:rsidRPr="00082413">
        <w:rPr>
          <w:rStyle w:val="None"/>
          <w:rFonts w:eastAsia="Helvetica Neue"/>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BE075" w14:textId="408A5A11" w:rsidR="008E0D83" w:rsidRDefault="008E0D83" w:rsidP="00D9246D">
    <w:pPr>
      <w:pStyle w:val="Header"/>
      <w:tabs>
        <w:tab w:val="clear" w:pos="9072"/>
        <w:tab w:val="right" w:pos="9063"/>
      </w:tabs>
    </w:pPr>
  </w:p>
  <w:p w14:paraId="16AE1ACA" w14:textId="3FAA6B2E" w:rsidR="008E0D83" w:rsidRDefault="008E0D83" w:rsidP="00D9246D">
    <w:pPr>
      <w:pStyle w:val="Header"/>
      <w:tabs>
        <w:tab w:val="clear" w:pos="9072"/>
        <w:tab w:val="right" w:pos="9063"/>
      </w:tabs>
    </w:pPr>
  </w:p>
  <w:p w14:paraId="07DEA69F" w14:textId="03AACC40" w:rsidR="008E0D83" w:rsidRDefault="008E0D83" w:rsidP="00D9246D">
    <w:pPr>
      <w:pStyle w:val="Header"/>
      <w:tabs>
        <w:tab w:val="clear" w:pos="9072"/>
        <w:tab w:val="right" w:pos="9063"/>
      </w:tabs>
    </w:pPr>
  </w:p>
  <w:p w14:paraId="4A6A665A" w14:textId="5B4E9A93" w:rsidR="008E0D83" w:rsidRDefault="008E0D83" w:rsidP="00A75929">
    <w:pPr>
      <w:pStyle w:val="Header"/>
      <w:tabs>
        <w:tab w:val="clear" w:pos="9072"/>
        <w:tab w:val="right" w:pos="9063"/>
      </w:tabs>
      <w:jc w:val="center"/>
      <w:rPr>
        <w:sz w:val="16"/>
        <w:szCs w:val="16"/>
      </w:rPr>
    </w:pPr>
    <w:r>
      <w:rPr>
        <w:sz w:val="16"/>
        <w:szCs w:val="16"/>
      </w:rPr>
      <w:t>ANED 2018-19 – Living independently and being included in the community – country report</w:t>
    </w:r>
  </w:p>
  <w:p w14:paraId="61332102" w14:textId="5BBDF64B" w:rsidR="008E0D83" w:rsidRPr="00A75929" w:rsidRDefault="0085596D" w:rsidP="00A75929">
    <w:pPr>
      <w:pStyle w:val="Header"/>
      <w:tabs>
        <w:tab w:val="clear" w:pos="9072"/>
        <w:tab w:val="right" w:pos="9063"/>
      </w:tabs>
      <w:jc w:val="center"/>
      <w:rPr>
        <w:sz w:val="16"/>
        <w:szCs w:val="16"/>
      </w:rPr>
    </w:pPr>
    <w:r>
      <w:rPr>
        <w:sz w:val="16"/>
        <w:szCs w:val="16"/>
      </w:rPr>
      <w:pict w14:anchorId="219E893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C00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FA37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0862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E6B3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A067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AA4C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B0EC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2E01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E8B2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F00D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5864D3"/>
    <w:multiLevelType w:val="hybridMultilevel"/>
    <w:tmpl w:val="6B565478"/>
    <w:lvl w:ilvl="0" w:tplc="1888856A">
      <w:start w:val="1"/>
      <w:numFmt w:val="bullet"/>
      <w:pStyle w:val="paragraph"/>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C44DBB"/>
    <w:multiLevelType w:val="multilevel"/>
    <w:tmpl w:val="48F8B0AE"/>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5E27CD0"/>
    <w:multiLevelType w:val="multilevel"/>
    <w:tmpl w:val="68D63C5E"/>
    <w:styleLink w:val="ImportedStyle6"/>
    <w:lvl w:ilvl="0">
      <w:start w:val="1"/>
      <w:numFmt w:val="decimal"/>
      <w:lvlText w:val="%1."/>
      <w:lvlJc w:val="left"/>
      <w:pPr>
        <w:ind w:left="927"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7" w:hanging="72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1087" w:hanging="108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7" w:hanging="108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447" w:hanging="144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7" w:hanging="144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807" w:hanging="180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7" w:hanging="180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92519AF"/>
    <w:multiLevelType w:val="hybridMultilevel"/>
    <w:tmpl w:val="FFFFFFFF"/>
    <w:styleLink w:val="ImportedStyle7"/>
    <w:lvl w:ilvl="0" w:tplc="16620E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E2614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9C53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2983F1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B8A8B9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E44EF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FDC29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07ED0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344AD4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FB33187"/>
    <w:multiLevelType w:val="multilevel"/>
    <w:tmpl w:val="D2ACCBDC"/>
    <w:lvl w:ilvl="0">
      <w:start w:val="1"/>
      <w:numFmt w:val="decimal"/>
      <w:lvlText w:val="%1"/>
      <w:lvlJc w:val="left"/>
      <w:pPr>
        <w:ind w:left="574" w:hanging="432"/>
      </w:pPr>
      <w:rPr>
        <w:rFonts w:ascii="Arial" w:hAnsi="Arial" w:hint="default"/>
        <w:b/>
        <w:bCs w:val="0"/>
        <w:i w:val="0"/>
        <w:iCs w:val="0"/>
        <w:caps w:val="0"/>
        <w:smallCaps w:val="0"/>
        <w:strike w:val="0"/>
        <w:dstrike w:val="0"/>
        <w:outline w:val="0"/>
        <w:shadow w:val="0"/>
        <w:emboss w:val="0"/>
        <w:imprint w:val="0"/>
        <w:noProof w:val="0"/>
        <w:vanish w:val="0"/>
        <w:color w:val="000000"/>
        <w:spacing w:val="0"/>
        <w:kern w:val="0"/>
        <w:position w:val="0"/>
        <w:sz w:val="24"/>
        <w:highlight w:val="none"/>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highlight w:val="none"/>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25A5981"/>
    <w:multiLevelType w:val="hybridMultilevel"/>
    <w:tmpl w:val="FFFFFFFF"/>
    <w:styleLink w:val="ImportedStyle11"/>
    <w:lvl w:ilvl="0" w:tplc="C276CEFE">
      <w:start w:val="1"/>
      <w:numFmt w:val="bullet"/>
      <w:lvlText w:val="-"/>
      <w:lvlJc w:val="left"/>
      <w:pPr>
        <w:ind w:left="72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F85FD2">
      <w:start w:val="1"/>
      <w:numFmt w:val="bullet"/>
      <w:lvlText w:val="o"/>
      <w:lvlJc w:val="left"/>
      <w:pPr>
        <w:ind w:left="144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0D8442E">
      <w:start w:val="1"/>
      <w:numFmt w:val="bullet"/>
      <w:lvlText w:val="▪"/>
      <w:lvlJc w:val="left"/>
      <w:pPr>
        <w:ind w:left="216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542AC3E">
      <w:start w:val="1"/>
      <w:numFmt w:val="bullet"/>
      <w:lvlText w:val="•"/>
      <w:lvlJc w:val="left"/>
      <w:pPr>
        <w:ind w:left="288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32ACEC">
      <w:start w:val="1"/>
      <w:numFmt w:val="bullet"/>
      <w:lvlText w:val="o"/>
      <w:lvlJc w:val="left"/>
      <w:pPr>
        <w:ind w:left="360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E89C7E">
      <w:start w:val="1"/>
      <w:numFmt w:val="bullet"/>
      <w:lvlText w:val="▪"/>
      <w:lvlJc w:val="left"/>
      <w:pPr>
        <w:ind w:left="432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2C31F4">
      <w:start w:val="1"/>
      <w:numFmt w:val="bullet"/>
      <w:lvlText w:val="•"/>
      <w:lvlJc w:val="left"/>
      <w:pPr>
        <w:ind w:left="504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418AC96">
      <w:start w:val="1"/>
      <w:numFmt w:val="bullet"/>
      <w:lvlText w:val="o"/>
      <w:lvlJc w:val="left"/>
      <w:pPr>
        <w:ind w:left="576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8E80B4">
      <w:start w:val="1"/>
      <w:numFmt w:val="bullet"/>
      <w:lvlText w:val="▪"/>
      <w:lvlJc w:val="left"/>
      <w:pPr>
        <w:ind w:left="6480" w:hanging="72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8334CC2"/>
    <w:multiLevelType w:val="hybridMultilevel"/>
    <w:tmpl w:val="FFFFFFFF"/>
    <w:styleLink w:val="ImportedStyle4"/>
    <w:lvl w:ilvl="0" w:tplc="C7A6DC7C">
      <w:start w:val="1"/>
      <w:numFmt w:val="bullet"/>
      <w:lvlText w:val="-"/>
      <w:lvlJc w:val="left"/>
      <w:pPr>
        <w:ind w:left="92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E63E96">
      <w:start w:val="1"/>
      <w:numFmt w:val="bullet"/>
      <w:lvlText w:val="o"/>
      <w:lvlJc w:val="left"/>
      <w:pPr>
        <w:ind w:left="164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E563432">
      <w:start w:val="1"/>
      <w:numFmt w:val="bullet"/>
      <w:lvlText w:val="▪"/>
      <w:lvlJc w:val="left"/>
      <w:pPr>
        <w:ind w:left="236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E07214">
      <w:start w:val="1"/>
      <w:numFmt w:val="bullet"/>
      <w:lvlText w:val="•"/>
      <w:lvlJc w:val="left"/>
      <w:pPr>
        <w:ind w:left="308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10ED9E">
      <w:start w:val="1"/>
      <w:numFmt w:val="bullet"/>
      <w:lvlText w:val="o"/>
      <w:lvlJc w:val="left"/>
      <w:pPr>
        <w:ind w:left="380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C52E4B4">
      <w:start w:val="1"/>
      <w:numFmt w:val="bullet"/>
      <w:lvlText w:val="▪"/>
      <w:lvlJc w:val="left"/>
      <w:pPr>
        <w:ind w:left="452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84A28E2">
      <w:start w:val="1"/>
      <w:numFmt w:val="bullet"/>
      <w:lvlText w:val="•"/>
      <w:lvlJc w:val="left"/>
      <w:pPr>
        <w:ind w:left="524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B21FCC">
      <w:start w:val="1"/>
      <w:numFmt w:val="bullet"/>
      <w:lvlText w:val="o"/>
      <w:lvlJc w:val="left"/>
      <w:pPr>
        <w:ind w:left="596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F40E122">
      <w:start w:val="1"/>
      <w:numFmt w:val="bullet"/>
      <w:lvlText w:val="▪"/>
      <w:lvlJc w:val="left"/>
      <w:pPr>
        <w:ind w:left="6687"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8362E52"/>
    <w:multiLevelType w:val="hybridMultilevel"/>
    <w:tmpl w:val="FFFFFFFF"/>
    <w:numStyleLink w:val="ImportedStyle10"/>
  </w:abstractNum>
  <w:abstractNum w:abstractNumId="18" w15:restartNumberingAfterBreak="0">
    <w:nsid w:val="38653A68"/>
    <w:multiLevelType w:val="hybridMultilevel"/>
    <w:tmpl w:val="B43AA158"/>
    <w:lvl w:ilvl="0" w:tplc="4DAADB42">
      <w:start w:val="1"/>
      <w:numFmt w:val="bullet"/>
      <w:pStyle w:val="ListDash"/>
      <w:lvlText w:val="­"/>
      <w:lvlJc w:val="left"/>
      <w:pPr>
        <w:ind w:left="-612" w:hanging="360"/>
      </w:pPr>
      <w:rPr>
        <w:rFonts w:ascii="Times New Roman" w:hAnsi="Times New Roman" w:cs="Times New Roman" w:hint="default"/>
      </w:rPr>
    </w:lvl>
    <w:lvl w:ilvl="1" w:tplc="04090003" w:tentative="1">
      <w:start w:val="1"/>
      <w:numFmt w:val="bullet"/>
      <w:lvlText w:val="o"/>
      <w:lvlJc w:val="left"/>
      <w:pPr>
        <w:ind w:left="108" w:hanging="360"/>
      </w:pPr>
      <w:rPr>
        <w:rFonts w:ascii="Courier New" w:hAnsi="Courier New" w:hint="default"/>
      </w:rPr>
    </w:lvl>
    <w:lvl w:ilvl="2" w:tplc="04090005" w:tentative="1">
      <w:start w:val="1"/>
      <w:numFmt w:val="bullet"/>
      <w:lvlText w:val=""/>
      <w:lvlJc w:val="left"/>
      <w:pPr>
        <w:ind w:left="828" w:hanging="360"/>
      </w:pPr>
      <w:rPr>
        <w:rFonts w:ascii="Wingdings" w:hAnsi="Wingdings" w:hint="default"/>
      </w:rPr>
    </w:lvl>
    <w:lvl w:ilvl="3" w:tplc="04090001" w:tentative="1">
      <w:start w:val="1"/>
      <w:numFmt w:val="bullet"/>
      <w:lvlText w:val=""/>
      <w:lvlJc w:val="left"/>
      <w:pPr>
        <w:ind w:left="1548" w:hanging="360"/>
      </w:pPr>
      <w:rPr>
        <w:rFonts w:ascii="Symbol" w:hAnsi="Symbol" w:hint="default"/>
      </w:rPr>
    </w:lvl>
    <w:lvl w:ilvl="4" w:tplc="04090003" w:tentative="1">
      <w:start w:val="1"/>
      <w:numFmt w:val="bullet"/>
      <w:lvlText w:val="o"/>
      <w:lvlJc w:val="left"/>
      <w:pPr>
        <w:ind w:left="2268" w:hanging="360"/>
      </w:pPr>
      <w:rPr>
        <w:rFonts w:ascii="Courier New" w:hAnsi="Courier New" w:hint="default"/>
      </w:rPr>
    </w:lvl>
    <w:lvl w:ilvl="5" w:tplc="04090005" w:tentative="1">
      <w:start w:val="1"/>
      <w:numFmt w:val="bullet"/>
      <w:lvlText w:val=""/>
      <w:lvlJc w:val="left"/>
      <w:pPr>
        <w:ind w:left="2988" w:hanging="360"/>
      </w:pPr>
      <w:rPr>
        <w:rFonts w:ascii="Wingdings" w:hAnsi="Wingdings" w:hint="default"/>
      </w:rPr>
    </w:lvl>
    <w:lvl w:ilvl="6" w:tplc="04090001" w:tentative="1">
      <w:start w:val="1"/>
      <w:numFmt w:val="bullet"/>
      <w:lvlText w:val=""/>
      <w:lvlJc w:val="left"/>
      <w:pPr>
        <w:ind w:left="3708" w:hanging="360"/>
      </w:pPr>
      <w:rPr>
        <w:rFonts w:ascii="Symbol" w:hAnsi="Symbol" w:hint="default"/>
      </w:rPr>
    </w:lvl>
    <w:lvl w:ilvl="7" w:tplc="04090003" w:tentative="1">
      <w:start w:val="1"/>
      <w:numFmt w:val="bullet"/>
      <w:lvlText w:val="o"/>
      <w:lvlJc w:val="left"/>
      <w:pPr>
        <w:ind w:left="4428" w:hanging="360"/>
      </w:pPr>
      <w:rPr>
        <w:rFonts w:ascii="Courier New" w:hAnsi="Courier New" w:hint="default"/>
      </w:rPr>
    </w:lvl>
    <w:lvl w:ilvl="8" w:tplc="04090005" w:tentative="1">
      <w:start w:val="1"/>
      <w:numFmt w:val="bullet"/>
      <w:lvlText w:val=""/>
      <w:lvlJc w:val="left"/>
      <w:pPr>
        <w:ind w:left="5148" w:hanging="360"/>
      </w:pPr>
      <w:rPr>
        <w:rFonts w:ascii="Wingdings" w:hAnsi="Wingdings" w:hint="default"/>
      </w:rPr>
    </w:lvl>
  </w:abstractNum>
  <w:abstractNum w:abstractNumId="19" w15:restartNumberingAfterBreak="0">
    <w:nsid w:val="3BB6072A"/>
    <w:multiLevelType w:val="hybridMultilevel"/>
    <w:tmpl w:val="FFFFFFFF"/>
    <w:styleLink w:val="ImportedStyle10"/>
    <w:lvl w:ilvl="0" w:tplc="0C487064">
      <w:start w:val="1"/>
      <w:numFmt w:val="decimal"/>
      <w:lvlText w:val="%1."/>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FE457DC">
      <w:start w:val="1"/>
      <w:numFmt w:val="decimal"/>
      <w:lvlText w:val="%2."/>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2A37EC">
      <w:start w:val="1"/>
      <w:numFmt w:val="decimal"/>
      <w:lvlText w:val="%3."/>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668A92">
      <w:start w:val="1"/>
      <w:numFmt w:val="decimal"/>
      <w:lvlText w:val="%4."/>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022428E">
      <w:start w:val="1"/>
      <w:numFmt w:val="decimal"/>
      <w:lvlText w:val="%5."/>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0ADECA">
      <w:start w:val="1"/>
      <w:numFmt w:val="decimal"/>
      <w:lvlText w:val="%6."/>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A18FAEA">
      <w:start w:val="1"/>
      <w:numFmt w:val="decimal"/>
      <w:lvlText w:val="%7."/>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6A641C">
      <w:start w:val="1"/>
      <w:numFmt w:val="decimal"/>
      <w:lvlText w:val="%8."/>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D84F9E">
      <w:start w:val="1"/>
      <w:numFmt w:val="decimal"/>
      <w:lvlText w:val="%9."/>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E0D4634"/>
    <w:multiLevelType w:val="hybridMultilevel"/>
    <w:tmpl w:val="FFFFFFFF"/>
    <w:styleLink w:val="ImportedStyle8"/>
    <w:lvl w:ilvl="0" w:tplc="FDC05E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B16DC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30475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8428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C44A7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6217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32154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5062CB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F0529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0A11C11"/>
    <w:multiLevelType w:val="hybridMultilevel"/>
    <w:tmpl w:val="FFFFFFFF"/>
    <w:numStyleLink w:val="ImportedStyle5"/>
  </w:abstractNum>
  <w:abstractNum w:abstractNumId="22" w15:restartNumberingAfterBreak="0">
    <w:nsid w:val="415B7146"/>
    <w:multiLevelType w:val="hybridMultilevel"/>
    <w:tmpl w:val="59FED9E8"/>
    <w:lvl w:ilvl="0" w:tplc="3F3EC1FA">
      <w:start w:val="1"/>
      <w:numFmt w:val="bullet"/>
      <w:pStyle w:val="fn-opsomming"/>
      <w:lvlText w:val=""/>
      <w:lvlJc w:val="left"/>
      <w:pPr>
        <w:ind w:left="720" w:hanging="360"/>
      </w:pPr>
      <w:rPr>
        <w:rFonts w:ascii="Symbol" w:hAnsi="Symbol" w:hint="default"/>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764BF"/>
    <w:multiLevelType w:val="hybridMultilevel"/>
    <w:tmpl w:val="FFFFFFFF"/>
    <w:styleLink w:val="ImportedStyle5"/>
    <w:lvl w:ilvl="0" w:tplc="7F14B4AA">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28622E4">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7E074F6">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76E3C6">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E982F16">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70C710">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A4E7A5A">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2CF020">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E0EF16A">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8B55E51"/>
    <w:multiLevelType w:val="hybridMultilevel"/>
    <w:tmpl w:val="FFFFFFFF"/>
    <w:numStyleLink w:val="ImportedStyle4"/>
  </w:abstractNum>
  <w:abstractNum w:abstractNumId="25" w15:restartNumberingAfterBreak="0">
    <w:nsid w:val="59502013"/>
    <w:multiLevelType w:val="hybridMultilevel"/>
    <w:tmpl w:val="FFFFFFFF"/>
    <w:styleLink w:val="ImportedStyle3"/>
    <w:lvl w:ilvl="0" w:tplc="7F8A451C">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F8656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22A000">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4472DA">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36990A">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2BA9582">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F4E178">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B2CAEE">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E1488C0">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A07749A"/>
    <w:multiLevelType w:val="hybridMultilevel"/>
    <w:tmpl w:val="FFFFFFFF"/>
    <w:numStyleLink w:val="ImportedStyle3"/>
  </w:abstractNum>
  <w:abstractNum w:abstractNumId="27" w15:restartNumberingAfterBreak="0">
    <w:nsid w:val="5D6C360C"/>
    <w:multiLevelType w:val="hybridMultilevel"/>
    <w:tmpl w:val="FFFFFFFF"/>
    <w:styleLink w:val="ImportedStyle9"/>
    <w:lvl w:ilvl="0" w:tplc="6E702D86">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0C819D0">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CC83AB4">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06BE04">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2D41440">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E6960E">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BC8AAA">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563106">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065B14">
      <w:start w:val="1"/>
      <w:numFmt w:val="bullet"/>
      <w:lvlText w:val="•"/>
      <w:lvlJc w:val="left"/>
      <w:pPr>
        <w:ind w:left="1077"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45A7562"/>
    <w:multiLevelType w:val="multilevel"/>
    <w:tmpl w:val="FFF0461E"/>
    <w:styleLink w:val="ImportedStyle1"/>
    <w:lvl w:ilvl="0">
      <w:start w:val="1"/>
      <w:numFmt w:val="decimal"/>
      <w:lvlText w:val="%1."/>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0" w:hanging="57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7E0273A"/>
    <w:multiLevelType w:val="hybridMultilevel"/>
    <w:tmpl w:val="FFFFFFFF"/>
    <w:numStyleLink w:val="ImportedStyle11"/>
  </w:abstractNum>
  <w:num w:numId="1">
    <w:abstractNumId w:val="18"/>
  </w:num>
  <w:num w:numId="2">
    <w:abstractNumId w:val="10"/>
  </w:num>
  <w:num w:numId="3">
    <w:abstractNumId w:val="11"/>
  </w:num>
  <w:num w:numId="4">
    <w:abstractNumId w:val="22"/>
  </w:num>
  <w:num w:numId="5">
    <w:abstractNumId w:val="28"/>
  </w:num>
  <w:num w:numId="6">
    <w:abstractNumId w:val="25"/>
  </w:num>
  <w:num w:numId="7">
    <w:abstractNumId w:val="26"/>
    <w:lvlOverride w:ilvl="0">
      <w:lvl w:ilvl="0" w:tplc="128E0FDC">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14"/>
    <w:lvlOverride w:ilvl="0">
      <w:startOverride w:val="2"/>
    </w:lvlOverride>
  </w:num>
  <w:num w:numId="9">
    <w:abstractNumId w:val="16"/>
  </w:num>
  <w:num w:numId="10">
    <w:abstractNumId w:val="24"/>
  </w:num>
  <w:num w:numId="11">
    <w:abstractNumId w:val="23"/>
  </w:num>
  <w:num w:numId="12">
    <w:abstractNumId w:val="21"/>
  </w:num>
  <w:num w:numId="13">
    <w:abstractNumId w:val="24"/>
    <w:lvlOverride w:ilvl="0">
      <w:lvl w:ilvl="0" w:tplc="6B40DE62">
        <w:start w:val="1"/>
        <w:numFmt w:val="bullet"/>
        <w:lvlText w:val="-"/>
        <w:lvlJc w:val="left"/>
        <w:pPr>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C62D5BC">
        <w:start w:val="1"/>
        <w:numFmt w:val="bullet"/>
        <w:lvlText w:val="o"/>
        <w:lvlJc w:val="left"/>
        <w:pPr>
          <w:ind w:left="100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33A90F4">
        <w:start w:val="1"/>
        <w:numFmt w:val="bullet"/>
        <w:lvlText w:val="▪"/>
        <w:lvlJc w:val="left"/>
        <w:pPr>
          <w:ind w:left="172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4BA56F6">
        <w:start w:val="1"/>
        <w:numFmt w:val="bullet"/>
        <w:lvlText w:val="•"/>
        <w:lvlJc w:val="left"/>
        <w:pPr>
          <w:ind w:left="244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95AB8E0">
        <w:start w:val="1"/>
        <w:numFmt w:val="bullet"/>
        <w:lvlText w:val="o"/>
        <w:lvlJc w:val="left"/>
        <w:pPr>
          <w:ind w:left="316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3EF76C">
        <w:start w:val="1"/>
        <w:numFmt w:val="bullet"/>
        <w:lvlText w:val="▪"/>
        <w:lvlJc w:val="left"/>
        <w:pPr>
          <w:ind w:left="38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6867D2">
        <w:start w:val="1"/>
        <w:numFmt w:val="bullet"/>
        <w:lvlText w:val="•"/>
        <w:lvlJc w:val="left"/>
        <w:pPr>
          <w:ind w:left="460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1D4567A">
        <w:start w:val="1"/>
        <w:numFmt w:val="bullet"/>
        <w:lvlText w:val="o"/>
        <w:lvlJc w:val="left"/>
        <w:pPr>
          <w:ind w:left="532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1A5A5A">
        <w:start w:val="1"/>
        <w:numFmt w:val="bullet"/>
        <w:lvlText w:val="▪"/>
        <w:lvlJc w:val="left"/>
        <w:pPr>
          <w:ind w:left="604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2"/>
  </w:num>
  <w:num w:numId="15">
    <w:abstractNumId w:val="14"/>
    <w:lvlOverride w:ilvl="0">
      <w:startOverride w:val="5"/>
    </w:lvlOverride>
  </w:num>
  <w:num w:numId="16">
    <w:abstractNumId w:val="13"/>
  </w:num>
  <w:num w:numId="17">
    <w:abstractNumId w:val="20"/>
  </w:num>
  <w:num w:numId="18">
    <w:abstractNumId w:val="27"/>
  </w:num>
  <w:num w:numId="19">
    <w:abstractNumId w:val="19"/>
  </w:num>
  <w:num w:numId="20">
    <w:abstractNumId w:val="17"/>
    <w:lvlOverride w:ilvl="1">
      <w:lvl w:ilvl="1" w:tplc="86EEC832">
        <w:start w:val="1"/>
        <w:numFmt w:val="decimal"/>
        <w:lvlText w:val="%2."/>
        <w:lvlJc w:val="left"/>
        <w:pPr>
          <w:ind w:left="284"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17"/>
    <w:lvlOverride w:ilvl="0">
      <w:lvl w:ilvl="0" w:tplc="0F080DB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6EEC832">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614D3DC">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5F8122C">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A641BD8">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F6AD2E4">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F1617BE">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2E212E6">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32047E8">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4"/>
    <w:lvlOverride w:ilvl="0">
      <w:startOverride w:val="7"/>
    </w:lvlOverride>
  </w:num>
  <w:num w:numId="23">
    <w:abstractNumId w:val="15"/>
  </w:num>
  <w:num w:numId="24">
    <w:abstractNumId w:val="29"/>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A8"/>
    <w:rsid w:val="00000C42"/>
    <w:rsid w:val="00000F9D"/>
    <w:rsid w:val="0000778B"/>
    <w:rsid w:val="00010539"/>
    <w:rsid w:val="0001428D"/>
    <w:rsid w:val="0001520A"/>
    <w:rsid w:val="00016347"/>
    <w:rsid w:val="0002056F"/>
    <w:rsid w:val="00024C6E"/>
    <w:rsid w:val="00025E88"/>
    <w:rsid w:val="0003098F"/>
    <w:rsid w:val="00034BDC"/>
    <w:rsid w:val="000356A9"/>
    <w:rsid w:val="00035745"/>
    <w:rsid w:val="00037320"/>
    <w:rsid w:val="0003778A"/>
    <w:rsid w:val="000406B1"/>
    <w:rsid w:val="0004157F"/>
    <w:rsid w:val="00042EE7"/>
    <w:rsid w:val="000443D2"/>
    <w:rsid w:val="00057EF4"/>
    <w:rsid w:val="00062299"/>
    <w:rsid w:val="00062A76"/>
    <w:rsid w:val="00064DFD"/>
    <w:rsid w:val="00066073"/>
    <w:rsid w:val="000660FC"/>
    <w:rsid w:val="0007260F"/>
    <w:rsid w:val="00072A12"/>
    <w:rsid w:val="00073B2F"/>
    <w:rsid w:val="00075499"/>
    <w:rsid w:val="00081C16"/>
    <w:rsid w:val="00082413"/>
    <w:rsid w:val="00082CDF"/>
    <w:rsid w:val="00084D12"/>
    <w:rsid w:val="000878A2"/>
    <w:rsid w:val="000879A0"/>
    <w:rsid w:val="00092E33"/>
    <w:rsid w:val="000951E3"/>
    <w:rsid w:val="00096457"/>
    <w:rsid w:val="000A2941"/>
    <w:rsid w:val="000A4CC8"/>
    <w:rsid w:val="000A526B"/>
    <w:rsid w:val="000A67D1"/>
    <w:rsid w:val="000B71A3"/>
    <w:rsid w:val="000C0E5F"/>
    <w:rsid w:val="000C13CF"/>
    <w:rsid w:val="000C20C7"/>
    <w:rsid w:val="000C478F"/>
    <w:rsid w:val="000D38A0"/>
    <w:rsid w:val="000D65F0"/>
    <w:rsid w:val="000D694B"/>
    <w:rsid w:val="000E1F85"/>
    <w:rsid w:val="000E45A9"/>
    <w:rsid w:val="000E4DBE"/>
    <w:rsid w:val="000E4FCD"/>
    <w:rsid w:val="000E6525"/>
    <w:rsid w:val="000F01D6"/>
    <w:rsid w:val="000F0412"/>
    <w:rsid w:val="000F06D8"/>
    <w:rsid w:val="000F3CF6"/>
    <w:rsid w:val="000F4B86"/>
    <w:rsid w:val="000F684D"/>
    <w:rsid w:val="00100AD3"/>
    <w:rsid w:val="0010587A"/>
    <w:rsid w:val="00106AE9"/>
    <w:rsid w:val="001202A3"/>
    <w:rsid w:val="00120C73"/>
    <w:rsid w:val="00120F42"/>
    <w:rsid w:val="00124141"/>
    <w:rsid w:val="001272F0"/>
    <w:rsid w:val="0013137F"/>
    <w:rsid w:val="00133840"/>
    <w:rsid w:val="001356B6"/>
    <w:rsid w:val="001361FD"/>
    <w:rsid w:val="0014122B"/>
    <w:rsid w:val="00141746"/>
    <w:rsid w:val="0014195C"/>
    <w:rsid w:val="00142FBE"/>
    <w:rsid w:val="00146291"/>
    <w:rsid w:val="00153916"/>
    <w:rsid w:val="00153EF3"/>
    <w:rsid w:val="00154592"/>
    <w:rsid w:val="001568C8"/>
    <w:rsid w:val="00157023"/>
    <w:rsid w:val="001606DA"/>
    <w:rsid w:val="00164D5C"/>
    <w:rsid w:val="001675DA"/>
    <w:rsid w:val="001715A9"/>
    <w:rsid w:val="001718FB"/>
    <w:rsid w:val="00173EF0"/>
    <w:rsid w:val="00175171"/>
    <w:rsid w:val="00177262"/>
    <w:rsid w:val="00181F8A"/>
    <w:rsid w:val="00184363"/>
    <w:rsid w:val="00187F28"/>
    <w:rsid w:val="00191463"/>
    <w:rsid w:val="00191B1B"/>
    <w:rsid w:val="00193D0F"/>
    <w:rsid w:val="001A18A7"/>
    <w:rsid w:val="001A1D48"/>
    <w:rsid w:val="001A3B30"/>
    <w:rsid w:val="001A5EC5"/>
    <w:rsid w:val="001A68D3"/>
    <w:rsid w:val="001A7270"/>
    <w:rsid w:val="001B1F6B"/>
    <w:rsid w:val="001B4619"/>
    <w:rsid w:val="001B5814"/>
    <w:rsid w:val="001B7E4E"/>
    <w:rsid w:val="001C5008"/>
    <w:rsid w:val="001C772C"/>
    <w:rsid w:val="001D1536"/>
    <w:rsid w:val="001D18DD"/>
    <w:rsid w:val="001D1D08"/>
    <w:rsid w:val="001D3986"/>
    <w:rsid w:val="001D4E07"/>
    <w:rsid w:val="001D538F"/>
    <w:rsid w:val="001D5C7C"/>
    <w:rsid w:val="001E24D8"/>
    <w:rsid w:val="001E323A"/>
    <w:rsid w:val="001E46AC"/>
    <w:rsid w:val="001F03B4"/>
    <w:rsid w:val="001F130F"/>
    <w:rsid w:val="001F1486"/>
    <w:rsid w:val="001F23D7"/>
    <w:rsid w:val="001F29C7"/>
    <w:rsid w:val="001F4F89"/>
    <w:rsid w:val="001F647B"/>
    <w:rsid w:val="001F790B"/>
    <w:rsid w:val="0020439B"/>
    <w:rsid w:val="00205446"/>
    <w:rsid w:val="00207D68"/>
    <w:rsid w:val="00211E33"/>
    <w:rsid w:val="002128DE"/>
    <w:rsid w:val="00212EC3"/>
    <w:rsid w:val="00215B40"/>
    <w:rsid w:val="002162E1"/>
    <w:rsid w:val="00220410"/>
    <w:rsid w:val="00221650"/>
    <w:rsid w:val="00225620"/>
    <w:rsid w:val="00225A5F"/>
    <w:rsid w:val="002271B0"/>
    <w:rsid w:val="00227CF2"/>
    <w:rsid w:val="00233560"/>
    <w:rsid w:val="00235DA3"/>
    <w:rsid w:val="00240495"/>
    <w:rsid w:val="002412FC"/>
    <w:rsid w:val="002418DA"/>
    <w:rsid w:val="002438C0"/>
    <w:rsid w:val="00244173"/>
    <w:rsid w:val="00246608"/>
    <w:rsid w:val="00246B72"/>
    <w:rsid w:val="002503DA"/>
    <w:rsid w:val="00250932"/>
    <w:rsid w:val="00251DA1"/>
    <w:rsid w:val="002544F9"/>
    <w:rsid w:val="0025465E"/>
    <w:rsid w:val="002550E0"/>
    <w:rsid w:val="00261365"/>
    <w:rsid w:val="002669FF"/>
    <w:rsid w:val="0026700E"/>
    <w:rsid w:val="002679CD"/>
    <w:rsid w:val="00270F95"/>
    <w:rsid w:val="00272387"/>
    <w:rsid w:val="00272A82"/>
    <w:rsid w:val="00276D62"/>
    <w:rsid w:val="00277C81"/>
    <w:rsid w:val="00277F43"/>
    <w:rsid w:val="002806E6"/>
    <w:rsid w:val="00285241"/>
    <w:rsid w:val="00286583"/>
    <w:rsid w:val="00293733"/>
    <w:rsid w:val="0029474D"/>
    <w:rsid w:val="00295EB0"/>
    <w:rsid w:val="00296E8C"/>
    <w:rsid w:val="0029798E"/>
    <w:rsid w:val="002A0F75"/>
    <w:rsid w:val="002A46C4"/>
    <w:rsid w:val="002A75B1"/>
    <w:rsid w:val="002B23D4"/>
    <w:rsid w:val="002B4EAC"/>
    <w:rsid w:val="002B7C01"/>
    <w:rsid w:val="002D1DAC"/>
    <w:rsid w:val="002D424B"/>
    <w:rsid w:val="002D5772"/>
    <w:rsid w:val="002D6C9B"/>
    <w:rsid w:val="002E01BC"/>
    <w:rsid w:val="002E1882"/>
    <w:rsid w:val="002E291E"/>
    <w:rsid w:val="002E6D32"/>
    <w:rsid w:val="002F2AA6"/>
    <w:rsid w:val="002F6E97"/>
    <w:rsid w:val="002F7C1E"/>
    <w:rsid w:val="003005C0"/>
    <w:rsid w:val="00306CDA"/>
    <w:rsid w:val="00310F1C"/>
    <w:rsid w:val="00311E18"/>
    <w:rsid w:val="00312B78"/>
    <w:rsid w:val="003152A5"/>
    <w:rsid w:val="003158B0"/>
    <w:rsid w:val="003178EA"/>
    <w:rsid w:val="003204C5"/>
    <w:rsid w:val="00321ABD"/>
    <w:rsid w:val="00322399"/>
    <w:rsid w:val="00323E0D"/>
    <w:rsid w:val="003309CD"/>
    <w:rsid w:val="0033326F"/>
    <w:rsid w:val="00336387"/>
    <w:rsid w:val="00336565"/>
    <w:rsid w:val="00343AF5"/>
    <w:rsid w:val="0034700A"/>
    <w:rsid w:val="00347422"/>
    <w:rsid w:val="00350522"/>
    <w:rsid w:val="003536C5"/>
    <w:rsid w:val="0035417C"/>
    <w:rsid w:val="00363299"/>
    <w:rsid w:val="00366B10"/>
    <w:rsid w:val="00377489"/>
    <w:rsid w:val="00380213"/>
    <w:rsid w:val="003806E6"/>
    <w:rsid w:val="0038600B"/>
    <w:rsid w:val="00387954"/>
    <w:rsid w:val="00393556"/>
    <w:rsid w:val="003A35A0"/>
    <w:rsid w:val="003A53B1"/>
    <w:rsid w:val="003A6FFC"/>
    <w:rsid w:val="003A7A70"/>
    <w:rsid w:val="003A7FA4"/>
    <w:rsid w:val="003B4017"/>
    <w:rsid w:val="003B7B0B"/>
    <w:rsid w:val="003B7B78"/>
    <w:rsid w:val="003C04E4"/>
    <w:rsid w:val="003C0DFE"/>
    <w:rsid w:val="003C1AEC"/>
    <w:rsid w:val="003C4F29"/>
    <w:rsid w:val="003C764A"/>
    <w:rsid w:val="003D5D92"/>
    <w:rsid w:val="003D5EBD"/>
    <w:rsid w:val="003E2593"/>
    <w:rsid w:val="003E701D"/>
    <w:rsid w:val="003F5C67"/>
    <w:rsid w:val="00403086"/>
    <w:rsid w:val="00404BD2"/>
    <w:rsid w:val="00406ABF"/>
    <w:rsid w:val="004071FA"/>
    <w:rsid w:val="0041392D"/>
    <w:rsid w:val="00414A48"/>
    <w:rsid w:val="00415F7C"/>
    <w:rsid w:val="00416282"/>
    <w:rsid w:val="00421B31"/>
    <w:rsid w:val="0042249B"/>
    <w:rsid w:val="00422775"/>
    <w:rsid w:val="00426E70"/>
    <w:rsid w:val="00430812"/>
    <w:rsid w:val="00431333"/>
    <w:rsid w:val="00431B0F"/>
    <w:rsid w:val="00432E3E"/>
    <w:rsid w:val="00433A41"/>
    <w:rsid w:val="004343D0"/>
    <w:rsid w:val="00435D81"/>
    <w:rsid w:val="00436114"/>
    <w:rsid w:val="00440512"/>
    <w:rsid w:val="00440FB1"/>
    <w:rsid w:val="00441CE5"/>
    <w:rsid w:val="00441D57"/>
    <w:rsid w:val="004441C6"/>
    <w:rsid w:val="00453BC0"/>
    <w:rsid w:val="004558DE"/>
    <w:rsid w:val="00460843"/>
    <w:rsid w:val="00466B65"/>
    <w:rsid w:val="0046751E"/>
    <w:rsid w:val="004730B1"/>
    <w:rsid w:val="004735B4"/>
    <w:rsid w:val="004768BD"/>
    <w:rsid w:val="004777E0"/>
    <w:rsid w:val="004804FB"/>
    <w:rsid w:val="00482013"/>
    <w:rsid w:val="00486560"/>
    <w:rsid w:val="00492A4A"/>
    <w:rsid w:val="00492ECB"/>
    <w:rsid w:val="004933BA"/>
    <w:rsid w:val="00495993"/>
    <w:rsid w:val="004968B8"/>
    <w:rsid w:val="00497032"/>
    <w:rsid w:val="00497785"/>
    <w:rsid w:val="004A0C1D"/>
    <w:rsid w:val="004A377A"/>
    <w:rsid w:val="004A5610"/>
    <w:rsid w:val="004A5A3F"/>
    <w:rsid w:val="004A62CC"/>
    <w:rsid w:val="004B029B"/>
    <w:rsid w:val="004B1222"/>
    <w:rsid w:val="004B3810"/>
    <w:rsid w:val="004C2404"/>
    <w:rsid w:val="004C2EEC"/>
    <w:rsid w:val="004C3BAA"/>
    <w:rsid w:val="004D239E"/>
    <w:rsid w:val="004D59E2"/>
    <w:rsid w:val="004E6391"/>
    <w:rsid w:val="004E647E"/>
    <w:rsid w:val="004E72D7"/>
    <w:rsid w:val="004F17C1"/>
    <w:rsid w:val="004F3D63"/>
    <w:rsid w:val="004F5107"/>
    <w:rsid w:val="0050165C"/>
    <w:rsid w:val="005058EF"/>
    <w:rsid w:val="0050604C"/>
    <w:rsid w:val="005072F9"/>
    <w:rsid w:val="005078AD"/>
    <w:rsid w:val="00510EDA"/>
    <w:rsid w:val="0051476C"/>
    <w:rsid w:val="005164C4"/>
    <w:rsid w:val="00517E14"/>
    <w:rsid w:val="005250D4"/>
    <w:rsid w:val="00526115"/>
    <w:rsid w:val="005277F5"/>
    <w:rsid w:val="00531377"/>
    <w:rsid w:val="0053579E"/>
    <w:rsid w:val="00537768"/>
    <w:rsid w:val="00537804"/>
    <w:rsid w:val="005405AE"/>
    <w:rsid w:val="00547DC2"/>
    <w:rsid w:val="005509B5"/>
    <w:rsid w:val="00553527"/>
    <w:rsid w:val="0055400D"/>
    <w:rsid w:val="00554093"/>
    <w:rsid w:val="0055561D"/>
    <w:rsid w:val="005566A8"/>
    <w:rsid w:val="00556984"/>
    <w:rsid w:val="00557124"/>
    <w:rsid w:val="00560E46"/>
    <w:rsid w:val="005636F4"/>
    <w:rsid w:val="00564809"/>
    <w:rsid w:val="005672B3"/>
    <w:rsid w:val="005731D2"/>
    <w:rsid w:val="00574C48"/>
    <w:rsid w:val="00574E41"/>
    <w:rsid w:val="00575EC5"/>
    <w:rsid w:val="005769DF"/>
    <w:rsid w:val="00582769"/>
    <w:rsid w:val="0058296F"/>
    <w:rsid w:val="0058509E"/>
    <w:rsid w:val="0059070D"/>
    <w:rsid w:val="005943D9"/>
    <w:rsid w:val="0059770A"/>
    <w:rsid w:val="005A3035"/>
    <w:rsid w:val="005A35A3"/>
    <w:rsid w:val="005A5596"/>
    <w:rsid w:val="005B0F75"/>
    <w:rsid w:val="005B5420"/>
    <w:rsid w:val="005B5FF1"/>
    <w:rsid w:val="005B6200"/>
    <w:rsid w:val="005B6C47"/>
    <w:rsid w:val="005C04A3"/>
    <w:rsid w:val="005C13B9"/>
    <w:rsid w:val="005C19AC"/>
    <w:rsid w:val="005C3AF6"/>
    <w:rsid w:val="005C60A0"/>
    <w:rsid w:val="005C66C2"/>
    <w:rsid w:val="005C689B"/>
    <w:rsid w:val="005D0518"/>
    <w:rsid w:val="005D5530"/>
    <w:rsid w:val="005E2DC2"/>
    <w:rsid w:val="005E6A84"/>
    <w:rsid w:val="005E6CA1"/>
    <w:rsid w:val="005F16A3"/>
    <w:rsid w:val="005F6DB0"/>
    <w:rsid w:val="00601DB1"/>
    <w:rsid w:val="00604CE2"/>
    <w:rsid w:val="006112B2"/>
    <w:rsid w:val="006112C8"/>
    <w:rsid w:val="006113E6"/>
    <w:rsid w:val="00613BCA"/>
    <w:rsid w:val="00615799"/>
    <w:rsid w:val="00622FC0"/>
    <w:rsid w:val="00627A66"/>
    <w:rsid w:val="00631D23"/>
    <w:rsid w:val="00632750"/>
    <w:rsid w:val="00635203"/>
    <w:rsid w:val="0063779A"/>
    <w:rsid w:val="00641ED7"/>
    <w:rsid w:val="006424B4"/>
    <w:rsid w:val="00647DE8"/>
    <w:rsid w:val="006538E4"/>
    <w:rsid w:val="006562A6"/>
    <w:rsid w:val="0067086F"/>
    <w:rsid w:val="006715D1"/>
    <w:rsid w:val="0067229A"/>
    <w:rsid w:val="006747BC"/>
    <w:rsid w:val="006748FF"/>
    <w:rsid w:val="0068094B"/>
    <w:rsid w:val="0068596E"/>
    <w:rsid w:val="00685C94"/>
    <w:rsid w:val="00691D5F"/>
    <w:rsid w:val="00691F9C"/>
    <w:rsid w:val="00694A77"/>
    <w:rsid w:val="00694BF5"/>
    <w:rsid w:val="00697BCA"/>
    <w:rsid w:val="006A4A9E"/>
    <w:rsid w:val="006A6519"/>
    <w:rsid w:val="006A7811"/>
    <w:rsid w:val="006B0FF4"/>
    <w:rsid w:val="006B358D"/>
    <w:rsid w:val="006B54C9"/>
    <w:rsid w:val="006B5886"/>
    <w:rsid w:val="006C05CF"/>
    <w:rsid w:val="006C389A"/>
    <w:rsid w:val="006C420B"/>
    <w:rsid w:val="006C50DB"/>
    <w:rsid w:val="006C6266"/>
    <w:rsid w:val="006C6A02"/>
    <w:rsid w:val="006C783E"/>
    <w:rsid w:val="006D22D6"/>
    <w:rsid w:val="006D44C4"/>
    <w:rsid w:val="006D514E"/>
    <w:rsid w:val="006E10AC"/>
    <w:rsid w:val="006E11CA"/>
    <w:rsid w:val="006E15BA"/>
    <w:rsid w:val="006E3A40"/>
    <w:rsid w:val="006E48B3"/>
    <w:rsid w:val="006E5566"/>
    <w:rsid w:val="006E5E29"/>
    <w:rsid w:val="006E64A0"/>
    <w:rsid w:val="006E7253"/>
    <w:rsid w:val="006F0AF4"/>
    <w:rsid w:val="006F1F7B"/>
    <w:rsid w:val="006F307C"/>
    <w:rsid w:val="006F7382"/>
    <w:rsid w:val="00700206"/>
    <w:rsid w:val="007043E3"/>
    <w:rsid w:val="007045B4"/>
    <w:rsid w:val="007064FC"/>
    <w:rsid w:val="0070652A"/>
    <w:rsid w:val="00707FF0"/>
    <w:rsid w:val="0071002D"/>
    <w:rsid w:val="00716B20"/>
    <w:rsid w:val="00721B66"/>
    <w:rsid w:val="00722576"/>
    <w:rsid w:val="0072301A"/>
    <w:rsid w:val="00724B3D"/>
    <w:rsid w:val="0073132E"/>
    <w:rsid w:val="00731AB7"/>
    <w:rsid w:val="00731DD2"/>
    <w:rsid w:val="007330A1"/>
    <w:rsid w:val="0073779B"/>
    <w:rsid w:val="007402F6"/>
    <w:rsid w:val="00744850"/>
    <w:rsid w:val="00744CC9"/>
    <w:rsid w:val="0074667A"/>
    <w:rsid w:val="007512B1"/>
    <w:rsid w:val="0075371A"/>
    <w:rsid w:val="0075632B"/>
    <w:rsid w:val="00757DB8"/>
    <w:rsid w:val="0076089B"/>
    <w:rsid w:val="00763DA9"/>
    <w:rsid w:val="007645C8"/>
    <w:rsid w:val="00767741"/>
    <w:rsid w:val="00767A6C"/>
    <w:rsid w:val="00774120"/>
    <w:rsid w:val="007764A5"/>
    <w:rsid w:val="00781074"/>
    <w:rsid w:val="007814BD"/>
    <w:rsid w:val="0078250E"/>
    <w:rsid w:val="00783269"/>
    <w:rsid w:val="00785C24"/>
    <w:rsid w:val="00791005"/>
    <w:rsid w:val="007916F7"/>
    <w:rsid w:val="00794320"/>
    <w:rsid w:val="007945C5"/>
    <w:rsid w:val="00795392"/>
    <w:rsid w:val="00796D25"/>
    <w:rsid w:val="00796DA4"/>
    <w:rsid w:val="007A1049"/>
    <w:rsid w:val="007A1EED"/>
    <w:rsid w:val="007A3776"/>
    <w:rsid w:val="007A4B89"/>
    <w:rsid w:val="007A4D57"/>
    <w:rsid w:val="007A7E3C"/>
    <w:rsid w:val="007B28DE"/>
    <w:rsid w:val="007B3359"/>
    <w:rsid w:val="007B4169"/>
    <w:rsid w:val="007C33CF"/>
    <w:rsid w:val="007C6E31"/>
    <w:rsid w:val="007C7F57"/>
    <w:rsid w:val="007D1497"/>
    <w:rsid w:val="007D3250"/>
    <w:rsid w:val="007D6855"/>
    <w:rsid w:val="007D7FD9"/>
    <w:rsid w:val="007E132C"/>
    <w:rsid w:val="007E3B64"/>
    <w:rsid w:val="007E3E32"/>
    <w:rsid w:val="007E4ED3"/>
    <w:rsid w:val="007E5E97"/>
    <w:rsid w:val="007F6E99"/>
    <w:rsid w:val="008044C8"/>
    <w:rsid w:val="00807791"/>
    <w:rsid w:val="008109E4"/>
    <w:rsid w:val="00811C6A"/>
    <w:rsid w:val="00816D03"/>
    <w:rsid w:val="00820162"/>
    <w:rsid w:val="00820609"/>
    <w:rsid w:val="008219D0"/>
    <w:rsid w:val="00823886"/>
    <w:rsid w:val="00825015"/>
    <w:rsid w:val="00826D62"/>
    <w:rsid w:val="0083192B"/>
    <w:rsid w:val="00831A45"/>
    <w:rsid w:val="00831F60"/>
    <w:rsid w:val="00834F8E"/>
    <w:rsid w:val="00835DE2"/>
    <w:rsid w:val="00837D6E"/>
    <w:rsid w:val="00846EE0"/>
    <w:rsid w:val="00847FB2"/>
    <w:rsid w:val="008522A4"/>
    <w:rsid w:val="0085293C"/>
    <w:rsid w:val="00852EED"/>
    <w:rsid w:val="0085596D"/>
    <w:rsid w:val="008600A3"/>
    <w:rsid w:val="008609BD"/>
    <w:rsid w:val="00864051"/>
    <w:rsid w:val="00870F9D"/>
    <w:rsid w:val="00871550"/>
    <w:rsid w:val="008759E0"/>
    <w:rsid w:val="00876BDB"/>
    <w:rsid w:val="00882757"/>
    <w:rsid w:val="0088328F"/>
    <w:rsid w:val="00896788"/>
    <w:rsid w:val="0089696E"/>
    <w:rsid w:val="008A5186"/>
    <w:rsid w:val="008A5489"/>
    <w:rsid w:val="008A7F18"/>
    <w:rsid w:val="008B020B"/>
    <w:rsid w:val="008C0FD5"/>
    <w:rsid w:val="008C2B43"/>
    <w:rsid w:val="008C3835"/>
    <w:rsid w:val="008C3A90"/>
    <w:rsid w:val="008C6CC8"/>
    <w:rsid w:val="008D2602"/>
    <w:rsid w:val="008E0D83"/>
    <w:rsid w:val="008E2183"/>
    <w:rsid w:val="008E3E46"/>
    <w:rsid w:val="008E46FC"/>
    <w:rsid w:val="008E4ACD"/>
    <w:rsid w:val="008F1496"/>
    <w:rsid w:val="008F3696"/>
    <w:rsid w:val="0090041C"/>
    <w:rsid w:val="0090064C"/>
    <w:rsid w:val="00900C09"/>
    <w:rsid w:val="009034AA"/>
    <w:rsid w:val="009041CB"/>
    <w:rsid w:val="00904B73"/>
    <w:rsid w:val="00905F71"/>
    <w:rsid w:val="0091363D"/>
    <w:rsid w:val="00913CE0"/>
    <w:rsid w:val="00916568"/>
    <w:rsid w:val="00922621"/>
    <w:rsid w:val="00923D6F"/>
    <w:rsid w:val="009338DE"/>
    <w:rsid w:val="00934D11"/>
    <w:rsid w:val="00935FA3"/>
    <w:rsid w:val="00937FA8"/>
    <w:rsid w:val="00950CF0"/>
    <w:rsid w:val="00951DF3"/>
    <w:rsid w:val="00954CCD"/>
    <w:rsid w:val="00954CF5"/>
    <w:rsid w:val="00957388"/>
    <w:rsid w:val="009609A4"/>
    <w:rsid w:val="00961671"/>
    <w:rsid w:val="009636FD"/>
    <w:rsid w:val="00967625"/>
    <w:rsid w:val="009704C4"/>
    <w:rsid w:val="00975291"/>
    <w:rsid w:val="009762D8"/>
    <w:rsid w:val="009827DB"/>
    <w:rsid w:val="0098310C"/>
    <w:rsid w:val="0098638B"/>
    <w:rsid w:val="00986BAD"/>
    <w:rsid w:val="00986D94"/>
    <w:rsid w:val="0099092F"/>
    <w:rsid w:val="00994122"/>
    <w:rsid w:val="009952E2"/>
    <w:rsid w:val="00995855"/>
    <w:rsid w:val="009A0E9D"/>
    <w:rsid w:val="009A29CE"/>
    <w:rsid w:val="009A2A42"/>
    <w:rsid w:val="009A6043"/>
    <w:rsid w:val="009B0A3D"/>
    <w:rsid w:val="009B0AEB"/>
    <w:rsid w:val="009B14F2"/>
    <w:rsid w:val="009B1989"/>
    <w:rsid w:val="009B5E95"/>
    <w:rsid w:val="009C3567"/>
    <w:rsid w:val="009C74A7"/>
    <w:rsid w:val="009D0079"/>
    <w:rsid w:val="009D16B7"/>
    <w:rsid w:val="009E0B44"/>
    <w:rsid w:val="009E32EE"/>
    <w:rsid w:val="009E6144"/>
    <w:rsid w:val="009E7DBF"/>
    <w:rsid w:val="009F038C"/>
    <w:rsid w:val="009F47E3"/>
    <w:rsid w:val="009F4BC6"/>
    <w:rsid w:val="00A000F8"/>
    <w:rsid w:val="00A01EAE"/>
    <w:rsid w:val="00A01F95"/>
    <w:rsid w:val="00A03881"/>
    <w:rsid w:val="00A1046B"/>
    <w:rsid w:val="00A10BF1"/>
    <w:rsid w:val="00A10CAC"/>
    <w:rsid w:val="00A11960"/>
    <w:rsid w:val="00A1714B"/>
    <w:rsid w:val="00A20369"/>
    <w:rsid w:val="00A21E3B"/>
    <w:rsid w:val="00A25D6C"/>
    <w:rsid w:val="00A25EF9"/>
    <w:rsid w:val="00A27A8B"/>
    <w:rsid w:val="00A316FC"/>
    <w:rsid w:val="00A327BE"/>
    <w:rsid w:val="00A47727"/>
    <w:rsid w:val="00A50AD7"/>
    <w:rsid w:val="00A532A7"/>
    <w:rsid w:val="00A5388A"/>
    <w:rsid w:val="00A53FC5"/>
    <w:rsid w:val="00A54A36"/>
    <w:rsid w:val="00A56C68"/>
    <w:rsid w:val="00A60704"/>
    <w:rsid w:val="00A61B1B"/>
    <w:rsid w:val="00A62DB0"/>
    <w:rsid w:val="00A65246"/>
    <w:rsid w:val="00A66BFF"/>
    <w:rsid w:val="00A70C92"/>
    <w:rsid w:val="00A73564"/>
    <w:rsid w:val="00A74FFE"/>
    <w:rsid w:val="00A7555E"/>
    <w:rsid w:val="00A75929"/>
    <w:rsid w:val="00A75C03"/>
    <w:rsid w:val="00A76625"/>
    <w:rsid w:val="00A77781"/>
    <w:rsid w:val="00A80828"/>
    <w:rsid w:val="00A81391"/>
    <w:rsid w:val="00A81D84"/>
    <w:rsid w:val="00A81F22"/>
    <w:rsid w:val="00A828B0"/>
    <w:rsid w:val="00A8303D"/>
    <w:rsid w:val="00A83AC5"/>
    <w:rsid w:val="00A83F97"/>
    <w:rsid w:val="00A875F2"/>
    <w:rsid w:val="00A90139"/>
    <w:rsid w:val="00A9208F"/>
    <w:rsid w:val="00A97F91"/>
    <w:rsid w:val="00AB2CB2"/>
    <w:rsid w:val="00AB3E73"/>
    <w:rsid w:val="00AB453E"/>
    <w:rsid w:val="00AB5738"/>
    <w:rsid w:val="00AB5D89"/>
    <w:rsid w:val="00AB712C"/>
    <w:rsid w:val="00AB7254"/>
    <w:rsid w:val="00AC092C"/>
    <w:rsid w:val="00AC36B3"/>
    <w:rsid w:val="00AC5C45"/>
    <w:rsid w:val="00AC6B4A"/>
    <w:rsid w:val="00AD05EB"/>
    <w:rsid w:val="00AD0610"/>
    <w:rsid w:val="00AD23D3"/>
    <w:rsid w:val="00AD4ABE"/>
    <w:rsid w:val="00AD7F06"/>
    <w:rsid w:val="00AE0137"/>
    <w:rsid w:val="00AE0E9C"/>
    <w:rsid w:val="00AE2B23"/>
    <w:rsid w:val="00AE2C6F"/>
    <w:rsid w:val="00AE46DC"/>
    <w:rsid w:val="00AE53DC"/>
    <w:rsid w:val="00AE54C6"/>
    <w:rsid w:val="00AF2370"/>
    <w:rsid w:val="00AF3A24"/>
    <w:rsid w:val="00AF59FD"/>
    <w:rsid w:val="00AF63E1"/>
    <w:rsid w:val="00B03DEF"/>
    <w:rsid w:val="00B040C0"/>
    <w:rsid w:val="00B05720"/>
    <w:rsid w:val="00B0638A"/>
    <w:rsid w:val="00B0649A"/>
    <w:rsid w:val="00B069F4"/>
    <w:rsid w:val="00B07157"/>
    <w:rsid w:val="00B07444"/>
    <w:rsid w:val="00B1034F"/>
    <w:rsid w:val="00B11F3C"/>
    <w:rsid w:val="00B12E41"/>
    <w:rsid w:val="00B13FA8"/>
    <w:rsid w:val="00B1632C"/>
    <w:rsid w:val="00B20469"/>
    <w:rsid w:val="00B23788"/>
    <w:rsid w:val="00B23806"/>
    <w:rsid w:val="00B24187"/>
    <w:rsid w:val="00B30561"/>
    <w:rsid w:val="00B3418B"/>
    <w:rsid w:val="00B3700B"/>
    <w:rsid w:val="00B40DF9"/>
    <w:rsid w:val="00B4146A"/>
    <w:rsid w:val="00B43BC7"/>
    <w:rsid w:val="00B43DB5"/>
    <w:rsid w:val="00B45D2F"/>
    <w:rsid w:val="00B4733C"/>
    <w:rsid w:val="00B5485B"/>
    <w:rsid w:val="00B5625E"/>
    <w:rsid w:val="00B57990"/>
    <w:rsid w:val="00B60F73"/>
    <w:rsid w:val="00B67B2E"/>
    <w:rsid w:val="00B70809"/>
    <w:rsid w:val="00B74CB0"/>
    <w:rsid w:val="00B74E57"/>
    <w:rsid w:val="00B7523B"/>
    <w:rsid w:val="00B77797"/>
    <w:rsid w:val="00B83C46"/>
    <w:rsid w:val="00B85688"/>
    <w:rsid w:val="00B92F9F"/>
    <w:rsid w:val="00B93381"/>
    <w:rsid w:val="00B954D2"/>
    <w:rsid w:val="00B96AC1"/>
    <w:rsid w:val="00BA1A34"/>
    <w:rsid w:val="00BA22BD"/>
    <w:rsid w:val="00BA23A8"/>
    <w:rsid w:val="00BA315F"/>
    <w:rsid w:val="00BA7CC1"/>
    <w:rsid w:val="00BB40D9"/>
    <w:rsid w:val="00BB5EE9"/>
    <w:rsid w:val="00BB7516"/>
    <w:rsid w:val="00BC0B73"/>
    <w:rsid w:val="00BC23C1"/>
    <w:rsid w:val="00BC262B"/>
    <w:rsid w:val="00BC3CA8"/>
    <w:rsid w:val="00BC4180"/>
    <w:rsid w:val="00BC5345"/>
    <w:rsid w:val="00BC64F7"/>
    <w:rsid w:val="00BD01E4"/>
    <w:rsid w:val="00BD0C3D"/>
    <w:rsid w:val="00BD37A1"/>
    <w:rsid w:val="00BE06E2"/>
    <w:rsid w:val="00BE1A3D"/>
    <w:rsid w:val="00BE30B5"/>
    <w:rsid w:val="00BE3B4D"/>
    <w:rsid w:val="00BE3CD4"/>
    <w:rsid w:val="00BE4C80"/>
    <w:rsid w:val="00BE5918"/>
    <w:rsid w:val="00BE5A9C"/>
    <w:rsid w:val="00BE5B9F"/>
    <w:rsid w:val="00BF11CE"/>
    <w:rsid w:val="00BF1ECA"/>
    <w:rsid w:val="00BF2DB9"/>
    <w:rsid w:val="00BF3A26"/>
    <w:rsid w:val="00BF4791"/>
    <w:rsid w:val="00BF639A"/>
    <w:rsid w:val="00BF6E1F"/>
    <w:rsid w:val="00BF75FC"/>
    <w:rsid w:val="00C00882"/>
    <w:rsid w:val="00C01166"/>
    <w:rsid w:val="00C016BE"/>
    <w:rsid w:val="00C01A13"/>
    <w:rsid w:val="00C04C5D"/>
    <w:rsid w:val="00C06067"/>
    <w:rsid w:val="00C13131"/>
    <w:rsid w:val="00C15268"/>
    <w:rsid w:val="00C15AC2"/>
    <w:rsid w:val="00C16120"/>
    <w:rsid w:val="00C161B8"/>
    <w:rsid w:val="00C16BA6"/>
    <w:rsid w:val="00C175FF"/>
    <w:rsid w:val="00C20716"/>
    <w:rsid w:val="00C22024"/>
    <w:rsid w:val="00C22077"/>
    <w:rsid w:val="00C22ACB"/>
    <w:rsid w:val="00C267EF"/>
    <w:rsid w:val="00C31032"/>
    <w:rsid w:val="00C31EB8"/>
    <w:rsid w:val="00C3630E"/>
    <w:rsid w:val="00C3732A"/>
    <w:rsid w:val="00C44E18"/>
    <w:rsid w:val="00C4748D"/>
    <w:rsid w:val="00C47587"/>
    <w:rsid w:val="00C53CEB"/>
    <w:rsid w:val="00C57CF5"/>
    <w:rsid w:val="00C60675"/>
    <w:rsid w:val="00C62856"/>
    <w:rsid w:val="00C73470"/>
    <w:rsid w:val="00C80E73"/>
    <w:rsid w:val="00C814D8"/>
    <w:rsid w:val="00C8290F"/>
    <w:rsid w:val="00C836B1"/>
    <w:rsid w:val="00C84A60"/>
    <w:rsid w:val="00C91B48"/>
    <w:rsid w:val="00CA032A"/>
    <w:rsid w:val="00CA294F"/>
    <w:rsid w:val="00CA5E00"/>
    <w:rsid w:val="00CA6F2B"/>
    <w:rsid w:val="00CA77AC"/>
    <w:rsid w:val="00CB0B38"/>
    <w:rsid w:val="00CB2159"/>
    <w:rsid w:val="00CB3507"/>
    <w:rsid w:val="00CB74AF"/>
    <w:rsid w:val="00CB75EE"/>
    <w:rsid w:val="00CB7F79"/>
    <w:rsid w:val="00CC2DFA"/>
    <w:rsid w:val="00CC78B6"/>
    <w:rsid w:val="00CC7CD1"/>
    <w:rsid w:val="00CD114A"/>
    <w:rsid w:val="00CD3925"/>
    <w:rsid w:val="00CD5C99"/>
    <w:rsid w:val="00CD6B0D"/>
    <w:rsid w:val="00CD7B8E"/>
    <w:rsid w:val="00CE0F55"/>
    <w:rsid w:val="00CE7478"/>
    <w:rsid w:val="00CE7506"/>
    <w:rsid w:val="00CF0081"/>
    <w:rsid w:val="00CF1449"/>
    <w:rsid w:val="00CF4442"/>
    <w:rsid w:val="00CF6409"/>
    <w:rsid w:val="00D0006F"/>
    <w:rsid w:val="00D00193"/>
    <w:rsid w:val="00D01DBD"/>
    <w:rsid w:val="00D0336B"/>
    <w:rsid w:val="00D04196"/>
    <w:rsid w:val="00D07C1E"/>
    <w:rsid w:val="00D11310"/>
    <w:rsid w:val="00D134F3"/>
    <w:rsid w:val="00D143AA"/>
    <w:rsid w:val="00D15F40"/>
    <w:rsid w:val="00D1786E"/>
    <w:rsid w:val="00D21740"/>
    <w:rsid w:val="00D22D26"/>
    <w:rsid w:val="00D2446D"/>
    <w:rsid w:val="00D24764"/>
    <w:rsid w:val="00D24B17"/>
    <w:rsid w:val="00D256E4"/>
    <w:rsid w:val="00D30CF7"/>
    <w:rsid w:val="00D341D7"/>
    <w:rsid w:val="00D34977"/>
    <w:rsid w:val="00D35022"/>
    <w:rsid w:val="00D35F55"/>
    <w:rsid w:val="00D40BE9"/>
    <w:rsid w:val="00D44BB7"/>
    <w:rsid w:val="00D45CD8"/>
    <w:rsid w:val="00D47A59"/>
    <w:rsid w:val="00D51392"/>
    <w:rsid w:val="00D514E4"/>
    <w:rsid w:val="00D549C2"/>
    <w:rsid w:val="00D6096C"/>
    <w:rsid w:val="00D60AB8"/>
    <w:rsid w:val="00D6112B"/>
    <w:rsid w:val="00D651AA"/>
    <w:rsid w:val="00D657FE"/>
    <w:rsid w:val="00D67B5D"/>
    <w:rsid w:val="00D722C2"/>
    <w:rsid w:val="00D73C0B"/>
    <w:rsid w:val="00D808F9"/>
    <w:rsid w:val="00D80B02"/>
    <w:rsid w:val="00D81A94"/>
    <w:rsid w:val="00D8333C"/>
    <w:rsid w:val="00D83551"/>
    <w:rsid w:val="00D846F7"/>
    <w:rsid w:val="00D85072"/>
    <w:rsid w:val="00D9246D"/>
    <w:rsid w:val="00D954EE"/>
    <w:rsid w:val="00D97A06"/>
    <w:rsid w:val="00D97C3C"/>
    <w:rsid w:val="00DA2456"/>
    <w:rsid w:val="00DA37EA"/>
    <w:rsid w:val="00DA3AC1"/>
    <w:rsid w:val="00DA6D1A"/>
    <w:rsid w:val="00DB0E0B"/>
    <w:rsid w:val="00DB2A64"/>
    <w:rsid w:val="00DB6D9C"/>
    <w:rsid w:val="00DC02F2"/>
    <w:rsid w:val="00DC056B"/>
    <w:rsid w:val="00DC2ACF"/>
    <w:rsid w:val="00DC516A"/>
    <w:rsid w:val="00DC65A4"/>
    <w:rsid w:val="00DD155E"/>
    <w:rsid w:val="00DD2B36"/>
    <w:rsid w:val="00DD4914"/>
    <w:rsid w:val="00DD497A"/>
    <w:rsid w:val="00DD5F58"/>
    <w:rsid w:val="00DE130A"/>
    <w:rsid w:val="00DE7715"/>
    <w:rsid w:val="00DF1F2C"/>
    <w:rsid w:val="00DF45F7"/>
    <w:rsid w:val="00DF52B8"/>
    <w:rsid w:val="00DF750E"/>
    <w:rsid w:val="00E0041F"/>
    <w:rsid w:val="00E03F63"/>
    <w:rsid w:val="00E03F93"/>
    <w:rsid w:val="00E05E59"/>
    <w:rsid w:val="00E066F3"/>
    <w:rsid w:val="00E06D2B"/>
    <w:rsid w:val="00E1022C"/>
    <w:rsid w:val="00E10955"/>
    <w:rsid w:val="00E10EA0"/>
    <w:rsid w:val="00E1270E"/>
    <w:rsid w:val="00E24103"/>
    <w:rsid w:val="00E25F7A"/>
    <w:rsid w:val="00E2697C"/>
    <w:rsid w:val="00E26A97"/>
    <w:rsid w:val="00E310A3"/>
    <w:rsid w:val="00E336B2"/>
    <w:rsid w:val="00E348E6"/>
    <w:rsid w:val="00E43A2E"/>
    <w:rsid w:val="00E44863"/>
    <w:rsid w:val="00E44A0F"/>
    <w:rsid w:val="00E45018"/>
    <w:rsid w:val="00E4538D"/>
    <w:rsid w:val="00E4549E"/>
    <w:rsid w:val="00E471A4"/>
    <w:rsid w:val="00E5165F"/>
    <w:rsid w:val="00E527EF"/>
    <w:rsid w:val="00E53221"/>
    <w:rsid w:val="00E534BD"/>
    <w:rsid w:val="00E539A8"/>
    <w:rsid w:val="00E540D8"/>
    <w:rsid w:val="00E55BBA"/>
    <w:rsid w:val="00E610A5"/>
    <w:rsid w:val="00E62A6C"/>
    <w:rsid w:val="00E637D0"/>
    <w:rsid w:val="00E63A71"/>
    <w:rsid w:val="00E6692B"/>
    <w:rsid w:val="00E71160"/>
    <w:rsid w:val="00E75BD9"/>
    <w:rsid w:val="00E75EA0"/>
    <w:rsid w:val="00E75F88"/>
    <w:rsid w:val="00E81B3B"/>
    <w:rsid w:val="00E81F0E"/>
    <w:rsid w:val="00E83083"/>
    <w:rsid w:val="00E83C26"/>
    <w:rsid w:val="00E84A72"/>
    <w:rsid w:val="00E86253"/>
    <w:rsid w:val="00E86322"/>
    <w:rsid w:val="00E90836"/>
    <w:rsid w:val="00E91FBE"/>
    <w:rsid w:val="00E95C1C"/>
    <w:rsid w:val="00E97C8F"/>
    <w:rsid w:val="00EA055F"/>
    <w:rsid w:val="00EA18FE"/>
    <w:rsid w:val="00EA3995"/>
    <w:rsid w:val="00EA39E4"/>
    <w:rsid w:val="00EA5752"/>
    <w:rsid w:val="00EA5B38"/>
    <w:rsid w:val="00EA713F"/>
    <w:rsid w:val="00EA7BFE"/>
    <w:rsid w:val="00EB1C97"/>
    <w:rsid w:val="00EB346C"/>
    <w:rsid w:val="00EB5A6E"/>
    <w:rsid w:val="00EC2E64"/>
    <w:rsid w:val="00EC3EF4"/>
    <w:rsid w:val="00EC43AC"/>
    <w:rsid w:val="00EC588D"/>
    <w:rsid w:val="00EC79B0"/>
    <w:rsid w:val="00ED4EDB"/>
    <w:rsid w:val="00ED5A65"/>
    <w:rsid w:val="00ED6A9A"/>
    <w:rsid w:val="00ED6FE9"/>
    <w:rsid w:val="00EE0ACB"/>
    <w:rsid w:val="00EE0D6A"/>
    <w:rsid w:val="00EE17FB"/>
    <w:rsid w:val="00EE5226"/>
    <w:rsid w:val="00EE6729"/>
    <w:rsid w:val="00EF45CA"/>
    <w:rsid w:val="00EF5465"/>
    <w:rsid w:val="00EF5828"/>
    <w:rsid w:val="00EF73F3"/>
    <w:rsid w:val="00F001BE"/>
    <w:rsid w:val="00F0305B"/>
    <w:rsid w:val="00F0377D"/>
    <w:rsid w:val="00F04A0D"/>
    <w:rsid w:val="00F20198"/>
    <w:rsid w:val="00F23714"/>
    <w:rsid w:val="00F26B1B"/>
    <w:rsid w:val="00F3195B"/>
    <w:rsid w:val="00F3611A"/>
    <w:rsid w:val="00F36B64"/>
    <w:rsid w:val="00F36F2A"/>
    <w:rsid w:val="00F41012"/>
    <w:rsid w:val="00F43C7B"/>
    <w:rsid w:val="00F44A1A"/>
    <w:rsid w:val="00F44AD7"/>
    <w:rsid w:val="00F44AFB"/>
    <w:rsid w:val="00F46D1E"/>
    <w:rsid w:val="00F53613"/>
    <w:rsid w:val="00F53CE4"/>
    <w:rsid w:val="00F545A9"/>
    <w:rsid w:val="00F55394"/>
    <w:rsid w:val="00F56BF5"/>
    <w:rsid w:val="00F56FB6"/>
    <w:rsid w:val="00F57BB7"/>
    <w:rsid w:val="00F611D0"/>
    <w:rsid w:val="00F61745"/>
    <w:rsid w:val="00F6239A"/>
    <w:rsid w:val="00F668A2"/>
    <w:rsid w:val="00F71A00"/>
    <w:rsid w:val="00F752D1"/>
    <w:rsid w:val="00F77C06"/>
    <w:rsid w:val="00F80A01"/>
    <w:rsid w:val="00F83017"/>
    <w:rsid w:val="00F847D6"/>
    <w:rsid w:val="00F849BA"/>
    <w:rsid w:val="00F918EC"/>
    <w:rsid w:val="00F96E10"/>
    <w:rsid w:val="00FA09DB"/>
    <w:rsid w:val="00FA44FA"/>
    <w:rsid w:val="00FA5813"/>
    <w:rsid w:val="00FA59F6"/>
    <w:rsid w:val="00FB084C"/>
    <w:rsid w:val="00FB3558"/>
    <w:rsid w:val="00FB5DA2"/>
    <w:rsid w:val="00FB6BC7"/>
    <w:rsid w:val="00FB721F"/>
    <w:rsid w:val="00FC20F4"/>
    <w:rsid w:val="00FC7483"/>
    <w:rsid w:val="00FC77ED"/>
    <w:rsid w:val="00FD064F"/>
    <w:rsid w:val="00FD1E97"/>
    <w:rsid w:val="00FD2B7B"/>
    <w:rsid w:val="00FD4F28"/>
    <w:rsid w:val="00FD736F"/>
    <w:rsid w:val="00FE6207"/>
    <w:rsid w:val="00FF0929"/>
    <w:rsid w:val="00FF0E03"/>
    <w:rsid w:val="00FF192C"/>
    <w:rsid w:val="00FF270F"/>
    <w:rsid w:val="00FF2C2D"/>
    <w:rsid w:val="00FF6C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14:docId w14:val="2EA4D6D3"/>
  <w15:docId w15:val="{A71D2DF6-13C2-4151-83E8-7408F514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2A"/>
    <w:pPr>
      <w:spacing w:after="0" w:line="240" w:lineRule="auto"/>
    </w:pPr>
    <w:rPr>
      <w:rFonts w:ascii="Arial" w:hAnsi="Arial" w:cs="Times New Roman"/>
      <w:sz w:val="24"/>
      <w:szCs w:val="20"/>
    </w:rPr>
  </w:style>
  <w:style w:type="paragraph" w:styleId="Heading1">
    <w:name w:val="heading 1"/>
    <w:basedOn w:val="Normal"/>
    <w:next w:val="Normal"/>
    <w:link w:val="Heading1Char"/>
    <w:uiPriority w:val="9"/>
    <w:qFormat/>
    <w:rsid w:val="00D35022"/>
    <w:pPr>
      <w:numPr>
        <w:numId w:val="3"/>
      </w:numPr>
      <w:ind w:left="567" w:hanging="567"/>
      <w:outlineLvl w:val="0"/>
    </w:pPr>
    <w:rPr>
      <w:rFonts w:eastAsiaTheme="majorEastAsia" w:cstheme="majorBidi"/>
      <w:b/>
      <w:bCs/>
      <w:szCs w:val="28"/>
      <w:lang w:bidi="en-US"/>
    </w:rPr>
  </w:style>
  <w:style w:type="paragraph" w:styleId="Heading2">
    <w:name w:val="heading 2"/>
    <w:basedOn w:val="Normal"/>
    <w:next w:val="Normal"/>
    <w:link w:val="Heading2Char"/>
    <w:uiPriority w:val="9"/>
    <w:unhideWhenUsed/>
    <w:qFormat/>
    <w:rsid w:val="00D35022"/>
    <w:pPr>
      <w:numPr>
        <w:ilvl w:val="1"/>
        <w:numId w:val="3"/>
      </w:numPr>
      <w:ind w:left="567" w:hanging="567"/>
      <w:outlineLvl w:val="1"/>
    </w:pPr>
    <w:rPr>
      <w:rFonts w:eastAsiaTheme="majorEastAsia" w:cstheme="majorBidi"/>
      <w:b/>
      <w:bCs/>
      <w:szCs w:val="26"/>
      <w:lang w:bidi="en-US"/>
    </w:rPr>
  </w:style>
  <w:style w:type="paragraph" w:styleId="Heading3">
    <w:name w:val="heading 3"/>
    <w:basedOn w:val="Normal"/>
    <w:next w:val="Normal"/>
    <w:link w:val="Heading3Char"/>
    <w:uiPriority w:val="9"/>
    <w:unhideWhenUsed/>
    <w:qFormat/>
    <w:rsid w:val="00622FC0"/>
    <w:pPr>
      <w:numPr>
        <w:ilvl w:val="2"/>
        <w:numId w:val="3"/>
      </w:numPr>
      <w:outlineLvl w:val="2"/>
    </w:pPr>
    <w:rPr>
      <w:rFonts w:eastAsiaTheme="majorEastAsia" w:cstheme="majorBidi"/>
      <w:bCs/>
      <w:szCs w:val="22"/>
      <w:lang w:bidi="en-US"/>
    </w:rPr>
  </w:style>
  <w:style w:type="paragraph" w:styleId="Heading4">
    <w:name w:val="heading 4"/>
    <w:basedOn w:val="Normal"/>
    <w:next w:val="Normal"/>
    <w:link w:val="Heading4Char"/>
    <w:uiPriority w:val="9"/>
    <w:qFormat/>
    <w:rsid w:val="00EF73F3"/>
    <w:pPr>
      <w:numPr>
        <w:ilvl w:val="3"/>
        <w:numId w:val="3"/>
      </w:numPr>
      <w:outlineLvl w:val="3"/>
    </w:pPr>
    <w:rPr>
      <w:rFonts w:eastAsiaTheme="majorEastAsia" w:cstheme="majorBidi"/>
      <w:bCs/>
      <w:i/>
      <w:iCs/>
      <w:szCs w:val="22"/>
      <w:lang w:bidi="en-US"/>
    </w:rPr>
  </w:style>
  <w:style w:type="paragraph" w:styleId="Heading5">
    <w:name w:val="heading 5"/>
    <w:basedOn w:val="Normal"/>
    <w:next w:val="Normal"/>
    <w:link w:val="Heading5Char"/>
    <w:uiPriority w:val="9"/>
    <w:semiHidden/>
    <w:unhideWhenUsed/>
    <w:qFormat/>
    <w:rsid w:val="00415F7C"/>
    <w:pPr>
      <w:numPr>
        <w:ilvl w:val="4"/>
        <w:numId w:val="3"/>
      </w:numPr>
      <w:spacing w:before="200"/>
      <w:outlineLvl w:val="4"/>
    </w:pPr>
    <w:rPr>
      <w:rFonts w:eastAsiaTheme="majorEastAsia" w:cstheme="majorBidi"/>
      <w:b/>
      <w:bCs/>
      <w:szCs w:val="22"/>
      <w:lang w:bidi="en-US"/>
    </w:rPr>
  </w:style>
  <w:style w:type="paragraph" w:styleId="Heading6">
    <w:name w:val="heading 6"/>
    <w:basedOn w:val="Normal"/>
    <w:next w:val="Normal"/>
    <w:link w:val="Heading6Char"/>
    <w:uiPriority w:val="9"/>
    <w:semiHidden/>
    <w:unhideWhenUsed/>
    <w:qFormat/>
    <w:rsid w:val="00EF73F3"/>
    <w:pPr>
      <w:numPr>
        <w:ilvl w:val="5"/>
        <w:numId w:val="3"/>
      </w:num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
    <w:semiHidden/>
    <w:unhideWhenUsed/>
    <w:qFormat/>
    <w:rsid w:val="00EF73F3"/>
    <w:pPr>
      <w:numPr>
        <w:ilvl w:val="6"/>
        <w:numId w:val="3"/>
      </w:num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
    <w:semiHidden/>
    <w:unhideWhenUsed/>
    <w:qFormat/>
    <w:rsid w:val="00EF73F3"/>
    <w:pPr>
      <w:numPr>
        <w:ilvl w:val="7"/>
        <w:numId w:val="3"/>
      </w:numPr>
      <w:outlineLvl w:val="7"/>
    </w:pPr>
    <w:rPr>
      <w:rFonts w:asciiTheme="majorHAnsi" w:eastAsiaTheme="majorEastAsia" w:hAnsiTheme="majorHAnsi" w:cstheme="majorBidi"/>
      <w:sz w:val="20"/>
      <w:lang w:bidi="en-US"/>
    </w:rPr>
  </w:style>
  <w:style w:type="paragraph" w:styleId="Heading9">
    <w:name w:val="heading 9"/>
    <w:basedOn w:val="Normal"/>
    <w:next w:val="Normal"/>
    <w:link w:val="Heading9Char"/>
    <w:uiPriority w:val="9"/>
    <w:semiHidden/>
    <w:unhideWhenUsed/>
    <w:qFormat/>
    <w:rsid w:val="00EF73F3"/>
    <w:pPr>
      <w:numPr>
        <w:ilvl w:val="8"/>
        <w:numId w:val="3"/>
      </w:numPr>
      <w:outlineLvl w:val="8"/>
    </w:pPr>
    <w:rPr>
      <w:rFonts w:asciiTheme="majorHAnsi" w:eastAsiaTheme="majorEastAsia" w:hAnsiTheme="majorHAnsi" w:cstheme="majorBidi"/>
      <w:i/>
      <w:iCs/>
      <w:spacing w:val="5"/>
      <w:sz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22"/>
    <w:rPr>
      <w:rFonts w:ascii="Arial" w:eastAsiaTheme="majorEastAsia" w:hAnsi="Arial" w:cstheme="majorBidi"/>
      <w:b/>
      <w:bCs/>
      <w:sz w:val="24"/>
      <w:szCs w:val="28"/>
      <w:lang w:bidi="en-US"/>
    </w:rPr>
  </w:style>
  <w:style w:type="character" w:customStyle="1" w:styleId="Heading2Char">
    <w:name w:val="Heading 2 Char"/>
    <w:basedOn w:val="DefaultParagraphFont"/>
    <w:link w:val="Heading2"/>
    <w:uiPriority w:val="9"/>
    <w:rsid w:val="00D35022"/>
    <w:rPr>
      <w:rFonts w:ascii="Arial" w:eastAsiaTheme="majorEastAsia" w:hAnsi="Arial" w:cstheme="majorBidi"/>
      <w:b/>
      <w:bCs/>
      <w:sz w:val="24"/>
      <w:szCs w:val="26"/>
      <w:lang w:bidi="en-US"/>
    </w:rPr>
  </w:style>
  <w:style w:type="paragraph" w:styleId="Title">
    <w:name w:val="Title"/>
    <w:basedOn w:val="Normal"/>
    <w:next w:val="Normal"/>
    <w:link w:val="TitleChar"/>
    <w:uiPriority w:val="10"/>
    <w:qFormat/>
    <w:rsid w:val="00EF73F3"/>
    <w:pPr>
      <w:jc w:val="center"/>
    </w:pPr>
    <w:rPr>
      <w:rFonts w:eastAsiaTheme="majorEastAsia" w:cstheme="majorBidi"/>
      <w:b/>
      <w:spacing w:val="5"/>
      <w:sz w:val="32"/>
      <w:szCs w:val="52"/>
    </w:rPr>
  </w:style>
  <w:style w:type="character" w:customStyle="1" w:styleId="TitleChar">
    <w:name w:val="Title Char"/>
    <w:basedOn w:val="DefaultParagraphFont"/>
    <w:link w:val="Title"/>
    <w:uiPriority w:val="10"/>
    <w:rsid w:val="00EF73F3"/>
    <w:rPr>
      <w:rFonts w:ascii="Arial" w:eastAsiaTheme="majorEastAsia" w:hAnsi="Arial" w:cstheme="majorBidi"/>
      <w:b/>
      <w:spacing w:val="5"/>
      <w:sz w:val="32"/>
      <w:szCs w:val="52"/>
    </w:rPr>
  </w:style>
  <w:style w:type="paragraph" w:styleId="Quote">
    <w:name w:val="Quote"/>
    <w:basedOn w:val="Normal"/>
    <w:next w:val="Normal"/>
    <w:link w:val="QuoteChar"/>
    <w:uiPriority w:val="29"/>
    <w:qFormat/>
    <w:rsid w:val="00EF73F3"/>
    <w:pPr>
      <w:ind w:left="680"/>
    </w:pPr>
    <w:rPr>
      <w:rFonts w:eastAsiaTheme="minorEastAsia" w:cstheme="minorBidi"/>
      <w:iCs/>
      <w:szCs w:val="22"/>
      <w:lang w:bidi="en-US"/>
    </w:rPr>
  </w:style>
  <w:style w:type="character" w:customStyle="1" w:styleId="QuoteChar">
    <w:name w:val="Quote Char"/>
    <w:basedOn w:val="DefaultParagraphFont"/>
    <w:link w:val="Quote"/>
    <w:uiPriority w:val="29"/>
    <w:rsid w:val="00EF73F3"/>
    <w:rPr>
      <w:rFonts w:ascii="Arial" w:eastAsiaTheme="minorEastAsia" w:hAnsi="Arial"/>
      <w:iCs/>
      <w:sz w:val="24"/>
      <w:lang w:bidi="en-US"/>
    </w:rPr>
  </w:style>
  <w:style w:type="paragraph" w:styleId="ListParagraph">
    <w:name w:val="List Paragraph"/>
    <w:basedOn w:val="Normal"/>
    <w:link w:val="ListParagraphChar"/>
    <w:qFormat/>
    <w:rsid w:val="005D5530"/>
    <w:pPr>
      <w:ind w:left="720"/>
      <w:contextualSpacing/>
    </w:pPr>
    <w:rPr>
      <w:lang w:eastAsia="en-GB"/>
    </w:rPr>
  </w:style>
  <w:style w:type="paragraph" w:customStyle="1" w:styleId="inset">
    <w:name w:val="inset"/>
    <w:basedOn w:val="Normal"/>
    <w:link w:val="insetChar"/>
    <w:qFormat/>
    <w:rsid w:val="00EF73F3"/>
    <w:pPr>
      <w:ind w:left="709"/>
    </w:pPr>
  </w:style>
  <w:style w:type="character" w:customStyle="1" w:styleId="insetChar">
    <w:name w:val="inset Char"/>
    <w:basedOn w:val="DefaultParagraphFont"/>
    <w:link w:val="inset"/>
    <w:rsid w:val="00EF73F3"/>
    <w:rPr>
      <w:rFonts w:ascii="Arial" w:hAnsi="Arial" w:cs="Times New Roman"/>
      <w:sz w:val="24"/>
      <w:szCs w:val="24"/>
      <w:lang w:eastAsia="en-GB"/>
    </w:rPr>
  </w:style>
  <w:style w:type="character" w:styleId="FootnoteReference">
    <w:name w:val="footnote reference"/>
    <w:aliases w:val="Fn Ref"/>
    <w:basedOn w:val="DefaultParagraphFont"/>
    <w:uiPriority w:val="99"/>
    <w:qFormat/>
    <w:rsid w:val="00E540D8"/>
    <w:rPr>
      <w:rFonts w:ascii="Arial" w:hAnsi="Arial"/>
      <w:sz w:val="20"/>
      <w:vertAlign w:val="superscript"/>
    </w:rPr>
  </w:style>
  <w:style w:type="paragraph" w:customStyle="1" w:styleId="fntxt">
    <w:name w:val="fn txt"/>
    <w:basedOn w:val="FootnoteText"/>
    <w:qFormat/>
    <w:rsid w:val="00EF73F3"/>
    <w:rPr>
      <w:rFonts w:eastAsiaTheme="minorHAnsi"/>
      <w:color w:val="000000"/>
      <w:szCs w:val="24"/>
    </w:rPr>
  </w:style>
  <w:style w:type="paragraph" w:styleId="FootnoteText">
    <w:name w:val="footnote text"/>
    <w:basedOn w:val="Normal"/>
    <w:link w:val="FootnoteTextChar"/>
    <w:unhideWhenUsed/>
    <w:rsid w:val="00EF73F3"/>
    <w:rPr>
      <w:sz w:val="20"/>
    </w:rPr>
  </w:style>
  <w:style w:type="character" w:customStyle="1" w:styleId="FootnoteTextChar">
    <w:name w:val="Footnote Text Char"/>
    <w:basedOn w:val="DefaultParagraphFont"/>
    <w:link w:val="FootnoteText"/>
    <w:uiPriority w:val="99"/>
    <w:rsid w:val="00EF73F3"/>
    <w:rPr>
      <w:rFonts w:ascii="Arial" w:hAnsi="Arial" w:cs="Times New Roman"/>
      <w:sz w:val="20"/>
      <w:szCs w:val="20"/>
    </w:rPr>
  </w:style>
  <w:style w:type="paragraph" w:customStyle="1" w:styleId="case">
    <w:name w:val="case"/>
    <w:basedOn w:val="Normal"/>
    <w:link w:val="caseChar"/>
    <w:qFormat/>
    <w:rsid w:val="00EF73F3"/>
    <w:rPr>
      <w:i/>
    </w:rPr>
  </w:style>
  <w:style w:type="character" w:customStyle="1" w:styleId="caseChar">
    <w:name w:val="case Char"/>
    <w:basedOn w:val="DefaultParagraphFont"/>
    <w:link w:val="case"/>
    <w:rsid w:val="00EF73F3"/>
    <w:rPr>
      <w:rFonts w:ascii="Arial" w:hAnsi="Arial" w:cs="Times New Roman"/>
      <w:i/>
      <w:sz w:val="24"/>
      <w:szCs w:val="24"/>
      <w:lang w:eastAsia="en-GB"/>
    </w:rPr>
  </w:style>
  <w:style w:type="character" w:customStyle="1" w:styleId="Heading3Char">
    <w:name w:val="Heading 3 Char"/>
    <w:basedOn w:val="DefaultParagraphFont"/>
    <w:link w:val="Heading3"/>
    <w:uiPriority w:val="9"/>
    <w:rsid w:val="00935FA3"/>
    <w:rPr>
      <w:rFonts w:ascii="Arial" w:eastAsiaTheme="majorEastAsia" w:hAnsi="Arial" w:cstheme="majorBidi"/>
      <w:bCs/>
      <w:sz w:val="24"/>
      <w:lang w:bidi="en-US"/>
    </w:rPr>
  </w:style>
  <w:style w:type="character" w:customStyle="1" w:styleId="Heading4Char">
    <w:name w:val="Heading 4 Char"/>
    <w:basedOn w:val="DefaultParagraphFont"/>
    <w:link w:val="Heading4"/>
    <w:uiPriority w:val="9"/>
    <w:rsid w:val="00EF73F3"/>
    <w:rPr>
      <w:rFonts w:ascii="Arial" w:eastAsiaTheme="majorEastAsia" w:hAnsi="Arial" w:cstheme="majorBidi"/>
      <w:bCs/>
      <w:i/>
      <w:iCs/>
      <w:sz w:val="24"/>
      <w:lang w:bidi="en-US"/>
    </w:rPr>
  </w:style>
  <w:style w:type="character" w:customStyle="1" w:styleId="Heading5Char">
    <w:name w:val="Heading 5 Char"/>
    <w:basedOn w:val="DefaultParagraphFont"/>
    <w:link w:val="Heading5"/>
    <w:uiPriority w:val="9"/>
    <w:semiHidden/>
    <w:rsid w:val="00415F7C"/>
    <w:rPr>
      <w:rFonts w:ascii="Arial" w:eastAsiaTheme="majorEastAsia" w:hAnsi="Arial" w:cstheme="majorBidi"/>
      <w:b/>
      <w:bCs/>
      <w:sz w:val="24"/>
      <w:lang w:bidi="en-US"/>
    </w:rPr>
  </w:style>
  <w:style w:type="character" w:customStyle="1" w:styleId="Heading6Char">
    <w:name w:val="Heading 6 Char"/>
    <w:basedOn w:val="DefaultParagraphFont"/>
    <w:link w:val="Heading6"/>
    <w:uiPriority w:val="9"/>
    <w:semiHidden/>
    <w:rsid w:val="00EF73F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EF73F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EF73F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EF73F3"/>
    <w:rPr>
      <w:rFonts w:asciiTheme="majorHAnsi" w:eastAsiaTheme="majorEastAsia" w:hAnsiTheme="majorHAnsi" w:cstheme="majorBidi"/>
      <w:i/>
      <w:iCs/>
      <w:spacing w:val="5"/>
      <w:sz w:val="20"/>
      <w:szCs w:val="20"/>
      <w:lang w:bidi="en-US"/>
    </w:rPr>
  </w:style>
  <w:style w:type="paragraph" w:styleId="Subtitle">
    <w:name w:val="Subtitle"/>
    <w:basedOn w:val="Normal"/>
    <w:next w:val="Normal"/>
    <w:link w:val="SubtitleChar"/>
    <w:uiPriority w:val="11"/>
    <w:rsid w:val="00EF73F3"/>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11"/>
    <w:rsid w:val="00EF73F3"/>
    <w:rPr>
      <w:rFonts w:asciiTheme="majorHAnsi" w:eastAsiaTheme="majorEastAsia" w:hAnsiTheme="majorHAnsi" w:cstheme="majorBidi"/>
      <w:i/>
      <w:iCs/>
      <w:spacing w:val="13"/>
      <w:sz w:val="24"/>
      <w:szCs w:val="24"/>
      <w:lang w:bidi="en-US"/>
    </w:rPr>
  </w:style>
  <w:style w:type="paragraph" w:styleId="TOCHeading">
    <w:name w:val="TOC Heading"/>
    <w:basedOn w:val="Heading1"/>
    <w:next w:val="Normal"/>
    <w:uiPriority w:val="39"/>
    <w:semiHidden/>
    <w:unhideWhenUsed/>
    <w:qFormat/>
    <w:rsid w:val="00EF73F3"/>
    <w:pPr>
      <w:outlineLvl w:val="9"/>
    </w:pPr>
    <w:rPr>
      <w:lang w:eastAsia="en-GB" w:bidi="ar-SA"/>
    </w:rPr>
  </w:style>
  <w:style w:type="paragraph" w:customStyle="1" w:styleId="fncase">
    <w:name w:val="fn case"/>
    <w:basedOn w:val="Normal"/>
    <w:link w:val="fncaseChar"/>
    <w:qFormat/>
    <w:rsid w:val="000F06D8"/>
    <w:pPr>
      <w:shd w:val="clear" w:color="auto" w:fill="FFFFFF"/>
      <w:spacing w:before="100" w:beforeAutospacing="1" w:after="100" w:afterAutospacing="1"/>
      <w:textAlignment w:val="top"/>
    </w:pPr>
    <w:rPr>
      <w:rFonts w:cstheme="minorBidi"/>
      <w:i/>
      <w:sz w:val="20"/>
    </w:rPr>
  </w:style>
  <w:style w:type="character" w:customStyle="1" w:styleId="fncaseChar">
    <w:name w:val="fn case Char"/>
    <w:basedOn w:val="DefaultParagraphFont"/>
    <w:link w:val="fncase"/>
    <w:rsid w:val="000F06D8"/>
    <w:rPr>
      <w:rFonts w:ascii="Arial" w:hAnsi="Arial"/>
      <w:i/>
      <w:sz w:val="20"/>
      <w:szCs w:val="24"/>
      <w:shd w:val="clear" w:color="auto" w:fill="FFFFFF"/>
      <w:lang w:val="en-US"/>
    </w:rPr>
  </w:style>
  <w:style w:type="paragraph" w:styleId="TOC1">
    <w:name w:val="toc 1"/>
    <w:basedOn w:val="Normal"/>
    <w:next w:val="Normal"/>
    <w:uiPriority w:val="39"/>
    <w:unhideWhenUsed/>
    <w:rsid w:val="00A75929"/>
    <w:pPr>
      <w:tabs>
        <w:tab w:val="right" w:leader="dot" w:pos="9072"/>
      </w:tabs>
      <w:ind w:left="567" w:hanging="567"/>
    </w:pPr>
    <w:rPr>
      <w:rFonts w:cstheme="minorBidi"/>
    </w:rPr>
  </w:style>
  <w:style w:type="paragraph" w:styleId="TOC2">
    <w:name w:val="toc 2"/>
    <w:basedOn w:val="Normal"/>
    <w:next w:val="Normal"/>
    <w:uiPriority w:val="39"/>
    <w:unhideWhenUsed/>
    <w:rsid w:val="00A75929"/>
    <w:pPr>
      <w:tabs>
        <w:tab w:val="right" w:leader="dot" w:pos="9072"/>
      </w:tabs>
      <w:ind w:left="1134" w:hanging="567"/>
    </w:pPr>
    <w:rPr>
      <w:rFonts w:cstheme="minorBidi"/>
    </w:rPr>
  </w:style>
  <w:style w:type="paragraph" w:styleId="TOC3">
    <w:name w:val="toc 3"/>
    <w:basedOn w:val="Normal"/>
    <w:next w:val="Normal"/>
    <w:uiPriority w:val="39"/>
    <w:unhideWhenUsed/>
    <w:rsid w:val="006747BC"/>
    <w:pPr>
      <w:tabs>
        <w:tab w:val="right" w:leader="dot" w:pos="9072"/>
      </w:tabs>
      <w:ind w:left="1985" w:hanging="851"/>
    </w:pPr>
    <w:rPr>
      <w:rFonts w:cstheme="minorBidi"/>
    </w:rPr>
  </w:style>
  <w:style w:type="character" w:styleId="Hyperlink">
    <w:name w:val="Hyperlink"/>
    <w:basedOn w:val="DefaultParagraphFont"/>
    <w:unhideWhenUsed/>
    <w:rsid w:val="00000C42"/>
    <w:rPr>
      <w:rFonts w:ascii="Arial" w:hAnsi="Arial" w:cs="Times New Roman" w:hint="default"/>
      <w:color w:val="0000FF"/>
      <w:sz w:val="20"/>
      <w:u w:val="single"/>
    </w:rPr>
  </w:style>
  <w:style w:type="paragraph" w:styleId="PlainText">
    <w:name w:val="Plain Text"/>
    <w:basedOn w:val="Normal"/>
    <w:link w:val="PlainTextChar"/>
    <w:uiPriority w:val="99"/>
    <w:unhideWhenUsed/>
    <w:rsid w:val="00D46CBD"/>
    <w:rPr>
      <w:rFonts w:ascii="Consolas" w:hAnsi="Consolas" w:cs="Consolas"/>
      <w:sz w:val="21"/>
      <w:szCs w:val="21"/>
    </w:rPr>
  </w:style>
  <w:style w:type="character" w:customStyle="1" w:styleId="PlainTextChar">
    <w:name w:val="Plain Text Char"/>
    <w:basedOn w:val="DefaultParagraphFont"/>
    <w:link w:val="PlainText"/>
    <w:uiPriority w:val="99"/>
    <w:rsid w:val="00D46CBD"/>
    <w:rPr>
      <w:rFonts w:ascii="Consolas" w:hAnsi="Consolas" w:cs="Consolas"/>
      <w:sz w:val="21"/>
      <w:szCs w:val="21"/>
    </w:rPr>
  </w:style>
  <w:style w:type="paragraph" w:styleId="Header">
    <w:name w:val="header"/>
    <w:basedOn w:val="Normal"/>
    <w:link w:val="HeaderChar"/>
    <w:unhideWhenUsed/>
    <w:rsid w:val="00D9246D"/>
    <w:pPr>
      <w:tabs>
        <w:tab w:val="center" w:pos="4536"/>
        <w:tab w:val="right" w:pos="9072"/>
      </w:tabs>
    </w:pPr>
  </w:style>
  <w:style w:type="character" w:customStyle="1" w:styleId="HeaderChar">
    <w:name w:val="Header Char"/>
    <w:basedOn w:val="DefaultParagraphFont"/>
    <w:link w:val="Header"/>
    <w:uiPriority w:val="99"/>
    <w:rsid w:val="00D9246D"/>
    <w:rPr>
      <w:rFonts w:ascii="Arial" w:hAnsi="Arial" w:cs="Times New Roman"/>
      <w:sz w:val="24"/>
      <w:szCs w:val="20"/>
    </w:rPr>
  </w:style>
  <w:style w:type="paragraph" w:styleId="Footer">
    <w:name w:val="footer"/>
    <w:basedOn w:val="Normal"/>
    <w:link w:val="FooterChar"/>
    <w:unhideWhenUsed/>
    <w:rsid w:val="00D9246D"/>
    <w:pPr>
      <w:tabs>
        <w:tab w:val="center" w:pos="4536"/>
        <w:tab w:val="right" w:pos="9072"/>
      </w:tabs>
    </w:pPr>
  </w:style>
  <w:style w:type="character" w:customStyle="1" w:styleId="FooterChar">
    <w:name w:val="Footer Char"/>
    <w:basedOn w:val="DefaultParagraphFont"/>
    <w:link w:val="Footer"/>
    <w:uiPriority w:val="99"/>
    <w:rsid w:val="00D9246D"/>
    <w:rPr>
      <w:rFonts w:ascii="Arial" w:hAnsi="Arial" w:cs="Times New Roman"/>
      <w:sz w:val="24"/>
      <w:szCs w:val="20"/>
    </w:rPr>
  </w:style>
  <w:style w:type="table" w:styleId="TableGrid">
    <w:name w:val="Table Grid"/>
    <w:basedOn w:val="TableNormal"/>
    <w:uiPriority w:val="59"/>
    <w:rsid w:val="00D9246D"/>
    <w:pPr>
      <w:spacing w:after="0" w:line="240" w:lineRule="auto"/>
    </w:pPr>
    <w:rPr>
      <w:rFonts w:ascii="Arial" w:eastAsiaTheme="minorHAnsi"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9246D"/>
    <w:pPr>
      <w:spacing w:after="120"/>
    </w:pPr>
    <w:rPr>
      <w:rFonts w:eastAsiaTheme="minorHAnsi" w:cs="Arial"/>
      <w:szCs w:val="24"/>
    </w:rPr>
  </w:style>
  <w:style w:type="character" w:customStyle="1" w:styleId="BodyTextChar">
    <w:name w:val="Body Text Char"/>
    <w:basedOn w:val="DefaultParagraphFont"/>
    <w:link w:val="BodyText"/>
    <w:uiPriority w:val="99"/>
    <w:rsid w:val="00D9246D"/>
    <w:rPr>
      <w:rFonts w:ascii="Arial" w:eastAsiaTheme="minorHAnsi" w:hAnsi="Arial" w:cs="Arial"/>
      <w:sz w:val="24"/>
      <w:szCs w:val="24"/>
    </w:rPr>
  </w:style>
  <w:style w:type="character" w:styleId="CommentReference">
    <w:name w:val="annotation reference"/>
    <w:basedOn w:val="DefaultParagraphFont"/>
    <w:uiPriority w:val="99"/>
    <w:semiHidden/>
    <w:unhideWhenUsed/>
    <w:rsid w:val="006747BC"/>
    <w:rPr>
      <w:sz w:val="16"/>
      <w:szCs w:val="16"/>
    </w:rPr>
  </w:style>
  <w:style w:type="paragraph" w:styleId="CommentText">
    <w:name w:val="annotation text"/>
    <w:basedOn w:val="Normal"/>
    <w:link w:val="CommentTextChar"/>
    <w:uiPriority w:val="99"/>
    <w:unhideWhenUsed/>
    <w:rsid w:val="006747BC"/>
    <w:rPr>
      <w:sz w:val="20"/>
    </w:rPr>
  </w:style>
  <w:style w:type="character" w:customStyle="1" w:styleId="CommentTextChar">
    <w:name w:val="Comment Text Char"/>
    <w:basedOn w:val="DefaultParagraphFont"/>
    <w:link w:val="CommentText"/>
    <w:uiPriority w:val="99"/>
    <w:rsid w:val="006747BC"/>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6747BC"/>
    <w:rPr>
      <w:b/>
      <w:bCs/>
    </w:rPr>
  </w:style>
  <w:style w:type="character" w:customStyle="1" w:styleId="CommentSubjectChar">
    <w:name w:val="Comment Subject Char"/>
    <w:basedOn w:val="CommentTextChar"/>
    <w:link w:val="CommentSubject"/>
    <w:uiPriority w:val="99"/>
    <w:semiHidden/>
    <w:rsid w:val="006747BC"/>
    <w:rPr>
      <w:rFonts w:ascii="Arial" w:hAnsi="Arial" w:cs="Times New Roman"/>
      <w:b/>
      <w:bCs/>
      <w:sz w:val="20"/>
      <w:szCs w:val="20"/>
    </w:rPr>
  </w:style>
  <w:style w:type="paragraph" w:styleId="BalloonText">
    <w:name w:val="Balloon Text"/>
    <w:basedOn w:val="Normal"/>
    <w:link w:val="BalloonTextChar"/>
    <w:uiPriority w:val="99"/>
    <w:semiHidden/>
    <w:unhideWhenUsed/>
    <w:rsid w:val="006747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7BC"/>
    <w:rPr>
      <w:rFonts w:ascii="Segoe UI" w:hAnsi="Segoe UI" w:cs="Segoe UI"/>
      <w:sz w:val="18"/>
      <w:szCs w:val="18"/>
    </w:rPr>
  </w:style>
  <w:style w:type="paragraph" w:customStyle="1" w:styleId="ListDash">
    <w:name w:val="List Dash"/>
    <w:basedOn w:val="Normal"/>
    <w:rsid w:val="0071002D"/>
    <w:pPr>
      <w:numPr>
        <w:numId w:val="1"/>
      </w:numPr>
      <w:spacing w:before="120" w:after="120"/>
      <w:jc w:val="both"/>
    </w:pPr>
    <w:rPr>
      <w:rFonts w:ascii="Times New Roman" w:hAnsi="Times New Roman"/>
      <w:szCs w:val="24"/>
      <w:lang w:eastAsia="de-DE"/>
    </w:rPr>
  </w:style>
  <w:style w:type="character" w:styleId="FollowedHyperlink">
    <w:name w:val="FollowedHyperlink"/>
    <w:basedOn w:val="DefaultParagraphFont"/>
    <w:uiPriority w:val="99"/>
    <w:semiHidden/>
    <w:unhideWhenUsed/>
    <w:rsid w:val="008E4ACD"/>
    <w:rPr>
      <w:color w:val="800080" w:themeColor="followedHyperlink"/>
      <w:u w:val="single"/>
    </w:rPr>
  </w:style>
  <w:style w:type="paragraph" w:customStyle="1" w:styleId="SingleTxtG">
    <w:name w:val="_ Single Txt_G"/>
    <w:basedOn w:val="Normal"/>
    <w:link w:val="SingleTxtGChar"/>
    <w:rsid w:val="00BC4180"/>
    <w:pPr>
      <w:suppressAutoHyphens/>
      <w:spacing w:after="120" w:line="240" w:lineRule="atLeast"/>
      <w:ind w:left="1134" w:right="1134"/>
      <w:jc w:val="both"/>
    </w:pPr>
    <w:rPr>
      <w:rFonts w:ascii="Times New Roman" w:eastAsia="SimSun" w:hAnsi="Times New Roman"/>
      <w:sz w:val="20"/>
      <w:lang w:eastAsia="zh-CN"/>
    </w:rPr>
  </w:style>
  <w:style w:type="character" w:customStyle="1" w:styleId="SingleTxtGChar">
    <w:name w:val="_ Single Txt_G Char"/>
    <w:basedOn w:val="DefaultParagraphFont"/>
    <w:link w:val="SingleTxtG"/>
    <w:rsid w:val="00BC4180"/>
    <w:rPr>
      <w:rFonts w:ascii="Times New Roman" w:eastAsia="SimSun" w:hAnsi="Times New Roman" w:cs="Times New Roman"/>
      <w:sz w:val="20"/>
      <w:szCs w:val="20"/>
      <w:lang w:eastAsia="zh-CN"/>
    </w:rPr>
  </w:style>
  <w:style w:type="paragraph" w:styleId="NormalWeb">
    <w:name w:val="Normal (Web)"/>
    <w:basedOn w:val="Normal"/>
    <w:uiPriority w:val="99"/>
    <w:unhideWhenUsed/>
    <w:rsid w:val="006538E4"/>
    <w:rPr>
      <w:rFonts w:ascii="Times New Roman" w:hAnsi="Times New Roman"/>
      <w:szCs w:val="24"/>
    </w:rPr>
  </w:style>
  <w:style w:type="paragraph" w:styleId="EndnoteText">
    <w:name w:val="endnote text"/>
    <w:basedOn w:val="Normal"/>
    <w:link w:val="EndnoteTextChar"/>
    <w:uiPriority w:val="99"/>
    <w:unhideWhenUsed/>
    <w:rsid w:val="00AB3E73"/>
    <w:rPr>
      <w:rFonts w:ascii="Times New Roman" w:eastAsia="Calibri" w:hAnsi="Times New Roman"/>
      <w:sz w:val="20"/>
    </w:rPr>
  </w:style>
  <w:style w:type="character" w:customStyle="1" w:styleId="EndnoteTextChar">
    <w:name w:val="Endnote Text Char"/>
    <w:basedOn w:val="DefaultParagraphFont"/>
    <w:link w:val="EndnoteText"/>
    <w:uiPriority w:val="99"/>
    <w:rsid w:val="00AB3E73"/>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AB3E73"/>
    <w:rPr>
      <w:vertAlign w:val="superscript"/>
    </w:rPr>
  </w:style>
  <w:style w:type="table" w:customStyle="1" w:styleId="TableGrid1">
    <w:name w:val="Table Grid1"/>
    <w:basedOn w:val="TableNormal"/>
    <w:next w:val="TableGrid"/>
    <w:uiPriority w:val="59"/>
    <w:rsid w:val="00B0638A"/>
    <w:pPr>
      <w:spacing w:after="0" w:line="240" w:lineRule="auto"/>
    </w:pPr>
    <w:rPr>
      <w:rFonts w:ascii="Arial" w:eastAsia="MS Mincho"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84A60"/>
    <w:rPr>
      <w:color w:val="605E5C"/>
      <w:shd w:val="clear" w:color="auto" w:fill="E1DFDD"/>
    </w:rPr>
  </w:style>
  <w:style w:type="paragraph" w:customStyle="1" w:styleId="paragraph">
    <w:name w:val="paragraph"/>
    <w:basedOn w:val="ListParagraph"/>
    <w:link w:val="paragraphChar"/>
    <w:qFormat/>
    <w:rsid w:val="00C84A60"/>
    <w:pPr>
      <w:numPr>
        <w:numId w:val="2"/>
      </w:numPr>
      <w:ind w:left="567" w:hanging="567"/>
      <w:jc w:val="both"/>
    </w:pPr>
    <w:rPr>
      <w:rFonts w:cs="Arial"/>
      <w:szCs w:val="24"/>
    </w:rPr>
  </w:style>
  <w:style w:type="paragraph" w:customStyle="1" w:styleId="footnotes">
    <w:name w:val="footnotes"/>
    <w:basedOn w:val="FootnoteText"/>
    <w:link w:val="footnotesChar"/>
    <w:qFormat/>
    <w:rsid w:val="00BF1ECA"/>
    <w:pPr>
      <w:ind w:left="284" w:hanging="284"/>
    </w:pPr>
    <w:rPr>
      <w:rFonts w:cs="Arial"/>
      <w:lang w:val="en-US"/>
    </w:rPr>
  </w:style>
  <w:style w:type="character" w:customStyle="1" w:styleId="ListParagraphChar">
    <w:name w:val="List Paragraph Char"/>
    <w:basedOn w:val="DefaultParagraphFont"/>
    <w:link w:val="ListParagraph"/>
    <w:uiPriority w:val="34"/>
    <w:rsid w:val="00C84A60"/>
    <w:rPr>
      <w:rFonts w:ascii="Arial" w:hAnsi="Arial" w:cs="Times New Roman"/>
      <w:sz w:val="24"/>
      <w:szCs w:val="20"/>
      <w:lang w:eastAsia="en-GB"/>
    </w:rPr>
  </w:style>
  <w:style w:type="character" w:customStyle="1" w:styleId="paragraphChar">
    <w:name w:val="paragraph Char"/>
    <w:basedOn w:val="ListParagraphChar"/>
    <w:link w:val="paragraph"/>
    <w:rsid w:val="00C84A60"/>
    <w:rPr>
      <w:rFonts w:ascii="Arial" w:hAnsi="Arial" w:cs="Arial"/>
      <w:sz w:val="24"/>
      <w:szCs w:val="24"/>
      <w:lang w:eastAsia="en-GB"/>
    </w:rPr>
  </w:style>
  <w:style w:type="paragraph" w:customStyle="1" w:styleId="fn-opsomming">
    <w:name w:val="fn-opsomming"/>
    <w:basedOn w:val="footnotes"/>
    <w:link w:val="fn-opsommingChar"/>
    <w:qFormat/>
    <w:rsid w:val="00615799"/>
    <w:pPr>
      <w:numPr>
        <w:numId w:val="4"/>
      </w:numPr>
    </w:pPr>
    <w:rPr>
      <w:lang w:val="en-GB"/>
    </w:rPr>
  </w:style>
  <w:style w:type="character" w:customStyle="1" w:styleId="footnotesChar">
    <w:name w:val="footnotes Char"/>
    <w:basedOn w:val="FootnoteTextChar"/>
    <w:link w:val="footnotes"/>
    <w:rsid w:val="00BF1ECA"/>
    <w:rPr>
      <w:rFonts w:ascii="Arial" w:hAnsi="Arial" w:cs="Arial"/>
      <w:sz w:val="20"/>
      <w:szCs w:val="20"/>
      <w:lang w:val="en-US"/>
    </w:rPr>
  </w:style>
  <w:style w:type="character" w:customStyle="1" w:styleId="fn-opsommingChar">
    <w:name w:val="fn-opsomming Char"/>
    <w:basedOn w:val="footnotesChar"/>
    <w:link w:val="fn-opsomming"/>
    <w:rsid w:val="00615799"/>
    <w:rPr>
      <w:rFonts w:ascii="Arial" w:hAnsi="Arial" w:cs="Arial"/>
      <w:sz w:val="20"/>
      <w:szCs w:val="20"/>
      <w:lang w:val="en-US"/>
    </w:rPr>
  </w:style>
  <w:style w:type="paragraph" w:styleId="Revision">
    <w:name w:val="Revision"/>
    <w:hidden/>
    <w:uiPriority w:val="99"/>
    <w:semiHidden/>
    <w:rsid w:val="005D0518"/>
    <w:pPr>
      <w:spacing w:after="0" w:line="240" w:lineRule="auto"/>
    </w:pPr>
    <w:rPr>
      <w:rFonts w:ascii="Arial" w:hAnsi="Arial" w:cs="Times New Roman"/>
      <w:sz w:val="24"/>
      <w:szCs w:val="20"/>
    </w:rPr>
  </w:style>
  <w:style w:type="numbering" w:customStyle="1" w:styleId="NoList1">
    <w:name w:val="No List1"/>
    <w:next w:val="NoList"/>
    <w:uiPriority w:val="99"/>
    <w:semiHidden/>
    <w:unhideWhenUsed/>
    <w:rsid w:val="001A3B30"/>
  </w:style>
  <w:style w:type="table" w:customStyle="1" w:styleId="TableNormal1">
    <w:name w:val="Table Normal1"/>
    <w:rsid w:val="001A3B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it-IT" w:eastAsia="it-IT"/>
    </w:rPr>
    <w:tblPr>
      <w:tblInd w:w="0" w:type="dxa"/>
      <w:tblCellMar>
        <w:top w:w="0" w:type="dxa"/>
        <w:left w:w="0" w:type="dxa"/>
        <w:bottom w:w="0" w:type="dxa"/>
        <w:right w:w="0" w:type="dxa"/>
      </w:tblCellMar>
    </w:tblPr>
  </w:style>
  <w:style w:type="character" w:customStyle="1" w:styleId="None">
    <w:name w:val="None"/>
    <w:rsid w:val="001A3B30"/>
    <w:rPr>
      <w:lang w:val="en-US"/>
    </w:rPr>
  </w:style>
  <w:style w:type="paragraph" w:customStyle="1" w:styleId="HeaderFooter">
    <w:name w:val="Header &amp; Footer"/>
    <w:rsid w:val="001A3B30"/>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lang w:val="it-IT" w:eastAsia="it-IT"/>
    </w:rPr>
  </w:style>
  <w:style w:type="numbering" w:customStyle="1" w:styleId="ImportedStyle1">
    <w:name w:val="Imported Style 1"/>
    <w:rsid w:val="001A3B30"/>
    <w:pPr>
      <w:numPr>
        <w:numId w:val="5"/>
      </w:numPr>
    </w:pPr>
  </w:style>
  <w:style w:type="paragraph" w:customStyle="1" w:styleId="Default">
    <w:name w:val="Default"/>
    <w:rsid w:val="001A3B3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it-IT" w:eastAsia="it-IT"/>
    </w:rPr>
  </w:style>
  <w:style w:type="numbering" w:customStyle="1" w:styleId="ImportedStyle3">
    <w:name w:val="Imported Style 3"/>
    <w:rsid w:val="001A3B30"/>
    <w:pPr>
      <w:numPr>
        <w:numId w:val="6"/>
      </w:numPr>
    </w:pPr>
  </w:style>
  <w:style w:type="paragraph" w:customStyle="1" w:styleId="footnotedescription">
    <w:name w:val="footnote description"/>
    <w:next w:val="Normal"/>
    <w:rsid w:val="001A3B30"/>
    <w:pPr>
      <w:pBdr>
        <w:top w:val="nil"/>
        <w:left w:val="nil"/>
        <w:bottom w:val="nil"/>
        <w:right w:val="nil"/>
        <w:between w:val="nil"/>
        <w:bar w:val="nil"/>
      </w:pBdr>
      <w:spacing w:after="0" w:line="258" w:lineRule="auto"/>
    </w:pPr>
    <w:rPr>
      <w:rFonts w:ascii="Arial" w:eastAsia="Arial" w:hAnsi="Arial" w:cs="Arial"/>
      <w:color w:val="000000"/>
      <w:sz w:val="20"/>
      <w:szCs w:val="20"/>
      <w:u w:color="000000"/>
      <w:bdr w:val="nil"/>
      <w:lang w:val="it-IT" w:eastAsia="it-IT"/>
    </w:rPr>
  </w:style>
  <w:style w:type="character" w:customStyle="1" w:styleId="Link">
    <w:name w:val="Link"/>
    <w:rsid w:val="001A3B30"/>
    <w:rPr>
      <w:rFonts w:ascii="Arial" w:eastAsia="Arial" w:hAnsi="Arial" w:cs="Arial"/>
      <w:b w:val="0"/>
      <w:bCs w:val="0"/>
      <w:i w:val="0"/>
      <w:iCs w:val="0"/>
      <w:color w:val="0000FF"/>
      <w:u w:val="none" w:color="0000FF"/>
    </w:rPr>
  </w:style>
  <w:style w:type="character" w:customStyle="1" w:styleId="Hyperlink0">
    <w:name w:val="Hyperlink.0"/>
    <w:basedOn w:val="Link"/>
    <w:rsid w:val="001A3B30"/>
    <w:rPr>
      <w:rFonts w:ascii="Arial" w:eastAsia="Arial" w:hAnsi="Arial" w:cs="Arial"/>
      <w:b w:val="0"/>
      <w:bCs w:val="0"/>
      <w:i w:val="0"/>
      <w:iCs w:val="0"/>
      <w:color w:val="000000"/>
      <w:u w:val="none" w:color="000000"/>
    </w:rPr>
  </w:style>
  <w:style w:type="numbering" w:customStyle="1" w:styleId="ImportedStyle4">
    <w:name w:val="Imported Style 4"/>
    <w:rsid w:val="001A3B30"/>
    <w:pPr>
      <w:numPr>
        <w:numId w:val="9"/>
      </w:numPr>
    </w:pPr>
  </w:style>
  <w:style w:type="numbering" w:customStyle="1" w:styleId="ImportedStyle5">
    <w:name w:val="Imported Style 5"/>
    <w:rsid w:val="001A3B30"/>
    <w:pPr>
      <w:numPr>
        <w:numId w:val="11"/>
      </w:numPr>
    </w:pPr>
  </w:style>
  <w:style w:type="character" w:customStyle="1" w:styleId="Hyperlink1">
    <w:name w:val="Hyperlink.1"/>
    <w:basedOn w:val="Link"/>
    <w:rsid w:val="001A3B30"/>
    <w:rPr>
      <w:rFonts w:ascii="Arial" w:eastAsia="Arial" w:hAnsi="Arial" w:cs="Arial"/>
      <w:b w:val="0"/>
      <w:bCs w:val="0"/>
      <w:i w:val="0"/>
      <w:iCs w:val="0"/>
      <w:color w:val="0000FF"/>
      <w:u w:val="none" w:color="0000FF"/>
      <w:lang w:val="it-IT"/>
    </w:rPr>
  </w:style>
  <w:style w:type="character" w:customStyle="1" w:styleId="Hyperlink2">
    <w:name w:val="Hyperlink.2"/>
    <w:basedOn w:val="Link"/>
    <w:rsid w:val="001A3B30"/>
    <w:rPr>
      <w:rFonts w:ascii="Arial" w:eastAsia="Arial" w:hAnsi="Arial" w:cs="Arial"/>
      <w:b w:val="0"/>
      <w:bCs w:val="0"/>
      <w:i w:val="0"/>
      <w:iCs w:val="0"/>
      <w:color w:val="000000"/>
      <w:u w:val="none" w:color="000000"/>
      <w:lang w:val="en-US"/>
    </w:rPr>
  </w:style>
  <w:style w:type="character" w:customStyle="1" w:styleId="Hyperlink3">
    <w:name w:val="Hyperlink.3"/>
    <w:basedOn w:val="Link"/>
    <w:rsid w:val="001A3B30"/>
    <w:rPr>
      <w:rFonts w:ascii="Arial" w:eastAsia="Arial" w:hAnsi="Arial" w:cs="Arial"/>
      <w:b w:val="0"/>
      <w:bCs w:val="0"/>
      <w:i w:val="0"/>
      <w:iCs w:val="0"/>
      <w:color w:val="0000FF"/>
      <w:sz w:val="20"/>
      <w:szCs w:val="20"/>
      <w:u w:val="none" w:color="0000FF"/>
    </w:rPr>
  </w:style>
  <w:style w:type="numbering" w:customStyle="1" w:styleId="ImportedStyle6">
    <w:name w:val="Imported Style 6"/>
    <w:rsid w:val="001A3B30"/>
    <w:pPr>
      <w:numPr>
        <w:numId w:val="14"/>
      </w:numPr>
    </w:pPr>
  </w:style>
  <w:style w:type="character" w:customStyle="1" w:styleId="Hyperlink4">
    <w:name w:val="Hyperlink.4"/>
    <w:basedOn w:val="Link"/>
    <w:rsid w:val="001A3B30"/>
    <w:rPr>
      <w:rFonts w:ascii="Arial" w:eastAsia="Arial" w:hAnsi="Arial" w:cs="Arial"/>
      <w:b w:val="0"/>
      <w:bCs w:val="0"/>
      <w:i w:val="0"/>
      <w:iCs w:val="0"/>
      <w:color w:val="0000FF"/>
      <w:u w:val="none" w:color="0000FF"/>
      <w:lang w:val="en-US"/>
    </w:rPr>
  </w:style>
  <w:style w:type="numbering" w:customStyle="1" w:styleId="ImportedStyle7">
    <w:name w:val="Imported Style 7"/>
    <w:rsid w:val="001A3B30"/>
    <w:pPr>
      <w:numPr>
        <w:numId w:val="16"/>
      </w:numPr>
    </w:pPr>
  </w:style>
  <w:style w:type="numbering" w:customStyle="1" w:styleId="ImportedStyle8">
    <w:name w:val="Imported Style 8"/>
    <w:rsid w:val="001A3B30"/>
    <w:pPr>
      <w:numPr>
        <w:numId w:val="17"/>
      </w:numPr>
    </w:pPr>
  </w:style>
  <w:style w:type="numbering" w:customStyle="1" w:styleId="ImportedStyle9">
    <w:name w:val="Imported Style 9"/>
    <w:rsid w:val="001A3B30"/>
    <w:pPr>
      <w:numPr>
        <w:numId w:val="18"/>
      </w:numPr>
    </w:pPr>
  </w:style>
  <w:style w:type="character" w:customStyle="1" w:styleId="Hyperlink5">
    <w:name w:val="Hyperlink.5"/>
    <w:basedOn w:val="Link"/>
    <w:rsid w:val="001A3B30"/>
    <w:rPr>
      <w:rFonts w:ascii="Arial" w:eastAsia="Arial" w:hAnsi="Arial" w:cs="Arial"/>
      <w:b w:val="0"/>
      <w:bCs w:val="0"/>
      <w:i w:val="0"/>
      <w:iCs w:val="0"/>
      <w:color w:val="000099"/>
      <w:u w:val="none" w:color="000099"/>
      <w:lang w:val="en-US"/>
    </w:rPr>
  </w:style>
  <w:style w:type="numbering" w:customStyle="1" w:styleId="ImportedStyle10">
    <w:name w:val="Imported Style 10"/>
    <w:rsid w:val="001A3B30"/>
    <w:pPr>
      <w:numPr>
        <w:numId w:val="19"/>
      </w:numPr>
    </w:pPr>
  </w:style>
  <w:style w:type="character" w:customStyle="1" w:styleId="Hyperlink6">
    <w:name w:val="Hyperlink.6"/>
    <w:basedOn w:val="Link"/>
    <w:rsid w:val="001A3B30"/>
    <w:rPr>
      <w:rFonts w:ascii="Arial" w:eastAsia="Arial" w:hAnsi="Arial" w:cs="Arial"/>
      <w:b w:val="0"/>
      <w:bCs w:val="0"/>
      <w:i w:val="0"/>
      <w:iCs w:val="0"/>
      <w:color w:val="0000FF"/>
      <w:sz w:val="20"/>
      <w:szCs w:val="20"/>
      <w:u w:val="none" w:color="0000FF"/>
      <w:lang w:val="en-US"/>
    </w:rPr>
  </w:style>
  <w:style w:type="character" w:customStyle="1" w:styleId="Hyperlink7">
    <w:name w:val="Hyperlink.7"/>
    <w:basedOn w:val="None"/>
    <w:rsid w:val="001A3B30"/>
    <w:rPr>
      <w:color w:val="0563C1"/>
      <w:u w:color="0563C1"/>
      <w:lang w:val="it-IT"/>
    </w:rPr>
  </w:style>
  <w:style w:type="character" w:customStyle="1" w:styleId="Hyperlink8">
    <w:name w:val="Hyperlink.8"/>
    <w:basedOn w:val="None"/>
    <w:rsid w:val="001A3B30"/>
    <w:rPr>
      <w:color w:val="0563C1"/>
      <w:sz w:val="20"/>
      <w:szCs w:val="20"/>
      <w:u w:val="single" w:color="0563C1"/>
      <w:lang w:val="en-US"/>
    </w:rPr>
  </w:style>
  <w:style w:type="character" w:customStyle="1" w:styleId="Hyperlink9">
    <w:name w:val="Hyperlink.9"/>
    <w:basedOn w:val="Link"/>
    <w:rsid w:val="001A3B30"/>
    <w:rPr>
      <w:rFonts w:ascii="Arial" w:eastAsia="Arial" w:hAnsi="Arial" w:cs="Arial"/>
      <w:b w:val="0"/>
      <w:bCs w:val="0"/>
      <w:i w:val="0"/>
      <w:iCs w:val="0"/>
      <w:color w:val="0000FF"/>
      <w:sz w:val="20"/>
      <w:szCs w:val="20"/>
      <w:u w:val="none" w:color="0000FF"/>
      <w:lang w:val="it-IT"/>
    </w:rPr>
  </w:style>
  <w:style w:type="numbering" w:customStyle="1" w:styleId="ImportedStyle11">
    <w:name w:val="Imported Style 11"/>
    <w:rsid w:val="001A3B30"/>
    <w:pPr>
      <w:numPr>
        <w:numId w:val="23"/>
      </w:numPr>
    </w:pPr>
  </w:style>
  <w:style w:type="paragraph" w:customStyle="1" w:styleId="Footnote">
    <w:name w:val="Footnote"/>
    <w:basedOn w:val="Normal"/>
    <w:qFormat/>
    <w:rsid w:val="001A3B30"/>
    <w:pPr>
      <w:ind w:left="284" w:hanging="284"/>
    </w:pPr>
    <w:rPr>
      <w:rFonts w:cs="Arial"/>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749">
      <w:bodyDiv w:val="1"/>
      <w:marLeft w:val="0"/>
      <w:marRight w:val="0"/>
      <w:marTop w:val="0"/>
      <w:marBottom w:val="0"/>
      <w:divBdr>
        <w:top w:val="none" w:sz="0" w:space="0" w:color="auto"/>
        <w:left w:val="none" w:sz="0" w:space="0" w:color="auto"/>
        <w:bottom w:val="none" w:sz="0" w:space="0" w:color="auto"/>
        <w:right w:val="none" w:sz="0" w:space="0" w:color="auto"/>
      </w:divBdr>
      <w:divsChild>
        <w:div w:id="1023243893">
          <w:marLeft w:val="0"/>
          <w:marRight w:val="0"/>
          <w:marTop w:val="0"/>
          <w:marBottom w:val="0"/>
          <w:divBdr>
            <w:top w:val="none" w:sz="0" w:space="0" w:color="auto"/>
            <w:left w:val="none" w:sz="0" w:space="0" w:color="auto"/>
            <w:bottom w:val="none" w:sz="0" w:space="0" w:color="auto"/>
            <w:right w:val="none" w:sz="0" w:space="0" w:color="auto"/>
          </w:divBdr>
        </w:div>
        <w:div w:id="220672378">
          <w:marLeft w:val="0"/>
          <w:marRight w:val="0"/>
          <w:marTop w:val="0"/>
          <w:marBottom w:val="0"/>
          <w:divBdr>
            <w:top w:val="none" w:sz="0" w:space="0" w:color="auto"/>
            <w:left w:val="none" w:sz="0" w:space="0" w:color="auto"/>
            <w:bottom w:val="none" w:sz="0" w:space="0" w:color="auto"/>
            <w:right w:val="none" w:sz="0" w:space="0" w:color="auto"/>
          </w:divBdr>
        </w:div>
        <w:div w:id="744884832">
          <w:marLeft w:val="0"/>
          <w:marRight w:val="0"/>
          <w:marTop w:val="0"/>
          <w:marBottom w:val="0"/>
          <w:divBdr>
            <w:top w:val="none" w:sz="0" w:space="0" w:color="auto"/>
            <w:left w:val="none" w:sz="0" w:space="0" w:color="auto"/>
            <w:bottom w:val="none" w:sz="0" w:space="0" w:color="auto"/>
            <w:right w:val="none" w:sz="0" w:space="0" w:color="auto"/>
          </w:divBdr>
        </w:div>
      </w:divsChild>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624775787">
      <w:bodyDiv w:val="1"/>
      <w:marLeft w:val="0"/>
      <w:marRight w:val="0"/>
      <w:marTop w:val="0"/>
      <w:marBottom w:val="0"/>
      <w:divBdr>
        <w:top w:val="none" w:sz="0" w:space="0" w:color="auto"/>
        <w:left w:val="none" w:sz="0" w:space="0" w:color="auto"/>
        <w:bottom w:val="none" w:sz="0" w:space="0" w:color="auto"/>
        <w:right w:val="none" w:sz="0" w:space="0" w:color="auto"/>
      </w:divBdr>
    </w:div>
    <w:div w:id="641159901">
      <w:bodyDiv w:val="1"/>
      <w:marLeft w:val="0"/>
      <w:marRight w:val="0"/>
      <w:marTop w:val="0"/>
      <w:marBottom w:val="0"/>
      <w:divBdr>
        <w:top w:val="none" w:sz="0" w:space="0" w:color="auto"/>
        <w:left w:val="none" w:sz="0" w:space="0" w:color="auto"/>
        <w:bottom w:val="none" w:sz="0" w:space="0" w:color="auto"/>
        <w:right w:val="none" w:sz="0" w:space="0" w:color="auto"/>
      </w:divBdr>
    </w:div>
    <w:div w:id="698046458">
      <w:bodyDiv w:val="1"/>
      <w:marLeft w:val="0"/>
      <w:marRight w:val="0"/>
      <w:marTop w:val="0"/>
      <w:marBottom w:val="0"/>
      <w:divBdr>
        <w:top w:val="none" w:sz="0" w:space="0" w:color="auto"/>
        <w:left w:val="none" w:sz="0" w:space="0" w:color="auto"/>
        <w:bottom w:val="none" w:sz="0" w:space="0" w:color="auto"/>
        <w:right w:val="none" w:sz="0" w:space="0" w:color="auto"/>
      </w:divBdr>
    </w:div>
    <w:div w:id="876741919">
      <w:bodyDiv w:val="1"/>
      <w:marLeft w:val="0"/>
      <w:marRight w:val="0"/>
      <w:marTop w:val="0"/>
      <w:marBottom w:val="0"/>
      <w:divBdr>
        <w:top w:val="none" w:sz="0" w:space="0" w:color="auto"/>
        <w:left w:val="none" w:sz="0" w:space="0" w:color="auto"/>
        <w:bottom w:val="none" w:sz="0" w:space="0" w:color="auto"/>
        <w:right w:val="none" w:sz="0" w:space="0" w:color="auto"/>
      </w:divBdr>
    </w:div>
    <w:div w:id="901984298">
      <w:bodyDiv w:val="1"/>
      <w:marLeft w:val="0"/>
      <w:marRight w:val="0"/>
      <w:marTop w:val="0"/>
      <w:marBottom w:val="0"/>
      <w:divBdr>
        <w:top w:val="none" w:sz="0" w:space="0" w:color="auto"/>
        <w:left w:val="none" w:sz="0" w:space="0" w:color="auto"/>
        <w:bottom w:val="none" w:sz="0" w:space="0" w:color="auto"/>
        <w:right w:val="none" w:sz="0" w:space="0" w:color="auto"/>
      </w:divBdr>
    </w:div>
    <w:div w:id="994993880">
      <w:bodyDiv w:val="1"/>
      <w:marLeft w:val="0"/>
      <w:marRight w:val="0"/>
      <w:marTop w:val="0"/>
      <w:marBottom w:val="0"/>
      <w:divBdr>
        <w:top w:val="none" w:sz="0" w:space="0" w:color="auto"/>
        <w:left w:val="none" w:sz="0" w:space="0" w:color="auto"/>
        <w:bottom w:val="none" w:sz="0" w:space="0" w:color="auto"/>
        <w:right w:val="none" w:sz="0" w:space="0" w:color="auto"/>
      </w:divBdr>
    </w:div>
    <w:div w:id="1073746061">
      <w:bodyDiv w:val="1"/>
      <w:marLeft w:val="0"/>
      <w:marRight w:val="0"/>
      <w:marTop w:val="0"/>
      <w:marBottom w:val="0"/>
      <w:divBdr>
        <w:top w:val="none" w:sz="0" w:space="0" w:color="auto"/>
        <w:left w:val="none" w:sz="0" w:space="0" w:color="auto"/>
        <w:bottom w:val="none" w:sz="0" w:space="0" w:color="auto"/>
        <w:right w:val="none" w:sz="0" w:space="0" w:color="auto"/>
      </w:divBdr>
    </w:div>
    <w:div w:id="1118338112">
      <w:bodyDiv w:val="1"/>
      <w:marLeft w:val="0"/>
      <w:marRight w:val="0"/>
      <w:marTop w:val="0"/>
      <w:marBottom w:val="0"/>
      <w:divBdr>
        <w:top w:val="none" w:sz="0" w:space="0" w:color="auto"/>
        <w:left w:val="none" w:sz="0" w:space="0" w:color="auto"/>
        <w:bottom w:val="none" w:sz="0" w:space="0" w:color="auto"/>
        <w:right w:val="none" w:sz="0" w:space="0" w:color="auto"/>
      </w:divBdr>
    </w:div>
    <w:div w:id="1194423303">
      <w:bodyDiv w:val="1"/>
      <w:marLeft w:val="0"/>
      <w:marRight w:val="0"/>
      <w:marTop w:val="0"/>
      <w:marBottom w:val="0"/>
      <w:divBdr>
        <w:top w:val="none" w:sz="0" w:space="0" w:color="auto"/>
        <w:left w:val="none" w:sz="0" w:space="0" w:color="auto"/>
        <w:bottom w:val="none" w:sz="0" w:space="0" w:color="auto"/>
        <w:right w:val="none" w:sz="0" w:space="0" w:color="auto"/>
      </w:divBdr>
    </w:div>
    <w:div w:id="1603100650">
      <w:bodyDiv w:val="1"/>
      <w:marLeft w:val="0"/>
      <w:marRight w:val="0"/>
      <w:marTop w:val="0"/>
      <w:marBottom w:val="0"/>
      <w:divBdr>
        <w:top w:val="none" w:sz="0" w:space="0" w:color="auto"/>
        <w:left w:val="none" w:sz="0" w:space="0" w:color="auto"/>
        <w:bottom w:val="none" w:sz="0" w:space="0" w:color="auto"/>
        <w:right w:val="none" w:sz="0" w:space="0" w:color="auto"/>
      </w:divBdr>
    </w:div>
    <w:div w:id="18593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lavoro.gov.it/temi-e-priorita/disabilita-e-non-autosufficienza/focus-on/Vita-indipendente/Documents/Vita%2520indipendente_Bandi%25202014.pdf" TargetMode="External"/><Relationship Id="rId13" Type="http://schemas.openxmlformats.org/officeDocument/2006/relationships/hyperlink" Target="http://www.lavoro.gov.it/notizie/pagine/linee-guida-vita-indipendente-anno-2018.aspx/" TargetMode="External"/><Relationship Id="rId18" Type="http://schemas.openxmlformats.org/officeDocument/2006/relationships/hyperlink" Target="http://www.gazzettaufficiale.it/eli/id/2012/11/19/012G0216/sg" TargetMode="External"/><Relationship Id="rId26" Type="http://schemas.openxmlformats.org/officeDocument/2006/relationships/hyperlink" Target="http://www.grusol.it/pubblicaN.asp" TargetMode="External"/><Relationship Id="rId39" Type="http://schemas.openxmlformats.org/officeDocument/2006/relationships/hyperlink" Target="http://www.fishonlus.it/segregazione/category/segregazione/" TargetMode="External"/><Relationship Id="rId3" Type="http://schemas.openxmlformats.org/officeDocument/2006/relationships/hyperlink" Target="http://www.senato.it/leg/17/BGT/Schede/Ddliter/48103.htm" TargetMode="External"/><Relationship Id="rId21" Type="http://schemas.openxmlformats.org/officeDocument/2006/relationships/hyperlink" Target="http://www.garantenazionaleprivatiliberta.it/gnpl/it/pub_rel_par.page" TargetMode="External"/><Relationship Id="rId34" Type="http://schemas.openxmlformats.org/officeDocument/2006/relationships/hyperlink" Target="http://www.cpaonline.it" TargetMode="External"/><Relationship Id="rId7" Type="http://schemas.openxmlformats.org/officeDocument/2006/relationships/hyperlink" Target="http://www.gazzettaufficiale.it/eli/id/2017/12/12/17A08310/SG" TargetMode="External"/><Relationship Id="rId12" Type="http://schemas.openxmlformats.org/officeDocument/2006/relationships/hyperlink" Target="file:///\\192.168.1.70\HEC$\Projects_General\82%20-85-%2088%20-90%20%20ANED%20follow-up\Tasks%202018-2019\Task%20Policy%20theme%20DI\02_National%20reports\BG\Directorial%20Decree%20No&#160;669%20of%2028&#160;December%202018" TargetMode="External"/><Relationship Id="rId17" Type="http://schemas.openxmlformats.org/officeDocument/2006/relationships/hyperlink" Target="https://fra.europa.eu/en/project/2014/right-independent-living-persons-disabilities" TargetMode="External"/><Relationship Id="rId25" Type="http://schemas.openxmlformats.org/officeDocument/2006/relationships/hyperlink" Target="http://www.garantenazionaleprivatiliberta.it/gnpl/it/pub_rel_par.page" TargetMode="External"/><Relationship Id="rId33" Type="http://schemas.openxmlformats.org/officeDocument/2006/relationships/hyperlink" Target="http://www.centroperlautonomia.it" TargetMode="External"/><Relationship Id="rId38" Type="http://schemas.openxmlformats.org/officeDocument/2006/relationships/hyperlink" Target="http://www.fishonlus.it/segregazione/category/abusi-e-violenze/" TargetMode="External"/><Relationship Id="rId2" Type="http://schemas.openxmlformats.org/officeDocument/2006/relationships/hyperlink" Target="http://www.gazzettaufficiale.it/eli/id/1978/05/16/078U0180/sg" TargetMode="External"/><Relationship Id="rId16" Type="http://schemas.openxmlformats.org/officeDocument/2006/relationships/hyperlink" Target="https://fra.europa.eu/en/publication/2018/independent-living-reality" TargetMode="External"/><Relationship Id="rId20" Type="http://schemas.openxmlformats.org/officeDocument/2006/relationships/hyperlink" Target="http://www.garantenazionaleprivatiliberta.it/gnpl/it/rapporti.page" TargetMode="External"/><Relationship Id="rId29" Type="http://schemas.openxmlformats.org/officeDocument/2006/relationships/hyperlink" Target="https://sus.regione.sardegna.it/sus/searchprocedure/details/420" TargetMode="External"/><Relationship Id="rId1" Type="http://schemas.openxmlformats.org/officeDocument/2006/relationships/hyperlink" Target="http://www.gazzettaufficiale.it/eli/id/1977/08/18/077U0517/sg" TargetMode="External"/><Relationship Id="rId6" Type="http://schemas.openxmlformats.org/officeDocument/2006/relationships/hyperlink" Target="http://www.osservatoriodisabilita.it" TargetMode="External"/><Relationship Id="rId11" Type="http://schemas.openxmlformats.org/officeDocument/2006/relationships/hyperlink" Target="http://www.lavoro.gov.it/notizie/Pagine/Linee-Guida-Vita-Indipendente-anno-2017.aspx" TargetMode="External"/><Relationship Id="rId24" Type="http://schemas.openxmlformats.org/officeDocument/2006/relationships/hyperlink" Target="http://www.garantenazionaleprivatiliberta.it/gnpl/it/pub_rel_par.page" TargetMode="External"/><Relationship Id="rId32" Type="http://schemas.openxmlformats.org/officeDocument/2006/relationships/hyperlink" Target="http://www.regione.toscana.it/osservatoriosocialeregionale/attivita/disabilita/le-pubblicazioni" TargetMode="External"/><Relationship Id="rId37" Type="http://schemas.openxmlformats.org/officeDocument/2006/relationships/hyperlink" Target="http://www.secondowelfare.it/governi-locali/habitat-microaree-unesperienza-di-welfare-di-comunita-a-trieste.html" TargetMode="External"/><Relationship Id="rId5" Type="http://schemas.openxmlformats.org/officeDocument/2006/relationships/hyperlink" Target="http://www.gazzettaufficiale.it/eli/id/2017/12/12/17A08310/SG" TargetMode="External"/><Relationship Id="rId15" Type="http://schemas.openxmlformats.org/officeDocument/2006/relationships/hyperlink" Target="https://www.ohchr.org" TargetMode="External"/><Relationship Id="rId23" Type="http://schemas.openxmlformats.org/officeDocument/2006/relationships/hyperlink" Target="http://www.superando.it/" TargetMode="External"/><Relationship Id="rId28" Type="http://schemas.openxmlformats.org/officeDocument/2006/relationships/hyperlink" Target="http://community-living.info/wp-content/uploads/2014/02/ECCL-Focus-Report-2009-final-WEB.pdf" TargetMode="External"/><Relationship Id="rId36" Type="http://schemas.openxmlformats.org/officeDocument/2006/relationships/hyperlink" Target="http://www.laboratoriolinc.it/" TargetMode="External"/><Relationship Id="rId10" Type="http://schemas.openxmlformats.org/officeDocument/2006/relationships/hyperlink" Target="file:///\\192.168.1.70\HEC$\Projects_General\82%20-85-%2088%20-90%20%20ANED%20follow-up\Tasks%202018-2019\Task%20Policy%20theme%20DI\02_National%20reports\BG\Directorial%20Decree%20No&#160;808%20of%2029&#160;December%202017" TargetMode="External"/><Relationship Id="rId19" Type="http://schemas.openxmlformats.org/officeDocument/2006/relationships/hyperlink" Target="https://www.ohchr.org" TargetMode="External"/><Relationship Id="rId31" Type="http://schemas.openxmlformats.org/officeDocument/2006/relationships/hyperlink" Target="http://www.regione.umbria.it/sociale/vita-indipendente" TargetMode="External"/><Relationship Id="rId4" Type="http://schemas.openxmlformats.org/officeDocument/2006/relationships/hyperlink" Target="http://www.gazzettaufficiale.it/eli/id/2013/12/28/13A10469/sg" TargetMode="External"/><Relationship Id="rId9" Type="http://schemas.openxmlformats.org/officeDocument/2006/relationships/hyperlink" Target="http://www.lavoro.gov.it/temi-e-priorita/disabilita-e-non-autosufficienza/focus-on/Vita-indipendente/Documents/Vita%2520indipendente_Bandi%25202015.pdf" TargetMode="External"/><Relationship Id="rId14" Type="http://schemas.openxmlformats.org/officeDocument/2006/relationships/hyperlink" Target="http://www.handylex.org/stato/l220616.shtml" TargetMode="External"/><Relationship Id="rId22" Type="http://schemas.openxmlformats.org/officeDocument/2006/relationships/hyperlink" Target="http://www.superando.it/files/2016/03/fid-rapporto-convenzione-marzo-2016.pdf" TargetMode="External"/><Relationship Id="rId27" Type="http://schemas.openxmlformats.org/officeDocument/2006/relationships/hyperlink" Target="http://community-living.info/" TargetMode="External"/><Relationship Id="rId30" Type="http://schemas.openxmlformats.org/officeDocument/2006/relationships/hyperlink" Target="https://sus.regione.sardegna.it/sus/searchprocedure/details/409" TargetMode="External"/><Relationship Id="rId35" Type="http://schemas.openxmlformats.org/officeDocument/2006/relationships/hyperlink" Target="https://www.centrostudidivi.unito.it/progetti/officina-per-la-vita-indipendent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ciropizzo\Google%20Drive\Tabelle%20per%20A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000">
                <a:latin typeface="Times New Roman" panose="02020603050405020304" pitchFamily="18" charset="0"/>
                <a:cs typeface="Times New Roman" panose="02020603050405020304" pitchFamily="18" charset="0"/>
              </a:rPr>
              <a:t>Age Distrubution</a:t>
            </a:r>
            <a:r>
              <a:rPr lang="it-IT" sz="1000" baseline="0">
                <a:latin typeface="Times New Roman" panose="02020603050405020304" pitchFamily="18" charset="0"/>
                <a:cs typeface="Times New Roman" panose="02020603050405020304" pitchFamily="18" charset="0"/>
              </a:rPr>
              <a:t> for Year</a:t>
            </a:r>
            <a:endParaRPr lang="it-IT" sz="10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bar"/>
        <c:grouping val="clustered"/>
        <c:varyColors val="0"/>
        <c:ser>
          <c:idx val="1"/>
          <c:order val="0"/>
          <c:tx>
            <c:strRef>
              <c:f>'Age distribution'!$B$1</c:f>
              <c:strCache>
                <c:ptCount val="1"/>
                <c:pt idx="0">
                  <c:v>Children residents with disabilities or mental illness</c:v>
                </c:pt>
              </c:strCache>
            </c:strRef>
          </c:tx>
          <c:spPr>
            <a:solidFill>
              <a:schemeClr val="accent2"/>
            </a:solidFill>
            <a:ln>
              <a:noFill/>
            </a:ln>
            <a:effectLst/>
          </c:spPr>
          <c:invertIfNegative val="0"/>
          <c:cat>
            <c:numRef>
              <c:f>'Age distribution'!$A$2:$A$8</c:f>
              <c:numCache>
                <c:formatCode>0</c:formatCode>
                <c:ptCount val="7"/>
                <c:pt idx="0">
                  <c:v>2009</c:v>
                </c:pt>
                <c:pt idx="1">
                  <c:v>2010</c:v>
                </c:pt>
                <c:pt idx="2">
                  <c:v>2011</c:v>
                </c:pt>
                <c:pt idx="3">
                  <c:v>2012</c:v>
                </c:pt>
                <c:pt idx="4">
                  <c:v>2013</c:v>
                </c:pt>
                <c:pt idx="5">
                  <c:v>2014</c:v>
                </c:pt>
                <c:pt idx="6">
                  <c:v>2015</c:v>
                </c:pt>
              </c:numCache>
            </c:numRef>
          </c:cat>
          <c:val>
            <c:numRef>
              <c:f>'Age distribution'!$B$2:$B$8</c:f>
              <c:numCache>
                <c:formatCode>#,##0</c:formatCode>
                <c:ptCount val="7"/>
                <c:pt idx="0">
                  <c:v>3718</c:v>
                </c:pt>
                <c:pt idx="1">
                  <c:v>3028</c:v>
                </c:pt>
                <c:pt idx="2">
                  <c:v>2842</c:v>
                </c:pt>
                <c:pt idx="3">
                  <c:v>2593</c:v>
                </c:pt>
                <c:pt idx="4">
                  <c:v>2658</c:v>
                </c:pt>
                <c:pt idx="5">
                  <c:v>3147</c:v>
                </c:pt>
                <c:pt idx="6">
                  <c:v>2839</c:v>
                </c:pt>
              </c:numCache>
            </c:numRef>
          </c:val>
          <c:extLst>
            <c:ext xmlns:c16="http://schemas.microsoft.com/office/drawing/2014/chart" uri="{C3380CC4-5D6E-409C-BE32-E72D297353CC}">
              <c16:uniqueId val="{00000000-816D-48D1-BCBB-572D568478F5}"/>
            </c:ext>
          </c:extLst>
        </c:ser>
        <c:ser>
          <c:idx val="2"/>
          <c:order val="1"/>
          <c:tx>
            <c:strRef>
              <c:f>'Age distribution'!$C$1</c:f>
              <c:strCache>
                <c:ptCount val="1"/>
                <c:pt idx="0">
                  <c:v>Adult residents with disabilities or psychiatric conditions</c:v>
                </c:pt>
              </c:strCache>
            </c:strRef>
          </c:tx>
          <c:spPr>
            <a:solidFill>
              <a:schemeClr val="accent3"/>
            </a:solidFill>
            <a:ln>
              <a:noFill/>
            </a:ln>
            <a:effectLst/>
          </c:spPr>
          <c:invertIfNegative val="0"/>
          <c:cat>
            <c:numRef>
              <c:f>'Age distribution'!$A$2:$A$8</c:f>
              <c:numCache>
                <c:formatCode>0</c:formatCode>
                <c:ptCount val="7"/>
                <c:pt idx="0">
                  <c:v>2009</c:v>
                </c:pt>
                <c:pt idx="1">
                  <c:v>2010</c:v>
                </c:pt>
                <c:pt idx="2">
                  <c:v>2011</c:v>
                </c:pt>
                <c:pt idx="3">
                  <c:v>2012</c:v>
                </c:pt>
                <c:pt idx="4">
                  <c:v>2013</c:v>
                </c:pt>
                <c:pt idx="5">
                  <c:v>2014</c:v>
                </c:pt>
                <c:pt idx="6">
                  <c:v>2015</c:v>
                </c:pt>
              </c:numCache>
            </c:numRef>
          </c:cat>
          <c:val>
            <c:numRef>
              <c:f>'Age distribution'!$C$2:$C$8</c:f>
              <c:numCache>
                <c:formatCode>#,##0</c:formatCode>
                <c:ptCount val="7"/>
                <c:pt idx="0">
                  <c:v>55875</c:v>
                </c:pt>
                <c:pt idx="1">
                  <c:v>55662</c:v>
                </c:pt>
                <c:pt idx="2">
                  <c:v>51591</c:v>
                </c:pt>
                <c:pt idx="3">
                  <c:v>49159</c:v>
                </c:pt>
                <c:pt idx="4">
                  <c:v>49536</c:v>
                </c:pt>
                <c:pt idx="5">
                  <c:v>51593</c:v>
                </c:pt>
                <c:pt idx="6">
                  <c:v>49046</c:v>
                </c:pt>
              </c:numCache>
            </c:numRef>
          </c:val>
          <c:extLst>
            <c:ext xmlns:c16="http://schemas.microsoft.com/office/drawing/2014/chart" uri="{C3380CC4-5D6E-409C-BE32-E72D297353CC}">
              <c16:uniqueId val="{00000001-816D-48D1-BCBB-572D568478F5}"/>
            </c:ext>
          </c:extLst>
        </c:ser>
        <c:ser>
          <c:idx val="3"/>
          <c:order val="2"/>
          <c:tx>
            <c:strRef>
              <c:f>'Age distribution'!$D$1</c:f>
              <c:strCache>
                <c:ptCount val="1"/>
                <c:pt idx="0">
                  <c:v>Elderly not self-sufficient residents</c:v>
                </c:pt>
              </c:strCache>
            </c:strRef>
          </c:tx>
          <c:spPr>
            <a:solidFill>
              <a:schemeClr val="accent4"/>
            </a:solidFill>
            <a:ln>
              <a:noFill/>
            </a:ln>
            <a:effectLst/>
          </c:spPr>
          <c:invertIfNegative val="0"/>
          <c:cat>
            <c:numRef>
              <c:f>'Age distribution'!$A$2:$A$8</c:f>
              <c:numCache>
                <c:formatCode>0</c:formatCode>
                <c:ptCount val="7"/>
                <c:pt idx="0">
                  <c:v>2009</c:v>
                </c:pt>
                <c:pt idx="1">
                  <c:v>2010</c:v>
                </c:pt>
                <c:pt idx="2">
                  <c:v>2011</c:v>
                </c:pt>
                <c:pt idx="3">
                  <c:v>2012</c:v>
                </c:pt>
                <c:pt idx="4">
                  <c:v>2013</c:v>
                </c:pt>
                <c:pt idx="5">
                  <c:v>2014</c:v>
                </c:pt>
                <c:pt idx="6">
                  <c:v>2015</c:v>
                </c:pt>
              </c:numCache>
            </c:numRef>
          </c:cat>
          <c:val>
            <c:numRef>
              <c:f>'Age distribution'!$D$2:$D$8</c:f>
              <c:numCache>
                <c:formatCode>#,##0</c:formatCode>
                <c:ptCount val="7"/>
                <c:pt idx="0">
                  <c:v>225182</c:v>
                </c:pt>
                <c:pt idx="1">
                  <c:v>218851</c:v>
                </c:pt>
                <c:pt idx="2">
                  <c:v>209945</c:v>
                </c:pt>
                <c:pt idx="3">
                  <c:v>205258</c:v>
                </c:pt>
                <c:pt idx="4">
                  <c:v>210854</c:v>
                </c:pt>
                <c:pt idx="5">
                  <c:v>218576</c:v>
                </c:pt>
                <c:pt idx="6">
                  <c:v>218620</c:v>
                </c:pt>
              </c:numCache>
            </c:numRef>
          </c:val>
          <c:extLst>
            <c:ext xmlns:c16="http://schemas.microsoft.com/office/drawing/2014/chart" uri="{C3380CC4-5D6E-409C-BE32-E72D297353CC}">
              <c16:uniqueId val="{00000002-816D-48D1-BCBB-572D568478F5}"/>
            </c:ext>
          </c:extLst>
        </c:ser>
        <c:dLbls>
          <c:showLegendKey val="0"/>
          <c:showVal val="0"/>
          <c:showCatName val="0"/>
          <c:showSerName val="0"/>
          <c:showPercent val="0"/>
          <c:showBubbleSize val="0"/>
        </c:dLbls>
        <c:gapWidth val="182"/>
        <c:axId val="7207288"/>
        <c:axId val="7206112"/>
      </c:barChart>
      <c:catAx>
        <c:axId val="7207288"/>
        <c:scaling>
          <c:orientation val="minMax"/>
        </c:scaling>
        <c:delete val="0"/>
        <c:axPos val="l"/>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206112"/>
        <c:crosses val="autoZero"/>
        <c:auto val="1"/>
        <c:lblAlgn val="ctr"/>
        <c:lblOffset val="100"/>
        <c:noMultiLvlLbl val="0"/>
      </c:catAx>
      <c:valAx>
        <c:axId val="72061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7207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6BCC4-BF4B-4039-BFD1-42088F7A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8474</Words>
  <Characters>48306</Characters>
  <Application>Microsoft Office Word</Application>
  <DocSecurity>0</DocSecurity>
  <Lines>402</Lines>
  <Paragraphs>113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Ivette Groenendijk</cp:lastModifiedBy>
  <cp:revision>3</cp:revision>
  <cp:lastPrinted>2018-12-07T07:47:00Z</cp:lastPrinted>
  <dcterms:created xsi:type="dcterms:W3CDTF">2019-05-17T09:03:00Z</dcterms:created>
  <dcterms:modified xsi:type="dcterms:W3CDTF">2019-05-17T09:07:00Z</dcterms:modified>
</cp:coreProperties>
</file>