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W w:w="11186" w:type="dxa"/>
        <w:jc w:val="center"/>
        <w:tblLayout w:type="fixed"/>
        <w:tblBorders>
          <w:top w:val="single" w:color="0B2A55" w:sz="4" w:space="0"/>
          <w:left w:val="single" w:color="0B2A55" w:sz="4" w:space="0"/>
          <w:bottom w:val="single" w:color="0B2A55" w:sz="4" w:space="0"/>
          <w:right w:val="single" w:color="0B2A55" w:sz="4" w:space="0"/>
          <w:insideH w:val="nil" w:color="0B2A55" w:sz="0" w:space="0"/>
          <w:insideV w:val="nil" w:color="0B2A55" w:sz="0" w:space="0"/>
        </w:tblBorders>
        <w:tblCellMar>
          <w:top w:w="120" w:type="dxa"/>
          <w:left w:w="0" w:type="dxa"/>
          <w:bottom w:w="0" w:type="dxa"/>
          <w:right w:w="0" w:type="dxa"/>
        </w:tblCellMar>
      </w:tblPr>
      <w:tblGrid>
        <w:gridCol w:w="11186"/>
      </w:tblGrid>
      <w:tr>
        <w:trPr>
          <w:cantSplit/>
          <w:trHeight w:val="15800" w:hRule="exact"/>
          <w:jc w:val="center"/>
        </w:trPr>
        <w:tc>
          <w:tcPr>
            <w:tcW w:w="11186" w:type="dxa"/>
            <w:vAlign w:val="top"/>
          </w:tcPr>
          <w:tbl>
            <w:tblPr>
              <w:tblW w:w="10600" w:type="dxa"/>
              <w:jc w:val="center"/>
              <w:tblLayout w:type="fixed"/>
              <w:tblBorders>
                <w:top w:val="nil" w:color="0B2A55" w:sz="0" w:space="0"/>
                <w:left w:val="nil" w:color="0B2A55" w:sz="0" w:space="0"/>
                <w:bottom w:val="nil" w:color="0B2A55" w:sz="0" w:space="0"/>
                <w:right w:val="nil" w:color="0B2A55" w:sz="0" w:space="0"/>
                <w:insideH w:val="nil" w:color="0B2A55" w:sz="0" w:space="0"/>
                <w:insideV w:val="nil" w:color="0B2A55" w:sz="0" w:space="0"/>
              </w:tblBorders>
              <w:tblCellMar>
                <w:top w:w="0" w:type="dxa"/>
                <w:left w:w="0" w:type="dxa"/>
                <w:bottom w:w="0" w:type="dxa"/>
                <w:right w:w="0" w:type="dxa"/>
              </w:tblCellMar>
            </w:tblPr>
            <w:tblGrid>
              <w:gridCol w:w="10600"/>
            </w:tblGrid>
            <w:tr>
              <w:trPr>
                <w:cantSplit/>
                <w:trHeight w:val="2088" w:hRule="exact"/>
                <w:jc w:val="center"/>
              </w:trPr>
              <w:tc>
                <w:tcPr>
                  <w:tcW w:w="10600" w:type="dxa"/>
                  <w:vAlign w:val="top"/>
                </w:tcPr>
                <w:p>
                  <w:pPr>
                    <w:spacing w:before="72" w:after="34" w:line="240" w:lineRule="auto"/>
                    <w:jc w:val="left"/>
                  </w:pPr>
                  <w:r>
                    <w:rPr>
                      <w:rFonts w:ascii="Georgia" w:hAnsi="Georgia" w:eastAsia="Georgia" w:cs="Georgia"/>
                      <w:b/>
                      <w:color w:val="0B2A55"/>
                      <w:sz w:val="33"/>
                      <w:szCs w:val="33"/>
                    </w:rPr>
                    <w:t>Nanyang Technological University</w:t>
                  </w:r>
                </w:p>
                <w:p>
                  <w:pPr>
                    <w:spacing w:before="0" w:after="24" w:line="240" w:lineRule="auto"/>
                    <w:jc w:val="left"/>
                  </w:pPr>
                  <w:r>
                    <w:rPr>
                      <w:rFonts w:ascii="Georgia" w:hAnsi="Georgia" w:eastAsia="Georgia" w:cs="Georgia"/>
                      <w:color w:val="3F4854"/>
                      <w:sz w:val="24"/>
                      <w:szCs w:val="24"/>
                    </w:rPr>
                    <w:t>MH6822 Assignment 2 | Regulatory Technology</w:t>
                  </w:r>
                </w:p>
                <w:tbl>
                  <w:tblPr>
                    <w:tblW w:w="1944" w:type="dxa"/>
                    <w:jc w:val="left"/>
                    <w:tblLayout w:type="fixed"/>
                    <w:tblBorders>
                      <w:top w:val="nil" w:color="0B2A55" w:sz="0" w:space="0"/>
                      <w:left w:val="nil" w:color="0B2A55" w:sz="0" w:space="0"/>
                      <w:bottom w:val="single" w:color="0B2A55" w:sz="10" w:space="0"/>
                      <w:right w:val="nil" w:color="0B2A55" w:sz="0" w:space="0"/>
                      <w:insideH w:val="nil" w:color="0B2A55" w:sz="0" w:space="0"/>
                      <w:insideV w:val="nil" w:color="0B2A55" w:sz="0" w:space="0"/>
                    </w:tblBorders>
                    <w:tblCellMar>
                      <w:top w:w="0" w:type="dxa"/>
                      <w:left w:w="0" w:type="dxa"/>
                      <w:bottom w:w="0" w:type="dxa"/>
                      <w:right w:w="0" w:type="dxa"/>
                    </w:tblCellMar>
                  </w:tblPr>
                  <w:tblGrid>
                    <w:gridCol w:w="1944"/>
                  </w:tblGrid>
                  <w:tr>
                    <w:trPr>
                      <w:cantSplit/>
                      <w:trHeight w:val="18" w:hRule="exact"/>
                      <w:jc w:val="center"/>
                    </w:trPr>
                    <w:tc>
                      <w:tcPr>
                        <w:tcW w:w="1944" w:type="dxa"/>
                        <w:vAlign w:val="top"/>
                      </w:tcPr>
                      <w:p>
                        <w:pPr>
                          <w:spacing w:before="0" w:after="0" w:line="1" w:lineRule="exact"/>
                          <w:jc w:val="left"/>
                        </w:pPr>
                      </w:p>
                    </w:tc>
                  </w:tr>
                </w:tbl>
                <w:p>
                  <w:pPr>
                    <w:spacing w:before="0" w:after="0" w:line="1" w:lineRule="exact"/>
                    <w:jc w:val="left"/>
                  </w:pPr>
                </w:p>
              </w:tc>
            </w:tr>
            <w:tr>
              <w:trPr>
                <w:cantSplit/>
                <w:trHeight w:val="533" w:hRule="exact"/>
                <w:jc w:val="center"/>
              </w:trPr>
              <w:tc>
                <w:tcPr>
                  <w:tcW w:w="10600" w:type="dxa"/>
                  <w:vAlign w:val="center"/>
                </w:tcPr>
                <w:p>
                  <w:pPr>
                    <w:spacing w:before="0" w:after="0" w:line="1" w:lineRule="exact"/>
                    <w:jc w:val="left"/>
                  </w:pPr>
                </w:p>
              </w:tc>
            </w:tr>
            <w:tr>
              <w:trPr>
                <w:cantSplit/>
                <w:trHeight w:val="2592" w:hRule="exact"/>
                <w:jc w:val="center"/>
              </w:trPr>
              <w:tc>
                <w:tcPr>
                  <w:tcW w:w="10600" w:type="dxa"/>
                  <w:vAlign w:val="top"/>
                </w:tcPr>
                <w:p>
                  <w:pPr>
                    <w:spacing w:before="0" w:after="0" w:line="800" w:lineRule="exact"/>
                    <w:jc w:val="center"/>
                  </w:pPr>
                  <w:r>
                    <w:rPr>
                      <w:rFonts w:ascii="Georgia" w:hAnsi="Georgia" w:eastAsia="Georgia" w:cs="Georgia"/>
                      <w:b/>
                      <w:color w:val="0B2A55"/>
                      <w:sz w:val="44"/>
                      <w:szCs w:val="44"/>
                    </w:rPr>
                    <w:t>OTC Derivatives Trade Reporting</w:t>
                  </w:r>
                </w:p>
                <w:p>
                  <w:pPr>
                    <w:spacing w:before="0" w:after="0" w:line="800" w:lineRule="exact"/>
                    <w:jc w:val="center"/>
                  </w:pPr>
                  <w:r>
                    <w:rPr>
                      <w:rFonts w:ascii="Georgia" w:hAnsi="Georgia" w:eastAsia="Georgia" w:cs="Georgia"/>
                      <w:b/>
                      <w:color w:val="0B2A55"/>
                      <w:sz w:val="44"/>
                      <w:szCs w:val="44"/>
                    </w:rPr>
                    <w:t>Compliance Engine and Prediction</w:t>
                  </w:r>
                </w:p>
                <w:p>
                  <w:pPr>
                    <w:spacing w:before="0" w:after="0" w:line="800" w:lineRule="exact"/>
                    <w:jc w:val="center"/>
                  </w:pPr>
                  <w:r>
                    <w:rPr>
                      <w:rFonts w:ascii="Georgia" w:hAnsi="Georgia" w:eastAsia="Georgia" w:cs="Georgia"/>
                      <w:b/>
                      <w:color w:val="0B2A55"/>
                      <w:sz w:val="44"/>
                      <w:szCs w:val="44"/>
                    </w:rPr>
                    <w:t>Market Classification Frontier</w:t>
                  </w:r>
                </w:p>
              </w:tc>
            </w:tr>
            <w:tr>
              <w:trPr>
                <w:cantSplit/>
                <w:trHeight w:val="670" w:hRule="exact"/>
                <w:jc w:val="center"/>
              </w:trPr>
              <w:tc>
                <w:tcPr>
                  <w:tcW w:w="10600" w:type="dxa"/>
                  <w:vAlign w:val="center"/>
                </w:tcPr>
                <w:p>
                  <w:pPr>
                    <w:spacing w:before="0" w:after="0" w:line="1" w:lineRule="exact"/>
                    <w:jc w:val="left"/>
                  </w:pPr>
                </w:p>
              </w:tc>
            </w:tr>
            <w:tr>
              <w:trPr>
                <w:cantSplit/>
                <w:trHeight w:val="1372" w:hRule="exact"/>
                <w:jc w:val="center"/>
              </w:trPr>
              <w:tc>
                <w:tcPr>
                  <w:tcW w:w="10600" w:type="dxa"/>
                  <w:vAlign w:val="top"/>
                </w:tcPr>
                <w:p>
                  <w:pPr>
                    <w:spacing w:before="0" w:after="0" w:line="420" w:lineRule="exact"/>
                    <w:jc w:val="center"/>
                  </w:pPr>
                  <w:r>
                    <w:rPr>
                      <w:rFonts w:ascii="Georgia" w:hAnsi="Georgia" w:eastAsia="Georgia" w:cs="Georgia"/>
                      <w:color w:val="3F4854"/>
                      <w:sz w:val="28"/>
                      <w:szCs w:val="28"/>
                    </w:rPr>
                    <w:t>A rule-based RegTech pipeline for UPI, UTI, LEI, and CFTC/EMIR validation</w:t>
                  </w:r>
                </w:p>
                <w:p>
                  <w:pPr>
                    <w:spacing w:before="0" w:after="0" w:line="420" w:lineRule="exact"/>
                    <w:jc w:val="center"/>
                  </w:pPr>
                  <w:r>
                    <w:rPr>
                      <w:rFonts w:ascii="Georgia" w:hAnsi="Georgia" w:eastAsia="Georgia" w:cs="Georgia"/>
                      <w:color w:val="3F4854"/>
                      <w:sz w:val="28"/>
                      <w:szCs w:val="28"/>
                    </w:rPr>
                    <w:t>with EventContract classification analysis</w:t>
                  </w:r>
                </w:p>
              </w:tc>
            </w:tr>
            <w:tr>
              <w:trPr>
                <w:cantSplit/>
                <w:trHeight w:val="881" w:hRule="exact"/>
                <w:jc w:val="center"/>
              </w:trPr>
              <w:tc>
                <w:tcPr>
                  <w:tcW w:w="10600" w:type="dxa"/>
                  <w:vAlign w:val="top"/>
                </w:tcPr>
                <w:p>
                  <w:pPr>
                    <w:spacing w:before="0" w:after="10" w:line="240" w:lineRule="auto"/>
                    <w:jc w:val="center"/>
                  </w:pPr>
                  <w:r>
                    <w:rPr>
                      <w:rFonts w:ascii="Georgia" w:hAnsi="Georgia" w:eastAsia="Georgia" w:cs="Georgia"/>
                      <w:color w:val="23364D"/>
                      <w:sz w:val="19"/>
                      <w:szCs w:val="19"/>
                    </w:rPr>
                    <w:t>UPI / UTI / LEI validation · CFTC / EMIR reporting logic · T026–T028 EventContract frontier</w:t>
                  </w:r>
                </w:p>
                <w:p>
                  <w:pPr>
                    <w:spacing w:before="0" w:after="10" w:line="240" w:lineRule="auto"/>
                    <w:jc w:val="center"/>
                  </w:pPr>
                  <w:r>
                    <w:rPr>
                      <w:rFonts w:ascii="Georgia" w:hAnsi="Georgia" w:eastAsia="Georgia" w:cs="Georgia"/>
                      <w:color w:val="23364D"/>
                      <w:sz w:val="19"/>
                      <w:szCs w:val="19"/>
                    </w:rPr>
                    <w:t>Data quality · Reporting scope · Regulatory conclusion · Rule-based engine · Dashboard · Final report</w:t>
                  </w:r>
                </w:p>
              </w:tc>
            </w:tr>
            <w:tr>
              <w:trPr>
                <w:cantSplit/>
                <w:trHeight w:val="1584" w:hRule="exact"/>
                <w:jc w:val="center"/>
              </w:trPr>
              <w:tc>
                <w:tcPr>
                  <w:tcW w:w="10600" w:type="dxa"/>
                  <w:vAlign w:val="center"/>
                </w:tcPr>
                <w:p>
                  <w:pPr>
                    <w:spacing w:before="0" w:after="0" w:line="1" w:lineRule="exact"/>
                    <w:jc w:val="left"/>
                  </w:pPr>
                </w:p>
              </w:tc>
            </w:tr>
            <w:tr>
              <w:trPr>
                <w:cantSplit/>
                <w:trHeight w:val="504" w:hRule="exact"/>
                <w:jc w:val="center"/>
              </w:trPr>
              <w:tc>
                <w:tcPr>
                  <w:tcW w:w="10600" w:type="dxa"/>
                  <w:vAlign w:val="top"/>
                </w:tcPr>
                <w:p>
                  <w:pPr>
                    <w:spacing w:before="0" w:after="0" w:line="240" w:lineRule="auto"/>
                    <w:jc w:val="center"/>
                  </w:pPr>
                  <w:r>
                    <w:rPr>
                      <w:rFonts w:ascii="Georgia" w:hAnsi="Georgia" w:eastAsia="Georgia" w:cs="Georgia"/>
                      <w:b/>
                      <w:color w:val="0B2A55"/>
                      <w:sz w:val="35"/>
                      <w:szCs w:val="35"/>
                    </w:rPr>
                    <w:t>Prepared by</w:t>
                  </w:r>
                </w:p>
              </w:tc>
            </w:tr>
            <w:tr>
              <w:trPr>
                <w:cantSplit/>
                <w:trHeight w:val="3240" w:hRule="exact"/>
                <w:jc w:val="center"/>
              </w:trPr>
              <w:tc>
                <w:tcPr>
                  <w:tcW w:w="10600" w:type="dxa"/>
                  <w:vAlign w:val="center"/>
                </w:tcPr>
                <w:tbl>
                  <w:tblPr>
                    <w:tblW w:w="8640" w:type="dxa"/>
                    <w:jc w:val="center"/>
                    <w:tblLayout w:type="fixed"/>
                    <w:tblBorders>
                      <w:top w:val="single" w:color="0B2A55" w:sz="4" w:space="0"/>
                      <w:left w:val="single" w:color="0B2A55" w:sz="4" w:space="0"/>
                      <w:bottom w:val="single" w:color="0B2A55" w:sz="4" w:space="0"/>
                      <w:right w:val="single" w:color="0B2A55" w:sz="4" w:space="0"/>
                      <w:insideH w:val="single" w:color="0B2A55" w:sz="4" w:space="0"/>
                      <w:insideV w:val="single" w:color="0B2A55" w:sz="4" w:space="0"/>
                    </w:tblBorders>
                    <w:tblCellMar>
                      <w:top w:w="95" w:type="dxa"/>
                      <w:left w:w="125" w:type="dxa"/>
                      <w:bottom w:w="95" w:type="dxa"/>
                      <w:right w:w="125" w:type="dxa"/>
                    </w:tblCellMar>
                  </w:tblPr>
                  <w:tblGrid>
                    <w:gridCol w:w="3810"/>
                    <w:gridCol w:w="4830"/>
                  </w:tblGrid>
                  <w:tr>
                    <w:trPr>
                      <w:cantSplit/>
                      <w:trHeight w:val="450" w:hRule="exact"/>
                      <w:jc w:val="center"/>
                    </w:trPr>
                    <w:tc>
                      <w:tcPr>
                        <w:tcW w:w="3810" w:type="dxa"/>
                        <w:vAlign w:val="center"/>
                        <w:shd w:val="clear" w:color="auto" w:fill="0B2A55"/>
                        <w:tcBorders>
                          <w:top w:val="single" w:color="D6DCE5" w:sz="4" w:space="0"/>
                          <w:left w:val="single" w:color="D6DCE5" w:sz="4" w:space="0"/>
                          <w:bottom w:val="single" w:color="D6DCE5" w:sz="4" w:space="0"/>
                          <w:right w:val="single" w:color="D6DCE5" w:sz="4" w:space="0"/>
                        </w:tcBorders>
                      </w:tcPr>
                      <w:p>
                        <w:pPr>
                          <w:spacing w:before="0" w:after="0" w:line="240" w:lineRule="auto"/>
                          <w:jc w:val="center"/>
                        </w:pPr>
                        <w:r>
                          <w:rPr>
                            <w:rFonts w:ascii="Georgia" w:hAnsi="Georgia" w:eastAsia="Georgia" w:cs="Georgia"/>
                            <w:b/>
                            <w:color w:val="FFFFFF"/>
                            <w:sz w:val="22"/>
                            <w:szCs w:val="22"/>
                          </w:rPr>
                          <w:t>Student ID</w:t>
                        </w:r>
                      </w:p>
                    </w:tc>
                    <w:tc>
                      <w:tcPr>
                        <w:tcW w:w="4830" w:type="dxa"/>
                        <w:vAlign w:val="center"/>
                        <w:shd w:val="clear" w:color="auto" w:fill="0B2A55"/>
                        <w:tcBorders>
                          <w:top w:val="single" w:color="D6DCE5" w:sz="4" w:space="0"/>
                          <w:left w:val="single" w:color="D6DCE5" w:sz="4" w:space="0"/>
                          <w:bottom w:val="single" w:color="D6DCE5" w:sz="4" w:space="0"/>
                          <w:right w:val="single" w:color="D6DCE5" w:sz="4" w:space="0"/>
                        </w:tcBorders>
                      </w:tcPr>
                      <w:p>
                        <w:pPr>
                          <w:spacing w:before="0" w:after="0" w:line="240" w:lineRule="auto"/>
                          <w:jc w:val="center"/>
                        </w:pPr>
                        <w:r>
                          <w:rPr>
                            <w:rFonts w:ascii="Georgia" w:hAnsi="Georgia" w:eastAsia="Georgia" w:cs="Georgia"/>
                            <w:b/>
                            <w:color w:val="FFFFFF"/>
                            <w:sz w:val="22"/>
                            <w:szCs w:val="22"/>
                          </w:rPr>
                          <w:t>Name</w:t>
                        </w:r>
                      </w:p>
                    </w:tc>
                  </w:tr>
                  <w:tr>
                    <w:trPr>
                      <w:cantSplit/>
                      <w:trHeight w:val="450" w:hRule="exact"/>
                      <w:jc w:val="center"/>
                    </w:trPr>
                    <w:tc>
                      <w:tcPr>
                        <w:tcW w:w="3810" w:type="dxa"/>
                        <w:vAlign w:val="center"/>
                        <w:shd w:val="clear" w:color="auto" w:fill="FFFFFF"/>
                        <w:tcBorders>
                          <w:top w:val="single" w:color="D6DCE5" w:sz="4" w:space="0"/>
                          <w:left w:val="single" w:color="D6DCE5" w:sz="4" w:space="0"/>
                          <w:bottom w:val="single" w:color="D6DCE5" w:sz="4" w:space="0"/>
                          <w:right w:val="single" w:color="D6DCE5" w:sz="4" w:space="0"/>
                        </w:tcBorders>
                      </w:tcPr>
                      <w:p>
                        <w:pPr>
                          <w:spacing w:before="0" w:after="0" w:line="240" w:lineRule="auto"/>
                          <w:jc w:val="center"/>
                        </w:pPr>
                        <w:r>
                          <w:rPr>
                            <w:rFonts w:ascii="Times New Roman" w:hAnsi="Times New Roman" w:eastAsia="Times New Roman" w:cs="Times New Roman"/>
                            <w:color w:val="23364D"/>
                            <w:sz w:val="22"/>
                            <w:szCs w:val="22"/>
                          </w:rPr>
                          <w:t>G2505246J</w:t>
                        </w:r>
                      </w:p>
                    </w:tc>
                    <w:tc>
                      <w:tcPr>
                        <w:tcW w:w="4830" w:type="dxa"/>
                        <w:vAlign w:val="center"/>
                        <w:shd w:val="clear" w:color="auto" w:fill="FFFFFF"/>
                        <w:tcBorders>
                          <w:top w:val="single" w:color="D6DCE5" w:sz="4" w:space="0"/>
                          <w:left w:val="single" w:color="D6DCE5" w:sz="4" w:space="0"/>
                          <w:bottom w:val="single" w:color="D6DCE5" w:sz="4" w:space="0"/>
                          <w:right w:val="single" w:color="D6DCE5" w:sz="4" w:space="0"/>
                        </w:tcBorders>
                      </w:tcPr>
                      <w:p>
                        <w:pPr>
                          <w:spacing w:before="0" w:after="0" w:line="240" w:lineRule="auto"/>
                          <w:jc w:val="center"/>
                        </w:pPr>
                        <w:r>
                          <w:rPr>
                            <w:rFonts w:ascii="Georgia" w:hAnsi="Georgia" w:eastAsia="Georgia" w:cs="Georgia"/>
                            <w:color w:val="23364D"/>
                            <w:sz w:val="22"/>
                            <w:szCs w:val="22"/>
                          </w:rPr>
                          <w:t>LIU YISHAN</w:t>
                        </w:r>
                      </w:p>
                    </w:tc>
                  </w:tr>
                  <w:tr>
                    <w:trPr>
                      <w:cantSplit/>
                      <w:trHeight w:val="450" w:hRule="exact"/>
                      <w:jc w:val="center"/>
                    </w:trPr>
                    <w:tc>
                      <w:tcPr>
                        <w:tcW w:w="3810" w:type="dxa"/>
                        <w:vAlign w:val="center"/>
                        <w:shd w:val="clear" w:color="auto" w:fill="F4F6F8"/>
                        <w:tcBorders>
                          <w:top w:val="single" w:color="D6DCE5" w:sz="4" w:space="0"/>
                          <w:left w:val="single" w:color="D6DCE5" w:sz="4" w:space="0"/>
                          <w:bottom w:val="single" w:color="D6DCE5" w:sz="4" w:space="0"/>
                          <w:right w:val="single" w:color="D6DCE5" w:sz="4" w:space="0"/>
                        </w:tcBorders>
                      </w:tcPr>
                      <w:p>
                        <w:pPr>
                          <w:spacing w:before="0" w:after="0" w:line="240" w:lineRule="auto"/>
                          <w:jc w:val="center"/>
                        </w:pPr>
                        <w:r>
                          <w:rPr>
                            <w:rFonts w:ascii="Times New Roman" w:hAnsi="Times New Roman" w:eastAsia="Times New Roman" w:cs="Times New Roman"/>
                            <w:color w:val="23364D"/>
                            <w:sz w:val="22"/>
                            <w:szCs w:val="22"/>
                          </w:rPr>
                          <w:t>G2505431H</w:t>
                        </w:r>
                      </w:p>
                    </w:tc>
                    <w:tc>
                      <w:tcPr>
                        <w:tcW w:w="4830" w:type="dxa"/>
                        <w:vAlign w:val="center"/>
                        <w:shd w:val="clear" w:color="auto" w:fill="F4F6F8"/>
                        <w:tcBorders>
                          <w:top w:val="single" w:color="D6DCE5" w:sz="4" w:space="0"/>
                          <w:left w:val="single" w:color="D6DCE5" w:sz="4" w:space="0"/>
                          <w:bottom w:val="single" w:color="D6DCE5" w:sz="4" w:space="0"/>
                          <w:right w:val="single" w:color="D6DCE5" w:sz="4" w:space="0"/>
                        </w:tcBorders>
                      </w:tcPr>
                      <w:p>
                        <w:pPr>
                          <w:spacing w:before="0" w:after="0" w:line="240" w:lineRule="auto"/>
                          <w:jc w:val="center"/>
                        </w:pPr>
                        <w:r>
                          <w:rPr>
                            <w:rFonts w:ascii="Georgia" w:hAnsi="Georgia" w:eastAsia="Georgia" w:cs="Georgia"/>
                            <w:color w:val="23364D"/>
                            <w:sz w:val="22"/>
                            <w:szCs w:val="22"/>
                          </w:rPr>
                          <w:t>GONG PENG XIANG</w:t>
                        </w:r>
                      </w:p>
                    </w:tc>
                  </w:tr>
                  <w:tr>
                    <w:trPr>
                      <w:cantSplit/>
                      <w:trHeight w:val="450" w:hRule="exact"/>
                      <w:jc w:val="center"/>
                    </w:trPr>
                    <w:tc>
                      <w:tcPr>
                        <w:tcW w:w="3810" w:type="dxa"/>
                        <w:vAlign w:val="center"/>
                        <w:shd w:val="clear" w:color="auto" w:fill="FFFFFF"/>
                        <w:tcBorders>
                          <w:top w:val="single" w:color="D6DCE5" w:sz="4" w:space="0"/>
                          <w:left w:val="single" w:color="D6DCE5" w:sz="4" w:space="0"/>
                          <w:bottom w:val="single" w:color="D6DCE5" w:sz="4" w:space="0"/>
                          <w:right w:val="single" w:color="D6DCE5" w:sz="4" w:space="0"/>
                        </w:tcBorders>
                      </w:tcPr>
                      <w:p>
                        <w:pPr>
                          <w:spacing w:before="0" w:after="0" w:line="240" w:lineRule="auto"/>
                          <w:jc w:val="center"/>
                        </w:pPr>
                        <w:r>
                          <w:rPr>
                            <w:rFonts w:ascii="Times New Roman" w:hAnsi="Times New Roman" w:eastAsia="Times New Roman" w:cs="Times New Roman"/>
                            <w:color w:val="23364D"/>
                            <w:sz w:val="22"/>
                            <w:szCs w:val="22"/>
                          </w:rPr>
                          <w:t>G2506255B</w:t>
                        </w:r>
                      </w:p>
                    </w:tc>
                    <w:tc>
                      <w:tcPr>
                        <w:tcW w:w="4830" w:type="dxa"/>
                        <w:vAlign w:val="center"/>
                        <w:shd w:val="clear" w:color="auto" w:fill="FFFFFF"/>
                        <w:tcBorders>
                          <w:top w:val="single" w:color="D6DCE5" w:sz="4" w:space="0"/>
                          <w:left w:val="single" w:color="D6DCE5" w:sz="4" w:space="0"/>
                          <w:bottom w:val="single" w:color="D6DCE5" w:sz="4" w:space="0"/>
                          <w:right w:val="single" w:color="D6DCE5" w:sz="4" w:space="0"/>
                        </w:tcBorders>
                      </w:tcPr>
                      <w:p>
                        <w:pPr>
                          <w:spacing w:before="0" w:after="0" w:line="240" w:lineRule="auto"/>
                          <w:jc w:val="center"/>
                        </w:pPr>
                        <w:r>
                          <w:rPr>
                            <w:rFonts w:ascii="Georgia" w:hAnsi="Georgia" w:eastAsia="Georgia" w:cs="Georgia"/>
                            <w:color w:val="23364D"/>
                            <w:sz w:val="22"/>
                            <w:szCs w:val="22"/>
                          </w:rPr>
                          <w:t>GUO YIHAN</w:t>
                        </w:r>
                      </w:p>
                    </w:tc>
                  </w:tr>
                  <w:tr>
                    <w:trPr>
                      <w:cantSplit/>
                      <w:trHeight w:val="450" w:hRule="exact"/>
                      <w:jc w:val="center"/>
                    </w:trPr>
                    <w:tc>
                      <w:tcPr>
                        <w:tcW w:w="3810" w:type="dxa"/>
                        <w:vAlign w:val="center"/>
                        <w:shd w:val="clear" w:color="auto" w:fill="F4F6F8"/>
                        <w:tcBorders>
                          <w:top w:val="single" w:color="D6DCE5" w:sz="4" w:space="0"/>
                          <w:left w:val="single" w:color="D6DCE5" w:sz="4" w:space="0"/>
                          <w:bottom w:val="single" w:color="D6DCE5" w:sz="4" w:space="0"/>
                          <w:right w:val="single" w:color="D6DCE5" w:sz="4" w:space="0"/>
                        </w:tcBorders>
                      </w:tcPr>
                      <w:p>
                        <w:pPr>
                          <w:spacing w:before="0" w:after="0" w:line="240" w:lineRule="auto"/>
                          <w:jc w:val="center"/>
                        </w:pPr>
                        <w:r>
                          <w:rPr>
                            <w:rFonts w:ascii="Times New Roman" w:hAnsi="Times New Roman" w:eastAsia="Times New Roman" w:cs="Times New Roman"/>
                            <w:color w:val="23364D"/>
                            <w:sz w:val="22"/>
                            <w:szCs w:val="22"/>
                          </w:rPr>
                          <w:t>G2505266E</w:t>
                        </w:r>
                      </w:p>
                    </w:tc>
                    <w:tc>
                      <w:tcPr>
                        <w:tcW w:w="4830" w:type="dxa"/>
                        <w:vAlign w:val="center"/>
                        <w:shd w:val="clear" w:color="auto" w:fill="F4F6F8"/>
                        <w:tcBorders>
                          <w:top w:val="single" w:color="D6DCE5" w:sz="4" w:space="0"/>
                          <w:left w:val="single" w:color="D6DCE5" w:sz="4" w:space="0"/>
                          <w:bottom w:val="single" w:color="D6DCE5" w:sz="4" w:space="0"/>
                          <w:right w:val="single" w:color="D6DCE5" w:sz="4" w:space="0"/>
                        </w:tcBorders>
                      </w:tcPr>
                      <w:p>
                        <w:pPr>
                          <w:spacing w:before="0" w:after="0" w:line="240" w:lineRule="auto"/>
                          <w:jc w:val="center"/>
                        </w:pPr>
                        <w:r>
                          <w:rPr>
                            <w:rFonts w:ascii="Georgia" w:hAnsi="Georgia" w:eastAsia="Georgia" w:cs="Georgia"/>
                            <w:color w:val="23364D"/>
                            <w:sz w:val="22"/>
                            <w:szCs w:val="22"/>
                          </w:rPr>
                          <w:t>ZHANG JUNYI</w:t>
                        </w:r>
                      </w:p>
                    </w:tc>
                  </w:tr>
                </w:tbl>
                <w:p>
                  <w:pPr>
                    <w:spacing w:before="0" w:after="0" w:line="1" w:lineRule="exact"/>
                    <w:jc w:val="left"/>
                  </w:pPr>
                </w:p>
              </w:tc>
            </w:tr>
            <w:tr>
              <w:trPr>
                <w:cantSplit/>
                <w:trHeight w:val="216" w:hRule="exact"/>
                <w:jc w:val="center"/>
              </w:trPr>
              <w:tc>
                <w:tcPr>
                  <w:tcW w:w="10600" w:type="dxa"/>
                  <w:vAlign w:val="center"/>
                </w:tcPr>
                <w:p>
                  <w:pPr>
                    <w:spacing w:before="0" w:after="0" w:line="1" w:lineRule="exact"/>
                    <w:jc w:val="left"/>
                  </w:pPr>
                </w:p>
              </w:tc>
            </w:tr>
            <w:tr>
              <w:trPr>
                <w:cantSplit/>
                <w:trHeight w:val="720" w:hRule="exact"/>
                <w:jc w:val="center"/>
              </w:trPr>
              <w:tc>
                <w:tcPr>
                  <w:tcW w:w="10600" w:type="dxa"/>
                  <w:vAlign w:val="top"/>
                </w:tcPr>
                <w:p>
                  <w:pPr>
                    <w:spacing w:before="0" w:after="0" w:line="240" w:lineRule="auto"/>
                    <w:jc w:val="center"/>
                  </w:pPr>
                  <w:r>
                    <w:rPr>
                      <w:rFonts w:ascii="Georgia" w:hAnsi="Georgia" w:eastAsia="Georgia" w:cs="Georgia"/>
                      <w:color w:val="3F4854"/>
                      <w:sz w:val="23"/>
                      <w:szCs w:val="23"/>
                    </w:rPr>
                    <w:t>Regulatory Technology   |   May 2026</w:t>
                  </w:r>
                </w:p>
              </w:tc>
            </w:tr>
          </w:tbl>
          <w:p>
            <w:pPr>
              <w:spacing w:before="0" w:after="0" w:line="1" w:lineRule="exact"/>
              <w:jc w:val="left"/>
            </w:pPr>
          </w:p>
        </w:tc>
      </w:tr>
    </w:tbl>
    <w:p w14:paraId="4B89369D">
      <w:pPr>
        <w:widowControl/>
        <w:spacing w:before="0" w:after="0" w:line="240" w:lineRule="auto"/>
        <w:jc w:val="left"/>
        <w:sectPr>
          <w:footerReference r:id="rId4" w:type="first"/>
          <w:footerReference r:id="rId3" w:type="default"/>
          <w:pgSz w:w="11906" w:h="16838"/>
          <w:pgMar w:top="360" w:right="360" w:bottom="360" w:left="360" w:header="851" w:footer="992" w:gutter="0"/>
          <w:pgBorders w:offsetFrom="page">
            <w:top w:val="none" w:color="0B2A55" w:sz="0" w:space="0"/>
            <w:left w:val="none" w:color="0B2A55" w:sz="0" w:space="0"/>
            <w:bottom w:val="none" w:color="0B2A55" w:sz="0" w:space="0"/>
            <w:right w:val="none" w:color="0B2A55" w:sz="0" w:space="0"/>
          </w:pgBorders>
          <w:cols w:space="425" w:num="1"/>
          <w:titlePg/>
          <w:docGrid w:type="lines" w:linePitch="312" w:charSpace="0"/>
        </w:sectPr>
      </w:pPr>
    </w:p>
    <w:sdt>
      <w:sdtPr>
        <w:rPr>
          <w:rFonts w:ascii="Arial" w:hAnsi="Arial" w:eastAsia="SimSun" w:cs="Times New Roman"/>
          <w:kern w:val="2"/>
          <w:sz w:val="18"/>
          <w:szCs w:val="22"/>
          <w:lang w:val="en-US" w:eastAsia="zh-CN" w:bidi="ar-SA"/>
        </w:rPr>
        <w:alias w:val="全部目录"/>
        <w:tag w:val="BDCONTENTCONTROL_6e962db8-e282-4c6f-a562-79a6dbfe2402"/>
        <w:id w:val="1395400354"/>
        <w:placeholder>
          <w:docPart w:val="{ffb22cae-2d36-4357-b4b7-c458cc33ef3b}"/>
        </w:placeholder>
      </w:sdtPr>
      <w:sdtEndPr>
        <w:rPr>
          <w:rFonts w:ascii="Arial" w:hAnsi="Arial" w:eastAsia="SimSun" w:cs="Times New Roman"/>
          <w:kern w:val="2"/>
          <w:sz w:val="18"/>
          <w:szCs w:val="22"/>
          <w:lang w:val="en-US" w:eastAsia="zh-CN" w:bidi="ar-SA"/>
        </w:rPr>
      </w:sdtEndPr>
      <w:sdtContent>
        <w:p w14:paraId="19CB557B">
          <w:pPr>
            <w:widowControl/>
            <w:spacing w:before="0" w:after="22" w:line="210" w:lineRule="auto"/>
            <w:jc w:val="left"/>
            <w:rPr>
              <w:rFonts w:ascii="Arial" w:hAnsi="Arial" w:eastAsia="SimSun" w:cs="Times New Roman"/>
              <w:sz w:val="18"/>
              <w:szCs w:val="22"/>
            </w:rPr>
          </w:pPr>
        </w:p>
        <w:tbl>
          <w:tblPr>
            <w:tblStyle w:val="5"/>
            <w:tblW w:w="5000" w:type="pct"/>
            <w:tblInd w:w="0" w:type="dxa"/>
            <w:tblLayout w:type="autofit"/>
            <w:tblCellMar>
              <w:top w:w="0" w:type="dxa"/>
              <w:left w:w="108" w:type="dxa"/>
              <w:bottom w:w="0" w:type="dxa"/>
              <w:right w:w="108" w:type="dxa"/>
            </w:tblCellMar>
          </w:tblPr>
          <w:tblGrid>
            <w:gridCol w:w="10194"/>
          </w:tblGrid>
          <w:tr w14:paraId="15890A4C">
            <w:tc>
              <w:tcPr>
                <w:tcW w:w="5000" w:type="pct"/>
              </w:tcPr>
              <w:p w14:paraId="576F21DB">
                <w:pPr>
                  <w:spacing w:before="80" w:after="80" w:line="210" w:lineRule="auto"/>
                </w:pPr>
                <w:r>
                  <w:rPr>
                    <w:rFonts w:ascii="Georgia" w:hAnsi="Georgia" w:eastAsia="Georgia"/>
                    <w:b/>
                    <w:color w:val="0D2554"/>
                    <w:sz w:val="34"/>
                  </w:rPr>
                  <w:t>Table of Contents</w:t>
                </w:r>
              </w:p>
            </w:tc>
          </w:tr>
          <w:tr w14:paraId="4433AAB3">
            <w:tc>
              <w:tcPr>
                <w:tcW w:w="5000" w:type="pct"/>
              </w:tcPr>
              <w:p w14:paraId="2BB3FC29">
                <w:pPr>
                  <w:spacing w:before="0" w:after="22" w:line="210" w:lineRule="auto"/>
                </w:pPr>
                <w:r>
                  <w:rPr>
                    <w:rFonts w:ascii="Georgia" w:hAnsi="Georgia" w:eastAsia="Georgia"/>
                    <w:color w:val="0D2554"/>
                    <w:sz w:val="20"/>
                  </w:rPr>
                  <w:t>1. Thesis and Data Lineage ........................................ 3</w:t>
                </w:r>
              </w:p>
              <w:p w14:paraId="7CB88A1C">
                <w:pPr>
                  <w:spacing w:before="0" w:after="22" w:line="210" w:lineRule="auto"/>
                </w:pPr>
                <w:r>
                  <w:rPr>
                    <w:rFonts w:ascii="Georgia" w:hAnsi="Georgia" w:eastAsia="Georgia"/>
                    <w:color w:val="0D2554"/>
                    <w:sz w:val="20"/>
                  </w:rPr>
                  <w:t>2. Regulatory Framing ............................................. 4</w:t>
                </w:r>
              </w:p>
              <w:p w14:paraId="2E6CE1E0">
                <w:pPr>
                  <w:spacing w:before="0" w:after="22" w:line="210" w:lineRule="auto"/>
                </w:pPr>
                <w:r>
                  <w:rPr>
                    <w:rFonts w:ascii="Georgia" w:hAnsi="Georgia" w:eastAsia="Georgia"/>
                    <w:color w:val="0D2554"/>
                    <w:sz w:val="20"/>
                  </w:rPr>
                  <w:t>3. Engine Architecture ............................................ 4</w:t>
                </w:r>
              </w:p>
              <w:p w14:paraId="6E7FF644">
                <w:pPr>
                  <w:spacing w:before="0" w:after="22" w:line="210" w:lineRule="auto"/>
                </w:pPr>
                <w:r>
                  <w:rPr>
                    <w:rFonts w:ascii="Georgia" w:hAnsi="Georgia" w:eastAsia="Georgia"/>
                    <w:color w:val="0D2554"/>
                    <w:sz w:val="20"/>
                  </w:rPr>
                  <w:t>4. UPI Lookup and Codeset Validation .............................. 5</w:t>
                </w:r>
              </w:p>
              <w:p w14:paraId="41470E2F">
                <w:pPr>
                  <w:spacing w:before="0" w:after="22" w:line="210" w:lineRule="auto"/>
                </w:pPr>
                <w:r>
                  <w:rPr>
                    <w:rFonts w:ascii="Georgia" w:hAnsi="Georgia" w:eastAsia="Georgia"/>
                    <w:color w:val="0D2554"/>
                    <w:sz w:val="20"/>
                  </w:rPr>
                  <w:t>5. Compliance, Scope, and Conclusions ............................. 6</w:t>
                </w:r>
              </w:p>
              <w:p w14:paraId="0E6E9290">
                <w:pPr>
                  <w:spacing w:before="0" w:after="22" w:line="210" w:lineRule="auto"/>
                </w:pPr>
                <w:r>
                  <w:rPr>
                    <w:rFonts w:ascii="Georgia" w:hAnsi="Georgia" w:eastAsia="Georgia"/>
                    <w:color w:val="0D2554"/>
                    <w:sz w:val="20"/>
                  </w:rPr>
                  <w:t>6. Prediction Market Classification Frontier ...................... 9</w:t>
                </w:r>
              </w:p>
              <w:p w14:paraId="5F22684D">
                <w:pPr>
                  <w:spacing w:before="0" w:after="22" w:line="210" w:lineRule="auto"/>
                </w:pPr>
                <w:r>
                  <w:rPr>
                    <w:rFonts w:ascii="Georgia" w:hAnsi="Georgia" w:eastAsia="Georgia"/>
                    <w:color w:val="0D2554"/>
                    <w:sz w:val="20"/>
                  </w:rPr>
                  <w:t>7. Proposed EventContract UPI Schema ............................. 12</w:t>
                </w:r>
              </w:p>
              <w:p w14:paraId="33495464">
                <w:pPr>
                  <w:spacing w:before="0" w:after="22" w:line="210" w:lineRule="auto"/>
                </w:pPr>
                <w:r>
                  <w:rPr>
                    <w:rFonts w:ascii="Georgia" w:hAnsi="Georgia" w:eastAsia="Georgia"/>
                    <w:color w:val="0D2554"/>
                    <w:sz w:val="20"/>
                  </w:rPr>
                  <w:t>8. Regulatory Arbitrage Analysis—Two Elements from Brandes (2026) 12</w:t>
                </w:r>
              </w:p>
              <w:p w14:paraId="2ECDF15B">
                <w:pPr>
                  <w:spacing w:before="0" w:after="22" w:line="210" w:lineRule="auto"/>
                </w:pPr>
                <w:r>
                  <w:rPr>
                    <w:rFonts w:ascii="Georgia" w:hAnsi="Georgia" w:eastAsia="Georgia"/>
                    <w:color w:val="0D2554"/>
                    <w:sz w:val="20"/>
                  </w:rPr>
                  <w:t>9. Dashboard and Deliverables .................................... 13</w:t>
                </w:r>
              </w:p>
              <w:p w14:paraId="004AF1D9">
                <w:pPr>
                  <w:spacing w:before="0" w:after="22" w:line="210" w:lineRule="auto"/>
                </w:pPr>
                <w:r>
                  <w:rPr>
                    <w:rFonts w:ascii="Georgia" w:hAnsi="Georgia" w:eastAsia="Georgia"/>
                    <w:color w:val="0D2554"/>
                    <w:sz w:val="20"/>
                  </w:rPr>
                  <w:t>10. Engine Limits and CFTC Recommendations ....................... 14</w:t>
                </w:r>
              </w:p>
              <w:p w14:paraId="49749F07">
                <w:pPr>
                  <w:spacing w:before="0" w:after="22" w:line="210" w:lineRule="auto"/>
                </w:pPr>
                <w:r>
                  <w:rPr>
                    <w:rFonts w:ascii="Georgia" w:hAnsi="Georgia" w:eastAsia="Georgia"/>
                    <w:color w:val="0D2554"/>
                    <w:sz w:val="20"/>
                  </w:rPr>
                  <w:t>11. Conclusion ................................................... 16</w:t>
                </w:r>
              </w:p>
              <w:p w14:paraId="5561572C">
                <w:pPr>
                  <w:spacing w:before="0" w:after="22" w:line="210" w:lineRule="auto"/>
                </w:pPr>
                <w:r>
                  <w:rPr>
                    <w:rFonts w:ascii="Georgia" w:hAnsi="Georgia" w:eastAsia="Georgia"/>
                    <w:color w:val="0D2554"/>
                    <w:sz w:val="20"/>
                  </w:rPr>
                  <w:t>References ....................................................... 17</w:t>
                </w:r>
              </w:p>
              <w:p w14:paraId="44ADDB6E">
                <w:pPr>
                  <w:spacing w:before="0" w:after="22" w:line="210" w:lineRule="auto"/>
                </w:pPr>
                <w:r>
                  <w:rPr>
                    <w:rFonts w:ascii="Georgia" w:hAnsi="Georgia" w:eastAsia="Georgia"/>
                    <w:color w:val="0D2554"/>
                    <w:sz w:val="20"/>
                  </w:rPr>
                  <w:t>Appendix ......................................................... 18</w:t>
                </w:r>
              </w:p>
            </w:tc>
          </w:tr>
          <w:tr w14:paraId="4505AA0D">
            <w:tc>
              <w:tcPr>
                <w:tcW w:w="5000" w:type="pct"/>
              </w:tcPr>
              <w:p w14:paraId="22E60C49">
                <w:pPr>
                  <w:spacing w:before="65" w:after="34" w:line="210" w:lineRule="auto"/>
                </w:pPr>
                <w:r>
                  <w:rPr>
                    <w:rFonts w:ascii="Georgia" w:hAnsi="Georgia" w:eastAsia="Georgia"/>
                    <w:b/>
                    <w:color w:val="0D2554"/>
                    <w:sz w:val="26"/>
                  </w:rPr>
                  <w:t>List of Figures</w:t>
                </w:r>
              </w:p>
            </w:tc>
          </w:tr>
          <w:tr w14:paraId="44134B45">
            <w:tc>
              <w:tcPr>
                <w:tcW w:w="5000" w:type="pct"/>
              </w:tcPr>
              <w:p w14:paraId="05EF268C">
                <w:pPr>
                  <w:spacing w:before="0" w:after="22" w:line="210" w:lineRule="auto"/>
                </w:pPr>
                <w:r>
                  <w:rPr>
                    <w:rFonts w:ascii="Georgia" w:hAnsi="Georgia" w:eastAsia="Georgia"/>
                    <w:color w:val="0D2554"/>
                    <w:sz w:val="20"/>
                  </w:rPr>
                  <w:t>Figure 1: Pipeline Architecture Diagram ........................... 5</w:t>
                </w:r>
              </w:p>
              <w:p w14:paraId="2295AA4F">
                <w:pPr>
                  <w:spacing w:before="0" w:after="22" w:line="210" w:lineRule="auto"/>
                </w:pPr>
                <w:r>
                  <w:rPr>
                    <w:rFonts w:ascii="Georgia" w:hAnsi="Georgia" w:eastAsia="Georgia"/>
                    <w:color w:val="0D2554"/>
                    <w:sz w:val="20"/>
                  </w:rPr>
                  <w:t>Figure 2: Three-Dimensional Compliance Result ..................... 7</w:t>
                </w:r>
              </w:p>
              <w:p w14:paraId="090BCE1F">
                <w:pPr>
                  <w:spacing w:before="0" w:after="22" w:line="210" w:lineRule="auto"/>
                </w:pPr>
                <w:r>
                  <w:rPr>
                    <w:rFonts w:ascii="Georgia" w:hAnsi="Georgia" w:eastAsia="Georgia"/>
                    <w:color w:val="0D2554"/>
                    <w:sz w:val="20"/>
                  </w:rPr>
                  <w:t>Figure 3: EventContract Classification Frontier Matrix ........... 10</w:t>
                </w:r>
              </w:p>
              <w:p w14:paraId="35A1247F">
                <w:pPr>
                  <w:spacing w:before="0" w:after="22" w:line="210" w:lineRule="auto"/>
                </w:pPr>
                <w:r>
                  <w:rPr>
                    <w:rFonts w:ascii="Georgia" w:hAnsi="Georgia" w:eastAsia="Georgia"/>
                    <w:color w:val="0D2554"/>
                    <w:sz w:val="20"/>
                  </w:rPr>
                  <w:t>Figure 4a: Dashboard KPI Cards and Executive Interpretation ........ 14</w:t>
                </w:r>
              </w:p>
              <w:p w14:paraId="19A28AB1">
                <w:pPr>
                  <w:spacing w:before="0" w:after="22" w:line="210" w:lineRule="auto"/>
                </w:pPr>
                <w:r>
                  <w:rPr>
                    <w:rFonts w:ascii="Georgia" w:hAnsi="Georgia" w:eastAsia="Georgia"/>
                    <w:color w:val="0D2554"/>
                    <w:sz w:val="20"/>
                  </w:rPr>
                  <w:t>Figure 4b: Compliance Heatmap ..................................... 14</w:t>
                </w:r>
              </w:p>
            </w:tc>
          </w:tr>
          <w:tr w14:paraId="1162C046">
            <w:tc>
              <w:tcPr>
                <w:tcW w:w="5000" w:type="pct"/>
              </w:tcPr>
              <w:p w14:paraId="4245CE8F">
                <w:pPr>
                  <w:spacing w:before="65" w:after="34" w:line="210" w:lineRule="auto"/>
                </w:pPr>
                <w:r>
                  <w:rPr>
                    <w:rFonts w:ascii="Georgia" w:hAnsi="Georgia" w:eastAsia="Georgia"/>
                    <w:b/>
                    <w:color w:val="0D2554"/>
                    <w:sz w:val="26"/>
                  </w:rPr>
                  <w:t>List of Tables</w:t>
                </w:r>
              </w:p>
            </w:tc>
          </w:tr>
          <w:tr w14:paraId="64D7940B">
            <w:tc>
              <w:tcPr>
                <w:tcW w:w="5000" w:type="pct"/>
              </w:tcPr>
              <w:p w14:paraId="703E90EB">
                <w:pPr>
                  <w:spacing w:before="0" w:after="22" w:line="210" w:lineRule="auto"/>
                </w:pPr>
                <w:r>
                  <w:rPr>
                    <w:rFonts w:ascii="Georgia" w:hAnsi="Georgia" w:eastAsia="Georgia"/>
                    <w:color w:val="0D2554"/>
                    <w:sz w:val="20"/>
                  </w:rPr>
                  <w:t>Table 1: Auditable Data Chain ..................................... 3</w:t>
                </w:r>
              </w:p>
              <w:p w14:paraId="07060FB8">
                <w:pPr>
                  <w:spacing w:before="0" w:after="22" w:line="210" w:lineRule="auto"/>
                </w:pPr>
                <w:r>
                  <w:rPr>
                    <w:rFonts w:ascii="Georgia" w:hAnsi="Georgia" w:eastAsia="Georgia"/>
                    <w:color w:val="0D2554"/>
                    <w:sz w:val="20"/>
                  </w:rPr>
                  <w:t>Table 2: Portfolio Asset-Class Distribution ....................... 3</w:t>
                </w:r>
              </w:p>
              <w:p w14:paraId="0DDC3F47">
                <w:pPr>
                  <w:spacing w:before="0" w:after="22" w:line="210" w:lineRule="auto"/>
                </w:pPr>
                <w:r>
                  <w:rPr>
                    <w:rFonts w:ascii="Georgia" w:hAnsi="Georgia" w:eastAsia="Georgia"/>
                    <w:color w:val="0D2554"/>
                    <w:sz w:val="20"/>
                  </w:rPr>
                  <w:t>Table 3: Engine Parse Status Summary .............................. 5</w:t>
                </w:r>
              </w:p>
              <w:p w14:paraId="2059FF9A">
                <w:pPr>
                  <w:spacing w:before="0" w:after="22" w:line="210" w:lineRule="auto"/>
                </w:pPr>
                <w:r>
                  <w:rPr>
                    <w:rFonts w:ascii="Georgia" w:hAnsi="Georgia" w:eastAsia="Georgia"/>
                    <w:color w:val="0D2554"/>
                    <w:sz w:val="20"/>
                  </w:rPr>
                  <w:t>Table 4: Three-Dimensional Compliance Result Summary .............. 6</w:t>
                </w:r>
              </w:p>
              <w:p w14:paraId="24C998CF">
                <w:pPr>
                  <w:spacing w:before="0" w:after="22" w:line="210" w:lineRule="auto"/>
                </w:pPr>
                <w:r>
                  <w:rPr>
                    <w:rFonts w:ascii="Georgia" w:hAnsi="Georgia" w:eastAsia="Georgia"/>
                    <w:color w:val="0D2554"/>
                    <w:sz w:val="20"/>
                  </w:rPr>
                  <w:t>Table 5: Legacy Overall Status .................................... 7</w:t>
                </w:r>
              </w:p>
              <w:p w14:paraId="0A363E1A">
                <w:pPr>
                  <w:spacing w:before="0" w:after="22" w:line="210" w:lineRule="auto"/>
                </w:pPr>
                <w:r>
                  <w:rPr>
                    <w:rFonts w:ascii="Georgia" w:hAnsi="Georgia" w:eastAsia="Georgia"/>
                    <w:color w:val="0D2554"/>
                    <w:sz w:val="20"/>
                  </w:rPr>
                  <w:t>Table 6: Compliance Finding Frequency by Validation Rule .......... 7</w:t>
                </w:r>
              </w:p>
              <w:p w14:paraId="551DC6C4">
                <w:pPr>
                  <w:spacing w:before="0" w:after="22" w:line="210" w:lineRule="auto"/>
                </w:pPr>
                <w:r>
                  <w:rPr>
                    <w:rFonts w:ascii="Georgia" w:hAnsi="Georgia" w:eastAsia="Georgia"/>
                    <w:color w:val="0D2554"/>
                    <w:sz w:val="20"/>
                  </w:rPr>
                  <w:t>Table 7: Event-Contract Scope Assessment Rules .................... 8</w:t>
                </w:r>
              </w:p>
              <w:p w14:paraId="17947939">
                <w:pPr>
                  <w:spacing w:before="0" w:after="22" w:line="210" w:lineRule="auto"/>
                </w:pPr>
                <w:r>
                  <w:rPr>
                    <w:rFonts w:ascii="Georgia" w:hAnsi="Georgia" w:eastAsia="Georgia"/>
                    <w:color w:val="0D2554"/>
                    <w:sz w:val="20"/>
                  </w:rPr>
                  <w:t>Table 8: Key Trade-Level Findings ................................. 8</w:t>
                </w:r>
              </w:p>
              <w:p w14:paraId="4B9182B1">
                <w:pPr>
                  <w:spacing w:before="0" w:after="22" w:line="210" w:lineRule="auto"/>
                </w:pPr>
                <w:r>
                  <w:rPr>
                    <w:rFonts w:ascii="Georgia" w:hAnsi="Georgia" w:eastAsia="Georgia"/>
                    <w:color w:val="0D2554"/>
                    <w:sz w:val="20"/>
                  </w:rPr>
                  <w:t>Table 9: Event-Contract Classification Frontier Summary ........... 9</w:t>
                </w:r>
              </w:p>
              <w:p w14:paraId="0D8FEEE7">
                <w:pPr>
                  <w:spacing w:before="0" w:after="22" w:line="210" w:lineRule="auto"/>
                </w:pPr>
                <w:r>
                  <w:rPr>
                    <w:rFonts w:ascii="Georgia" w:hAnsi="Georgia" w:eastAsia="Georgia"/>
                    <w:color w:val="0D2554"/>
                    <w:sz w:val="20"/>
                  </w:rPr>
                  <w:t>Table 10: Economic Function Test for Event Contracts ............. 11</w:t>
                </w:r>
              </w:p>
            </w:tc>
          </w:tr>
          <w:tr w14:paraId="27093097">
            <w:tc>
              <w:tcPr>
                <w:tcW w:w="5000" w:type="pct"/>
              </w:tcPr>
              <w:p w14:paraId="3A91C7D6">
                <w:pPr>
                  <w:spacing w:before="65" w:after="34" w:line="210" w:lineRule="auto"/>
                </w:pPr>
                <w:r>
                  <w:rPr>
                    <w:rFonts w:ascii="Georgia" w:hAnsi="Georgia" w:eastAsia="Georgia"/>
                    <w:b/>
                    <w:color w:val="0D2554"/>
                    <w:sz w:val="26"/>
                  </w:rPr>
                  <w:t>Document map</w:t>
                </w:r>
              </w:p>
            </w:tc>
          </w:tr>
          <w:tr w14:paraId="5F543E36">
            <w:tc>
              <w:tcPr>
                <w:tcW w:w="5000" w:type="pct"/>
                <w:shd w:val="clear" w:color="auto" w:fill="F6F8FB"/>
              </w:tcPr>
              <w:p w14:paraId="5FC2DC97">
                <w:pPr>
                  <w:spacing w:before="0" w:after="22" w:line="210" w:lineRule="auto"/>
                </w:pPr>
                <w:r>
                  <w:rPr>
                    <w:rFonts w:ascii="Georgia" w:hAnsi="Georgia" w:eastAsia="Georgia"/>
                    <w:color w:val="0D2554"/>
                    <w:sz w:val="19"/>
                  </w:rPr>
                  <w:t>Sections 1–4   |   Data lineage, regulatory framing, and engine architecture</w:t>
                </w:r>
              </w:p>
              <w:p w14:paraId="24FA087F">
                <w:pPr>
                  <w:spacing w:before="0" w:after="22" w:line="210" w:lineRule="auto"/>
                </w:pPr>
                <w:r>
                  <w:rPr>
                    <w:rFonts w:ascii="Georgia" w:hAnsi="Georgia" w:eastAsia="Georgia"/>
                    <w:color w:val="0D2554"/>
                    <w:sz w:val="19"/>
                  </w:rPr>
                  <w:t>Sections 5–7   |   Compliance results, frontier analysis, and schema proposal</w:t>
                </w:r>
              </w:p>
              <w:p w14:paraId="15D6A9C0">
                <w:pPr>
                  <w:spacing w:before="0" w:after="22" w:line="210" w:lineRule="auto"/>
                </w:pPr>
                <w:r>
                  <w:rPr>
                    <w:rFonts w:ascii="Georgia" w:hAnsi="Georgia" w:eastAsia="Georgia"/>
                    <w:color w:val="0D2554"/>
                    <w:sz w:val="19"/>
                  </w:rPr>
                  <w:t>Sections 8–11  |   Regulatory interpretation, dashboard, recommendations, and conclusion</w:t>
                </w:r>
              </w:p>
            </w:tc>
          </w:tr>
        </w:tbl>
        <w:p w14:paraId="54BBEDB4">
          <w:pPr>
            <w:tabs>
              <w:tab w:val="left" w:pos="678"/>
            </w:tabs>
            <w:bidi w:val="0"/>
            <w:spacing w:before="0" w:after="22" w:line="210" w:lineRule="auto"/>
            <w:jc w:val="left"/>
            <w:rPr>
              <w:rFonts w:ascii="Arial" w:hAnsi="Arial" w:eastAsia="SimSun" w:cs="Times New Roman"/>
              <w:kern w:val="2"/>
              <w:sz w:val="18"/>
              <w:szCs w:val="22"/>
              <w:lang w:val="en-US" w:eastAsia="zh-CN" w:bidi="ar-SA"/>
            </w:rPr>
          </w:pPr>
        </w:p>
      </w:sdtContent>
    </w:sdt>
    <w:p w14:paraId="0A78D80F">
      <w:pPr>
        <w:pStyle w:val="2"/>
        <w:keepNext/>
        <w:pageBreakBefore/>
        <w:numPr>
          <w:ilvl w:val="0"/>
          <w:numId w:val="1"/>
        </w:numPr>
        <w:spacing w:before="200" w:after="80"/>
      </w:pPr>
      <w:bookmarkStart w:id="0" w:name="_Toc1406620781"/>
      <w:r>
        <w:rPr>
          <w:rFonts w:ascii="Georgia" w:hAnsi="Georgia" w:eastAsia="Georgia"/>
          <w:b/>
          <w:color w:val="0D2554"/>
          <w:sz w:val="23"/>
        </w:rPr>
        <w:t>Thesis and Data Lineage</w:t>
      </w:r>
      <w:bookmarkEnd w:id="0"/>
    </w:p>
    <w:p w14:paraId="22425CD5">
      <w:pPr>
        <w:pStyle w:val="14"/>
        <w:spacing w:after="120" w:line="259" w:lineRule="auto"/>
        <w:jc w:val="left"/>
      </w:pPr>
      <w:r>
        <w:rPr>
          <w:rFonts w:ascii="Times New Roman" w:hAnsi="Times New Roman" w:eastAsia="Times New Roman"/>
          <w:color w:val="1D2738"/>
          <w:sz w:val="22"/>
        </w:rPr>
        <w:t>The engine finds that conventional OTC products can be mapped and checked through existing UPI, UTI, and LEI infrastructure, but prediction market contracts expose a taxonomy and visibility gap: they may transfer real economic risk without producing standard trade-reporting identifiers. This report is therefore not only a JSON validation exercise. It is a data-driven regulatory analysis of where current reporting infrastructure works, where it flags bad data, and where it runs out of product-classification vocabulary.</w:t>
      </w:r>
    </w:p>
    <w:p w14:paraId="29982B19">
      <w:pPr>
        <w:pStyle w:val="15"/>
        <w:keepNext/>
        <w:wordWrap w:val="0"/>
        <w:ind w:left="0" w:leftChars="0" w:firstLine="0" w:firstLineChars="0"/>
        <w:rPr>
          <w:rFonts w:hint="default" w:asciiTheme="minorAscii" w:hAnsiTheme="minorAscii"/>
          <w:color w:val="auto"/>
        </w:rPr>
      </w:pPr>
      <w:bookmarkStart w:id="1" w:name="_Toc238276499"/>
      <w:bookmarkEnd w:id="1"/>
      <w:bookmarkStart w:id="2" w:name="_Toc467769033"/>
      <w:bookmarkEnd w:id="2"/>
      <w:bookmarkStart w:id="3" w:name="_Toc462757323"/>
      <w:bookmarkEnd w:id="3"/>
      <w:bookmarkStart w:id="4" w:name="_Toc462765529"/>
      <w:bookmarkEnd w:id="4"/>
      <w:bookmarkStart w:id="5" w:name="_Toc226478157"/>
      <w:bookmarkEnd w:id="5"/>
      <w:bookmarkStart w:id="6" w:name="_Toc462764485"/>
      <w:bookmarkEnd w:id="6"/>
      <w:bookmarkStart w:id="7" w:name="_Toc462765493"/>
      <w:bookmarkEnd w:id="7"/>
      <w:bookmarkStart w:id="8" w:name="_Toc467769117"/>
      <w:bookmarkEnd w:id="8"/>
      <w:r>
        <w:rPr>
          <w:rFonts w:ascii="Georgia" w:hAnsi="Georgia" w:eastAsia="Georgia"/>
          <w:b/>
          <w:color w:val="0D2554"/>
          <w:sz w:val="19"/>
        </w:rPr>
        <w:t>Table 1: Auditable Data Chain</w:t>
      </w:r>
    </w:p>
    <w:tbl>
      <w:tblPr>
        <w:tblStyle w:val="17"/>
        <w:tblW w:w="5000" w:type="pct"/>
        <w:tblInd w:w="0" w:type="dxa"/>
        <w:tblBorders>
          <w:top w:val="single" w:color="D8E1EE" w:sz="4" w:space="0"/>
          <w:left w:val="single" w:color="D8E1EE" w:sz="4" w:space="0"/>
          <w:bottom w:val="single" w:color="D8E1EE" w:sz="4" w:space="0"/>
          <w:right w:val="single" w:color="D8E1EE" w:sz="4" w:space="0"/>
          <w:insideH w:val="single" w:color="D8E1EE" w:sz="4" w:space="0"/>
          <w:insideV w:val="single" w:color="D8E1EE" w:sz="4" w:space="0"/>
        </w:tblBorders>
        <w:tblLayout w:type="autofit"/>
        <w:tblCellMar>
          <w:top w:w="0" w:type="dxa"/>
          <w:left w:w="108" w:type="dxa"/>
          <w:bottom w:w="0" w:type="dxa"/>
          <w:right w:w="108" w:type="dxa"/>
        </w:tblCellMar>
      </w:tblPr>
      <w:tblGrid>
        <w:gridCol w:w="3874"/>
        <w:gridCol w:w="3723"/>
        <w:gridCol w:w="2597"/>
      </w:tblGrid>
      <w:tr w14:paraId="73A5AA8D">
        <w:trPr>
          <w:cantSplit/>
          <w:tblHeader/>
        </w:trPr>
        <w:tc>
          <w:tcPr>
            <w:tcW w:w="1900" w:type="pct"/>
            <w:tcBorders>
              <w:top w:val="single" w:color="C9D5E2" w:sz="4" w:space="0"/>
              <w:left w:val="single" w:color="C9D5E2" w:sz="4" w:space="0"/>
              <w:bottom w:val="single" w:color="C9D5E2" w:sz="4" w:space="0"/>
              <w:right w:val="single" w:color="C9D5E2" w:sz="4" w:space="0"/>
              <w:insideH w:val="single" w:sz="0" w:space="0"/>
            </w:tcBorders>
            <w:shd w:val="clear" w:color="auto" w:fill="0D2554"/>
            <w:vAlign w:val="center"/>
          </w:tcPr>
          <w:p w14:paraId="67A9FBC8">
            <w:pPr>
              <w:pStyle w:val="16"/>
              <w:spacing w:before="0" w:after="0"/>
              <w:jc w:val="center"/>
              <w:rPr>
                <w:b/>
                <w:bCs/>
                <w:sz w:val="21"/>
                <w:szCs w:val="21"/>
              </w:rPr>
            </w:pPr>
            <w:r>
              <w:rPr>
                <w:rFonts w:ascii="Times New Roman" w:hAnsi="Times New Roman" w:eastAsia="Times New Roman"/>
                <w:b/>
                <w:bCs/>
                <w:color w:val="FFFFFF"/>
                <w:sz w:val="18"/>
                <w:szCs w:val="21"/>
              </w:rPr>
              <w:t>Layer</w:t>
            </w:r>
          </w:p>
        </w:tc>
        <w:tc>
          <w:tcPr>
            <w:tcW w:w="1826" w:type="pct"/>
            <w:tcBorders>
              <w:top w:val="single" w:color="C9D5E2" w:sz="4" w:space="0"/>
              <w:left w:val="single" w:color="C9D5E2" w:sz="4" w:space="0"/>
              <w:bottom w:val="single" w:color="C9D5E2" w:sz="4" w:space="0"/>
              <w:right w:val="single" w:color="C9D5E2" w:sz="4" w:space="0"/>
              <w:insideH w:val="single" w:sz="0" w:space="0"/>
            </w:tcBorders>
            <w:shd w:val="clear" w:color="auto" w:fill="0D2554"/>
            <w:vAlign w:val="center"/>
          </w:tcPr>
          <w:p w14:paraId="037AC274">
            <w:pPr>
              <w:pStyle w:val="16"/>
              <w:spacing w:before="0" w:after="0"/>
              <w:jc w:val="center"/>
              <w:rPr>
                <w:b/>
                <w:bCs/>
                <w:sz w:val="21"/>
                <w:szCs w:val="21"/>
              </w:rPr>
            </w:pPr>
            <w:r>
              <w:rPr>
                <w:rFonts w:ascii="Times New Roman" w:hAnsi="Times New Roman" w:eastAsia="Times New Roman"/>
                <w:b/>
                <w:bCs/>
                <w:color w:val="FFFFFF"/>
                <w:sz w:val="18"/>
                <w:szCs w:val="21"/>
              </w:rPr>
              <w:t>File</w:t>
            </w:r>
          </w:p>
        </w:tc>
        <w:tc>
          <w:tcPr>
            <w:tcW w:w="1275" w:type="pct"/>
            <w:tcBorders>
              <w:top w:val="single" w:color="C9D5E2" w:sz="4" w:space="0"/>
              <w:left w:val="single" w:color="C9D5E2" w:sz="4" w:space="0"/>
              <w:bottom w:val="single" w:color="C9D5E2" w:sz="4" w:space="0"/>
              <w:right w:val="single" w:color="C9D5E2" w:sz="4" w:space="0"/>
              <w:insideH w:val="single" w:sz="0" w:space="0"/>
            </w:tcBorders>
            <w:shd w:val="clear" w:color="auto" w:fill="0D2554"/>
            <w:vAlign w:val="center"/>
          </w:tcPr>
          <w:p w14:paraId="5ED2C1F2">
            <w:pPr>
              <w:pStyle w:val="16"/>
              <w:spacing w:before="0" w:after="0"/>
              <w:jc w:val="center"/>
              <w:rPr>
                <w:b/>
                <w:bCs/>
                <w:sz w:val="21"/>
                <w:szCs w:val="21"/>
              </w:rPr>
            </w:pPr>
            <w:r>
              <w:rPr>
                <w:rFonts w:ascii="Times New Roman" w:hAnsi="Times New Roman" w:eastAsia="Times New Roman"/>
                <w:b/>
                <w:bCs/>
                <w:color w:val="FFFFFF"/>
                <w:sz w:val="18"/>
                <w:szCs w:val="21"/>
              </w:rPr>
              <w:t>SHA-256 / version</w:t>
            </w:r>
          </w:p>
        </w:tc>
      </w:tr>
      <w:tr w14:paraId="3F1306A4">
        <w:trPr>
          <w:cantSplit/>
        </w:trPr>
        <w:tc>
          <w:tcPr>
            <w:tcW w:w="1900" w:type="pct"/>
            <w:tcBorders>
              <w:top w:val="single" w:color="C9D5E2" w:sz="4" w:space="0"/>
              <w:left w:val="single" w:color="C9D5E2" w:sz="4" w:space="0"/>
              <w:bottom w:val="single" w:color="C9D5E2" w:sz="4" w:space="0"/>
              <w:right w:val="single" w:color="C9D5E2" w:sz="4" w:space="0"/>
            </w:tcBorders>
            <w:vAlign w:val="center"/>
          </w:tcPr>
          <w:p w14:paraId="6EC0FD84">
            <w:pPr>
              <w:pStyle w:val="16"/>
              <w:spacing w:before="0" w:after="0"/>
              <w:jc w:val="center"/>
              <w:rPr>
                <w:sz w:val="20"/>
                <w:szCs w:val="20"/>
              </w:rPr>
            </w:pPr>
            <w:r>
              <w:rPr>
                <w:rFonts w:ascii="Times New Roman" w:hAnsi="Times New Roman" w:eastAsia="Times New Roman"/>
                <w:b w:val="0"/>
                <w:color w:val="1D2738"/>
                <w:sz w:val="18"/>
                <w:szCs w:val="20"/>
              </w:rPr>
              <w:t>Raw source facts</w:t>
            </w:r>
          </w:p>
        </w:tc>
        <w:tc>
          <w:tcPr>
            <w:tcW w:w="1826" w:type="pct"/>
            <w:tcBorders>
              <w:top w:val="single" w:color="C9D5E2" w:sz="4" w:space="0"/>
              <w:left w:val="single" w:color="C9D5E2" w:sz="4" w:space="0"/>
              <w:bottom w:val="single" w:color="C9D5E2" w:sz="4" w:space="0"/>
              <w:right w:val="single" w:color="C9D5E2" w:sz="4" w:space="0"/>
            </w:tcBorders>
            <w:vAlign w:val="center"/>
          </w:tcPr>
          <w:p w14:paraId="7AD36B9E">
            <w:pPr>
              <w:pStyle w:val="16"/>
              <w:spacing w:before="0" w:after="0"/>
              <w:jc w:val="center"/>
              <w:rPr>
                <w:sz w:val="20"/>
                <w:szCs w:val="20"/>
              </w:rPr>
            </w:pPr>
            <w:r>
              <w:rPr>
                <w:rFonts w:ascii="Times New Roman" w:hAnsi="Times New Roman" w:eastAsia="Times New Roman"/>
                <w:b w:val="0"/>
                <w:color w:val="1D2738"/>
                <w:sz w:val="18"/>
                <w:szCs w:val="20"/>
              </w:rPr>
              <w:t>data/raw/trades.json</w:t>
            </w:r>
          </w:p>
        </w:tc>
        <w:tc>
          <w:tcPr>
            <w:tcW w:w="1275" w:type="pct"/>
            <w:tcBorders>
              <w:top w:val="single" w:color="C9D5E2" w:sz="4" w:space="0"/>
              <w:left w:val="single" w:color="C9D5E2" w:sz="4" w:space="0"/>
              <w:bottom w:val="single" w:color="C9D5E2" w:sz="4" w:space="0"/>
              <w:right w:val="single" w:color="C9D5E2" w:sz="4" w:space="0"/>
            </w:tcBorders>
            <w:vAlign w:val="center"/>
          </w:tcPr>
          <w:p w14:paraId="67C2C229">
            <w:pPr>
              <w:pStyle w:val="16"/>
              <w:spacing w:before="0" w:after="0"/>
              <w:jc w:val="center"/>
              <w:rPr>
                <w:sz w:val="20"/>
                <w:szCs w:val="20"/>
              </w:rPr>
            </w:pPr>
            <w:r>
              <w:rPr>
                <w:rFonts w:ascii="Times New Roman" w:hAnsi="Times New Roman" w:eastAsia="Times New Roman"/>
                <w:b w:val="0"/>
                <w:color w:val="1D2738"/>
                <w:sz w:val="18"/>
                <w:szCs w:val="20"/>
              </w:rPr>
              <w:t>3c19ed405809</w:t>
            </w:r>
          </w:p>
        </w:tc>
      </w:tr>
      <w:tr w14:paraId="2E359D95">
        <w:trPr>
          <w:cantSplit/>
        </w:trPr>
        <w:tc>
          <w:tcPr>
            <w:tcW w:w="1900" w:type="pct"/>
            <w:tcBorders>
              <w:top w:val="single" w:color="C9D5E2" w:sz="4" w:space="0"/>
              <w:left w:val="single" w:color="C9D5E2" w:sz="4" w:space="0"/>
              <w:bottom w:val="single" w:color="C9D5E2" w:sz="4" w:space="0"/>
              <w:right w:val="single" w:color="C9D5E2" w:sz="4" w:space="0"/>
            </w:tcBorders>
            <w:shd w:val="clear" w:color="auto" w:fill="F8FAFD"/>
            <w:vAlign w:val="center"/>
          </w:tcPr>
          <w:p w14:paraId="42719785">
            <w:pPr>
              <w:pStyle w:val="16"/>
              <w:spacing w:before="0" w:after="0"/>
              <w:jc w:val="center"/>
              <w:rPr>
                <w:sz w:val="20"/>
                <w:szCs w:val="20"/>
              </w:rPr>
            </w:pPr>
            <w:r>
              <w:rPr>
                <w:rFonts w:ascii="Times New Roman" w:hAnsi="Times New Roman" w:eastAsia="Times New Roman"/>
                <w:b w:val="0"/>
                <w:color w:val="1D2738"/>
                <w:sz w:val="18"/>
                <w:szCs w:val="20"/>
              </w:rPr>
              <w:t>Processed normalized trades</w:t>
            </w:r>
          </w:p>
        </w:tc>
        <w:tc>
          <w:tcPr>
            <w:tcW w:w="1826" w:type="pct"/>
            <w:tcBorders>
              <w:top w:val="single" w:color="C9D5E2" w:sz="4" w:space="0"/>
              <w:left w:val="single" w:color="C9D5E2" w:sz="4" w:space="0"/>
              <w:bottom w:val="single" w:color="C9D5E2" w:sz="4" w:space="0"/>
              <w:right w:val="single" w:color="C9D5E2" w:sz="4" w:space="0"/>
            </w:tcBorders>
            <w:shd w:val="clear" w:color="auto" w:fill="F8FAFD"/>
            <w:vAlign w:val="center"/>
          </w:tcPr>
          <w:p w14:paraId="1DBB9B1E">
            <w:pPr>
              <w:pStyle w:val="16"/>
              <w:spacing w:before="0" w:after="0"/>
              <w:jc w:val="center"/>
              <w:rPr>
                <w:sz w:val="20"/>
                <w:szCs w:val="20"/>
              </w:rPr>
            </w:pPr>
            <w:r>
              <w:rPr>
                <w:rFonts w:ascii="Times New Roman" w:hAnsi="Times New Roman" w:eastAsia="Times New Roman"/>
                <w:b w:val="0"/>
                <w:color w:val="1D2738"/>
                <w:sz w:val="18"/>
                <w:szCs w:val="20"/>
              </w:rPr>
              <w:t>data/processed/trades.json</w:t>
            </w:r>
          </w:p>
        </w:tc>
        <w:tc>
          <w:tcPr>
            <w:tcW w:w="1275" w:type="pct"/>
            <w:tcBorders>
              <w:top w:val="single" w:color="C9D5E2" w:sz="4" w:space="0"/>
              <w:left w:val="single" w:color="C9D5E2" w:sz="4" w:space="0"/>
              <w:bottom w:val="single" w:color="C9D5E2" w:sz="4" w:space="0"/>
              <w:right w:val="single" w:color="C9D5E2" w:sz="4" w:space="0"/>
            </w:tcBorders>
            <w:shd w:val="clear" w:color="auto" w:fill="F8FAFD"/>
            <w:vAlign w:val="center"/>
          </w:tcPr>
          <w:p w14:paraId="643288C5">
            <w:pPr>
              <w:pStyle w:val="16"/>
              <w:spacing w:before="0" w:after="0"/>
              <w:jc w:val="center"/>
              <w:rPr>
                <w:sz w:val="20"/>
                <w:szCs w:val="20"/>
              </w:rPr>
            </w:pPr>
            <w:r>
              <w:rPr>
                <w:rFonts w:ascii="Times New Roman" w:hAnsi="Times New Roman" w:eastAsia="Times New Roman"/>
                <w:b w:val="0"/>
                <w:color w:val="1D2738"/>
                <w:sz w:val="18"/>
                <w:szCs w:val="20"/>
              </w:rPr>
              <w:t>3742984216e5</w:t>
            </w:r>
          </w:p>
        </w:tc>
      </w:tr>
      <w:tr w14:paraId="1C2B5336">
        <w:trPr>
          <w:cantSplit/>
        </w:trPr>
        <w:tc>
          <w:tcPr>
            <w:tcW w:w="1900" w:type="pct"/>
            <w:tcBorders>
              <w:top w:val="single" w:color="C9D5E2" w:sz="4" w:space="0"/>
              <w:left w:val="single" w:color="C9D5E2" w:sz="4" w:space="0"/>
              <w:bottom w:val="single" w:color="C9D5E2" w:sz="4" w:space="0"/>
              <w:right w:val="single" w:color="C9D5E2" w:sz="4" w:space="0"/>
            </w:tcBorders>
            <w:vAlign w:val="center"/>
          </w:tcPr>
          <w:p w14:paraId="03AED43E">
            <w:pPr>
              <w:pStyle w:val="16"/>
              <w:spacing w:before="0" w:after="0"/>
              <w:jc w:val="center"/>
              <w:rPr>
                <w:sz w:val="20"/>
                <w:szCs w:val="20"/>
              </w:rPr>
            </w:pPr>
            <w:r>
              <w:rPr>
                <w:rFonts w:ascii="Times New Roman" w:hAnsi="Times New Roman" w:eastAsia="Times New Roman"/>
                <w:b w:val="0"/>
                <w:color w:val="1D2738"/>
                <w:sz w:val="18"/>
                <w:szCs w:val="20"/>
              </w:rPr>
              <w:t>Product definitions</w:t>
            </w:r>
          </w:p>
        </w:tc>
        <w:tc>
          <w:tcPr>
            <w:tcW w:w="1826" w:type="pct"/>
            <w:tcBorders>
              <w:top w:val="single" w:color="C9D5E2" w:sz="4" w:space="0"/>
              <w:left w:val="single" w:color="C9D5E2" w:sz="4" w:space="0"/>
              <w:bottom w:val="single" w:color="C9D5E2" w:sz="4" w:space="0"/>
              <w:right w:val="single" w:color="C9D5E2" w:sz="4" w:space="0"/>
            </w:tcBorders>
            <w:vAlign w:val="center"/>
          </w:tcPr>
          <w:p w14:paraId="1C485118">
            <w:pPr>
              <w:pStyle w:val="16"/>
              <w:spacing w:before="0" w:after="0"/>
              <w:jc w:val="center"/>
              <w:rPr>
                <w:sz w:val="20"/>
                <w:szCs w:val="20"/>
              </w:rPr>
            </w:pPr>
            <w:r>
              <w:rPr>
                <w:rFonts w:ascii="Times New Roman" w:hAnsi="Times New Roman" w:eastAsia="Times New Roman"/>
                <w:b w:val="0"/>
                <w:color w:val="1D2738"/>
                <w:sz w:val="18"/>
                <w:szCs w:val="20"/>
              </w:rPr>
              <w:t>data/product_definitions</w:t>
            </w:r>
          </w:p>
        </w:tc>
        <w:tc>
          <w:tcPr>
            <w:tcW w:w="1275" w:type="pct"/>
            <w:tcBorders>
              <w:top w:val="single" w:color="C9D5E2" w:sz="4" w:space="0"/>
              <w:left w:val="single" w:color="C9D5E2" w:sz="4" w:space="0"/>
              <w:bottom w:val="single" w:color="C9D5E2" w:sz="4" w:space="0"/>
              <w:right w:val="single" w:color="C9D5E2" w:sz="4" w:space="0"/>
            </w:tcBorders>
            <w:vAlign w:val="center"/>
          </w:tcPr>
          <w:p w14:paraId="151189D8">
            <w:pPr>
              <w:pStyle w:val="16"/>
              <w:spacing w:before="0" w:after="0"/>
              <w:jc w:val="center"/>
              <w:rPr>
                <w:sz w:val="20"/>
                <w:szCs w:val="20"/>
              </w:rPr>
            </w:pPr>
            <w:r>
              <w:rPr>
                <w:rFonts w:ascii="Times New Roman" w:hAnsi="Times New Roman" w:eastAsia="Times New Roman"/>
                <w:b w:val="0"/>
                <w:color w:val="1D2738"/>
                <w:sz w:val="18"/>
                <w:szCs w:val="20"/>
              </w:rPr>
              <w:t>8ddc6fc57e2a3f02</w:t>
            </w:r>
          </w:p>
        </w:tc>
      </w:tr>
    </w:tbl>
    <w:p w14:paraId="4DE0E8B0">
      <w:pPr>
        <w:pStyle w:val="3"/>
        <w:spacing w:after="120" w:line="259" w:lineRule="auto"/>
        <w:jc w:val="left"/>
      </w:pPr>
      <w:r>
        <w:rPr>
          <w:rStyle w:val="18"/>
          <w:rFonts w:ascii="Times New Roman" w:hAnsi="Times New Roman" w:eastAsia="Times New Roman"/>
          <w:color w:val="1D2738"/>
          <w:sz w:val="22"/>
        </w:rPr>
        <w:t>data/raw/trades.json</w:t>
      </w:r>
      <w:r>
        <w:rPr>
          <w:rFonts w:ascii="Times New Roman" w:hAnsi="Times New Roman" w:eastAsia="Times New Roman"/>
          <w:color w:val="1D2738"/>
          <w:sz w:val="22"/>
        </w:rPr>
        <w:t xml:space="preserve"> is treated as the immutable case-file input.</w:t>
      </w:r>
      <w:r>
        <w:rPr>
          <w:rFonts w:hint="eastAsia" w:ascii="Times New Roman" w:hAnsi="Times New Roman" w:eastAsia="Times New Roman"/>
          <w:color w:val="1D2738"/>
          <w:sz w:val="22"/>
          <w:lang w:val="en-US" w:eastAsia="zh-CN"/>
        </w:rPr>
        <w:t xml:space="preserve"> </w:t>
      </w:r>
      <w:r>
        <w:rPr>
          <w:rStyle w:val="18"/>
          <w:rFonts w:ascii="Times New Roman" w:hAnsi="Times New Roman" w:eastAsia="Times New Roman"/>
          <w:color w:val="1D2738"/>
          <w:sz w:val="22"/>
        </w:rPr>
        <w:t>data/processed/trades.json</w:t>
      </w:r>
      <w:r>
        <w:rPr>
          <w:rStyle w:val="18"/>
          <w:rFonts w:hint="eastAsia" w:ascii="Times New Roman" w:hAnsi="Times New Roman" w:eastAsia="Times New Roman"/>
          <w:color w:val="1D2738"/>
          <w:sz w:val="22"/>
          <w:lang w:val="en-US" w:eastAsia="zh-CN"/>
        </w:rPr>
        <w:t xml:space="preserve"> </w:t>
      </w:r>
      <w:r>
        <w:rPr>
          <w:rFonts w:ascii="Times New Roman" w:hAnsi="Times New Roman" w:eastAsia="Times New Roman"/>
          <w:color w:val="1D2738"/>
          <w:sz w:val="22"/>
        </w:rPr>
        <w:t xml:space="preserve">is the normalized runtime file. The normalizer renames the raw </w:t>
      </w:r>
      <w:r>
        <w:rPr>
          <w:rStyle w:val="18"/>
          <w:rFonts w:ascii="Times New Roman" w:hAnsi="Times New Roman" w:eastAsia="Times New Roman"/>
          <w:color w:val="1D2738"/>
          <w:sz w:val="22"/>
        </w:rPr>
        <w:t>parse_status</w:t>
      </w:r>
      <w:r>
        <w:rPr>
          <w:rFonts w:ascii="Times New Roman" w:hAnsi="Times New Roman" w:eastAsia="Times New Roman"/>
          <w:color w:val="1D2738"/>
          <w:sz w:val="22"/>
        </w:rPr>
        <w:t xml:space="preserve"> to </w:t>
      </w:r>
      <w:r>
        <w:rPr>
          <w:rStyle w:val="18"/>
          <w:rFonts w:ascii="Times New Roman" w:hAnsi="Times New Roman" w:eastAsia="Times New Roman"/>
          <w:color w:val="1D2738"/>
          <w:sz w:val="22"/>
        </w:rPr>
        <w:t>declared_parse_status</w:t>
      </w:r>
      <w:r>
        <w:rPr>
          <w:rFonts w:ascii="Times New Roman" w:hAnsi="Times New Roman" w:eastAsia="Times New Roman"/>
          <w:color w:val="1D2738"/>
          <w:sz w:val="22"/>
        </w:rPr>
        <w:t xml:space="preserve"> and moves event-contract conclusion-like fields into </w:t>
      </w:r>
      <w:r>
        <w:rPr>
          <w:rStyle w:val="18"/>
          <w:rFonts w:ascii="Times New Roman" w:hAnsi="Times New Roman" w:eastAsia="Times New Roman"/>
          <w:color w:val="1D2738"/>
          <w:sz w:val="22"/>
        </w:rPr>
        <w:t>case_file_*</w:t>
      </w:r>
      <w:r>
        <w:rPr>
          <w:rFonts w:ascii="Times New Roman" w:hAnsi="Times New Roman" w:eastAsia="Times New Roman"/>
          <w:color w:val="1D2738"/>
          <w:sz w:val="22"/>
        </w:rPr>
        <w:t xml:space="preserve"> source facts. The engine then produces its own parse result, compliance findings, scope assessments, and regulatory conclusions. This avoids blindly trusting labels in the raw data while preserving the original case-file facts for audit.</w:t>
      </w:r>
    </w:p>
    <w:p w14:paraId="24108941">
      <w:pPr>
        <w:pStyle w:val="15"/>
        <w:keepNext/>
        <w:wordWrap w:val="0"/>
        <w:ind w:left="0" w:leftChars="0" w:firstLine="0" w:firstLineChars="0"/>
        <w:rPr>
          <w:rFonts w:hint="default" w:asciiTheme="minorAscii" w:hAnsiTheme="minorAscii"/>
          <w:color w:val="auto"/>
        </w:rPr>
      </w:pPr>
      <w:bookmarkStart w:id="9" w:name="_Toc1385035390"/>
      <w:bookmarkEnd w:id="9"/>
      <w:r>
        <w:rPr>
          <w:rFonts w:ascii="Georgia" w:hAnsi="Georgia" w:eastAsia="Georgia"/>
          <w:b/>
          <w:color w:val="0D2554"/>
          <w:sz w:val="19"/>
        </w:rPr>
        <w:t>Table 2: Portfolio Asset-Class Distribution</w:t>
      </w:r>
    </w:p>
    <w:tbl>
      <w:tblPr>
        <w:tblStyle w:val="17"/>
        <w:tblW w:w="5000" w:type="pct"/>
        <w:tblInd w:w="0" w:type="dxa"/>
        <w:tblBorders>
          <w:top w:val="single" w:color="D8E1EE" w:sz="4" w:space="0"/>
          <w:left w:val="single" w:color="D8E1EE" w:sz="4" w:space="0"/>
          <w:bottom w:val="single" w:color="D8E1EE" w:sz="4" w:space="0"/>
          <w:right w:val="single" w:color="D8E1EE" w:sz="4" w:space="0"/>
          <w:insideH w:val="single" w:color="D8E1EE" w:sz="4" w:space="0"/>
          <w:insideV w:val="single" w:color="D8E1EE" w:sz="4" w:space="0"/>
        </w:tblBorders>
        <w:tblLayout w:type="autofit"/>
        <w:tblCellMar>
          <w:top w:w="0" w:type="dxa"/>
          <w:left w:w="108" w:type="dxa"/>
          <w:bottom w:w="0" w:type="dxa"/>
          <w:right w:w="108" w:type="dxa"/>
        </w:tblCellMar>
      </w:tblPr>
      <w:tblGrid>
        <w:gridCol w:w="5097"/>
        <w:gridCol w:w="5097"/>
      </w:tblGrid>
      <w:tr w14:paraId="6E5AA5E2">
        <w:trPr>
          <w:cantSplit/>
          <w:trHeight w:val="384" w:hRule="atLeast"/>
          <w:tblHeader/>
        </w:trPr>
        <w:tc>
          <w:tcPr>
            <w:tcW w:w="2500" w:type="pct"/>
            <w:tcBorders>
              <w:top w:val="single" w:color="C9D5E2" w:sz="4" w:space="0"/>
              <w:left w:val="single" w:color="C9D5E2" w:sz="4" w:space="0"/>
              <w:bottom w:val="single" w:color="C9D5E2" w:sz="4" w:space="0"/>
              <w:right w:val="single" w:color="C9D5E2" w:sz="4" w:space="0"/>
              <w:insideH w:val="single" w:sz="0" w:space="0"/>
            </w:tcBorders>
            <w:shd w:val="clear" w:color="auto" w:fill="0D2554"/>
            <w:vAlign w:val="center"/>
          </w:tcPr>
          <w:p w14:paraId="342CC062">
            <w:pPr>
              <w:pStyle w:val="16"/>
              <w:spacing w:before="0" w:after="0"/>
              <w:jc w:val="center"/>
              <w:rPr>
                <w:b/>
                <w:bCs/>
                <w:sz w:val="21"/>
                <w:szCs w:val="21"/>
              </w:rPr>
            </w:pPr>
            <w:r>
              <w:rPr>
                <w:rFonts w:ascii="Times New Roman" w:hAnsi="Times New Roman" w:eastAsia="Times New Roman"/>
                <w:b/>
                <w:bCs/>
                <w:color w:val="FFFFFF"/>
                <w:sz w:val="18"/>
                <w:szCs w:val="21"/>
              </w:rPr>
              <w:t>Asset class</w:t>
            </w:r>
          </w:p>
        </w:tc>
        <w:tc>
          <w:tcPr>
            <w:tcW w:w="2500" w:type="pct"/>
            <w:tcBorders>
              <w:top w:val="single" w:color="C9D5E2" w:sz="4" w:space="0"/>
              <w:left w:val="single" w:color="C9D5E2" w:sz="4" w:space="0"/>
              <w:bottom w:val="single" w:color="C9D5E2" w:sz="4" w:space="0"/>
              <w:right w:val="single" w:color="C9D5E2" w:sz="4" w:space="0"/>
              <w:insideH w:val="single" w:sz="0" w:space="0"/>
            </w:tcBorders>
            <w:shd w:val="clear" w:color="auto" w:fill="0D2554"/>
            <w:vAlign w:val="center"/>
          </w:tcPr>
          <w:p w14:paraId="3874021D">
            <w:pPr>
              <w:pStyle w:val="16"/>
              <w:spacing w:before="0" w:after="0"/>
              <w:jc w:val="center"/>
              <w:rPr>
                <w:b/>
                <w:bCs/>
                <w:sz w:val="21"/>
                <w:szCs w:val="21"/>
              </w:rPr>
            </w:pPr>
            <w:r>
              <w:rPr>
                <w:rFonts w:ascii="Times New Roman" w:hAnsi="Times New Roman" w:eastAsia="Times New Roman"/>
                <w:b/>
                <w:bCs/>
                <w:color w:val="FFFFFF"/>
                <w:sz w:val="18"/>
                <w:szCs w:val="21"/>
              </w:rPr>
              <w:t>Trades</w:t>
            </w:r>
          </w:p>
        </w:tc>
      </w:tr>
      <w:tr w14:paraId="3B3DBDC3">
        <w:trPr>
          <w:cantSplit/>
          <w:trHeight w:val="384" w:hRule="atLeast"/>
        </w:trPr>
        <w:tc>
          <w:tcPr>
            <w:tcW w:w="2500" w:type="pct"/>
            <w:tcBorders>
              <w:top w:val="single" w:color="C9D5E2" w:sz="4" w:space="0"/>
              <w:left w:val="single" w:color="C9D5E2" w:sz="4" w:space="0"/>
              <w:bottom w:val="single" w:color="C9D5E2" w:sz="4" w:space="0"/>
              <w:right w:val="single" w:color="C9D5E2" w:sz="4" w:space="0"/>
            </w:tcBorders>
            <w:vAlign w:val="center"/>
          </w:tcPr>
          <w:p w14:paraId="7C8B9689">
            <w:pPr>
              <w:pStyle w:val="16"/>
              <w:spacing w:before="0" w:after="0"/>
              <w:jc w:val="center"/>
              <w:rPr>
                <w:sz w:val="20"/>
                <w:szCs w:val="20"/>
              </w:rPr>
            </w:pPr>
            <w:r>
              <w:rPr>
                <w:rFonts w:ascii="Times New Roman" w:hAnsi="Times New Roman" w:eastAsia="Times New Roman"/>
                <w:b w:val="0"/>
                <w:color w:val="1D2738"/>
                <w:sz w:val="18"/>
                <w:szCs w:val="20"/>
              </w:rPr>
              <w:t>Rates</w:t>
            </w:r>
          </w:p>
        </w:tc>
        <w:tc>
          <w:tcPr>
            <w:tcW w:w="2500" w:type="pct"/>
            <w:tcBorders>
              <w:top w:val="single" w:color="C9D5E2" w:sz="4" w:space="0"/>
              <w:left w:val="single" w:color="C9D5E2" w:sz="4" w:space="0"/>
              <w:bottom w:val="single" w:color="C9D5E2" w:sz="4" w:space="0"/>
              <w:right w:val="single" w:color="C9D5E2" w:sz="4" w:space="0"/>
            </w:tcBorders>
            <w:vAlign w:val="center"/>
          </w:tcPr>
          <w:p w14:paraId="5B84EF2D">
            <w:pPr>
              <w:pStyle w:val="16"/>
              <w:spacing w:before="0" w:after="0"/>
              <w:jc w:val="center"/>
              <w:rPr>
                <w:sz w:val="20"/>
                <w:szCs w:val="20"/>
              </w:rPr>
            </w:pPr>
            <w:r>
              <w:rPr>
                <w:rFonts w:ascii="Times New Roman" w:hAnsi="Times New Roman" w:eastAsia="Times New Roman"/>
                <w:b w:val="0"/>
                <w:color w:val="1D2738"/>
                <w:sz w:val="18"/>
                <w:szCs w:val="20"/>
              </w:rPr>
              <w:t>10</w:t>
            </w:r>
          </w:p>
        </w:tc>
      </w:tr>
      <w:tr w14:paraId="0EB442E7">
        <w:trPr>
          <w:cantSplit/>
          <w:trHeight w:val="384" w:hRule="atLeast"/>
        </w:trPr>
        <w:tc>
          <w:tcPr>
            <w:tcW w:w="2500" w:type="pct"/>
            <w:tcBorders>
              <w:top w:val="single" w:color="C9D5E2" w:sz="4" w:space="0"/>
              <w:left w:val="single" w:color="C9D5E2" w:sz="4" w:space="0"/>
              <w:bottom w:val="single" w:color="C9D5E2" w:sz="4" w:space="0"/>
              <w:right w:val="single" w:color="C9D5E2" w:sz="4" w:space="0"/>
            </w:tcBorders>
            <w:shd w:val="clear" w:color="auto" w:fill="F8FAFD"/>
            <w:vAlign w:val="center"/>
          </w:tcPr>
          <w:p w14:paraId="3A1C4605">
            <w:pPr>
              <w:pStyle w:val="16"/>
              <w:spacing w:before="0" w:after="0"/>
              <w:jc w:val="center"/>
              <w:rPr>
                <w:sz w:val="20"/>
                <w:szCs w:val="20"/>
              </w:rPr>
            </w:pPr>
            <w:r>
              <w:rPr>
                <w:rFonts w:ascii="Times New Roman" w:hAnsi="Times New Roman" w:eastAsia="Times New Roman"/>
                <w:b w:val="0"/>
                <w:color w:val="1D2738"/>
                <w:sz w:val="18"/>
                <w:szCs w:val="20"/>
              </w:rPr>
              <w:t>Credit</w:t>
            </w:r>
          </w:p>
        </w:tc>
        <w:tc>
          <w:tcPr>
            <w:tcW w:w="2500" w:type="pct"/>
            <w:tcBorders>
              <w:top w:val="single" w:color="C9D5E2" w:sz="4" w:space="0"/>
              <w:left w:val="single" w:color="C9D5E2" w:sz="4" w:space="0"/>
              <w:bottom w:val="single" w:color="C9D5E2" w:sz="4" w:space="0"/>
              <w:right w:val="single" w:color="C9D5E2" w:sz="4" w:space="0"/>
            </w:tcBorders>
            <w:shd w:val="clear" w:color="auto" w:fill="F8FAFD"/>
            <w:vAlign w:val="center"/>
          </w:tcPr>
          <w:p w14:paraId="48F0F36E">
            <w:pPr>
              <w:pStyle w:val="16"/>
              <w:spacing w:before="0" w:after="0"/>
              <w:jc w:val="center"/>
              <w:rPr>
                <w:sz w:val="20"/>
                <w:szCs w:val="20"/>
              </w:rPr>
            </w:pPr>
            <w:r>
              <w:rPr>
                <w:rFonts w:ascii="Times New Roman" w:hAnsi="Times New Roman" w:eastAsia="Times New Roman"/>
                <w:b w:val="0"/>
                <w:color w:val="1D2738"/>
                <w:sz w:val="18"/>
                <w:szCs w:val="20"/>
              </w:rPr>
              <w:t>4</w:t>
            </w:r>
          </w:p>
        </w:tc>
      </w:tr>
      <w:tr w14:paraId="76B1C232">
        <w:trPr>
          <w:cantSplit/>
          <w:trHeight w:val="384" w:hRule="atLeast"/>
        </w:trPr>
        <w:tc>
          <w:tcPr>
            <w:tcW w:w="2500" w:type="pct"/>
            <w:tcBorders>
              <w:top w:val="single" w:color="C9D5E2" w:sz="4" w:space="0"/>
              <w:left w:val="single" w:color="C9D5E2" w:sz="4" w:space="0"/>
              <w:bottom w:val="single" w:color="C9D5E2" w:sz="4" w:space="0"/>
              <w:right w:val="single" w:color="C9D5E2" w:sz="4" w:space="0"/>
            </w:tcBorders>
            <w:vAlign w:val="center"/>
          </w:tcPr>
          <w:p w14:paraId="0BBB2AF8">
            <w:pPr>
              <w:pStyle w:val="16"/>
              <w:spacing w:before="0" w:after="0"/>
              <w:jc w:val="center"/>
              <w:rPr>
                <w:sz w:val="20"/>
                <w:szCs w:val="20"/>
              </w:rPr>
            </w:pPr>
            <w:r>
              <w:rPr>
                <w:rFonts w:ascii="Times New Roman" w:hAnsi="Times New Roman" w:eastAsia="Times New Roman"/>
                <w:b w:val="0"/>
                <w:color w:val="1D2738"/>
                <w:sz w:val="18"/>
                <w:szCs w:val="20"/>
              </w:rPr>
              <w:t>FX</w:t>
            </w:r>
          </w:p>
        </w:tc>
        <w:tc>
          <w:tcPr>
            <w:tcW w:w="2500" w:type="pct"/>
            <w:tcBorders>
              <w:top w:val="single" w:color="C9D5E2" w:sz="4" w:space="0"/>
              <w:left w:val="single" w:color="C9D5E2" w:sz="4" w:space="0"/>
              <w:bottom w:val="single" w:color="C9D5E2" w:sz="4" w:space="0"/>
              <w:right w:val="single" w:color="C9D5E2" w:sz="4" w:space="0"/>
            </w:tcBorders>
            <w:vAlign w:val="center"/>
          </w:tcPr>
          <w:p w14:paraId="37BA1185">
            <w:pPr>
              <w:pStyle w:val="16"/>
              <w:spacing w:before="0" w:after="0"/>
              <w:jc w:val="center"/>
              <w:rPr>
                <w:sz w:val="20"/>
                <w:szCs w:val="20"/>
              </w:rPr>
            </w:pPr>
            <w:r>
              <w:rPr>
                <w:rFonts w:ascii="Times New Roman" w:hAnsi="Times New Roman" w:eastAsia="Times New Roman"/>
                <w:b w:val="0"/>
                <w:color w:val="1D2738"/>
                <w:sz w:val="18"/>
                <w:szCs w:val="20"/>
              </w:rPr>
              <w:t>5</w:t>
            </w:r>
          </w:p>
        </w:tc>
      </w:tr>
      <w:tr w14:paraId="6FAD1BF2">
        <w:trPr>
          <w:cantSplit/>
          <w:trHeight w:val="384" w:hRule="atLeast"/>
        </w:trPr>
        <w:tc>
          <w:tcPr>
            <w:tcW w:w="2500" w:type="pct"/>
            <w:tcBorders>
              <w:top w:val="single" w:color="C9D5E2" w:sz="4" w:space="0"/>
              <w:left w:val="single" w:color="C9D5E2" w:sz="4" w:space="0"/>
              <w:bottom w:val="single" w:color="C9D5E2" w:sz="4" w:space="0"/>
              <w:right w:val="single" w:color="C9D5E2" w:sz="4" w:space="0"/>
            </w:tcBorders>
            <w:shd w:val="clear" w:color="auto" w:fill="F8FAFD"/>
            <w:vAlign w:val="center"/>
          </w:tcPr>
          <w:p w14:paraId="28E0414A">
            <w:pPr>
              <w:pStyle w:val="16"/>
              <w:spacing w:before="0" w:after="0"/>
              <w:jc w:val="center"/>
              <w:rPr>
                <w:sz w:val="20"/>
                <w:szCs w:val="20"/>
              </w:rPr>
            </w:pPr>
            <w:r>
              <w:rPr>
                <w:rFonts w:ascii="Times New Roman" w:hAnsi="Times New Roman" w:eastAsia="Times New Roman"/>
                <w:b w:val="0"/>
                <w:color w:val="1D2738"/>
                <w:sz w:val="18"/>
                <w:szCs w:val="20"/>
              </w:rPr>
              <w:t>Equity</w:t>
            </w:r>
          </w:p>
        </w:tc>
        <w:tc>
          <w:tcPr>
            <w:tcW w:w="2500" w:type="pct"/>
            <w:tcBorders>
              <w:top w:val="single" w:color="C9D5E2" w:sz="4" w:space="0"/>
              <w:left w:val="single" w:color="C9D5E2" w:sz="4" w:space="0"/>
              <w:bottom w:val="single" w:color="C9D5E2" w:sz="4" w:space="0"/>
              <w:right w:val="single" w:color="C9D5E2" w:sz="4" w:space="0"/>
            </w:tcBorders>
            <w:shd w:val="clear" w:color="auto" w:fill="F8FAFD"/>
            <w:vAlign w:val="center"/>
          </w:tcPr>
          <w:p w14:paraId="18218126">
            <w:pPr>
              <w:pStyle w:val="16"/>
              <w:spacing w:before="0" w:after="0"/>
              <w:jc w:val="center"/>
              <w:rPr>
                <w:sz w:val="20"/>
                <w:szCs w:val="20"/>
              </w:rPr>
            </w:pPr>
            <w:r>
              <w:rPr>
                <w:rFonts w:ascii="Times New Roman" w:hAnsi="Times New Roman" w:eastAsia="Times New Roman"/>
                <w:b w:val="0"/>
                <w:color w:val="1D2738"/>
                <w:sz w:val="18"/>
                <w:szCs w:val="20"/>
              </w:rPr>
              <w:t>4</w:t>
            </w:r>
          </w:p>
        </w:tc>
      </w:tr>
      <w:tr w14:paraId="070C93F8">
        <w:trPr>
          <w:cantSplit/>
          <w:trHeight w:val="384" w:hRule="atLeast"/>
        </w:trPr>
        <w:tc>
          <w:tcPr>
            <w:tcW w:w="2500" w:type="pct"/>
            <w:tcBorders>
              <w:top w:val="single" w:color="C9D5E2" w:sz="4" w:space="0"/>
              <w:left w:val="single" w:color="C9D5E2" w:sz="4" w:space="0"/>
              <w:bottom w:val="single" w:color="C9D5E2" w:sz="4" w:space="0"/>
              <w:right w:val="single" w:color="C9D5E2" w:sz="4" w:space="0"/>
            </w:tcBorders>
            <w:vAlign w:val="center"/>
          </w:tcPr>
          <w:p w14:paraId="6691AF60">
            <w:pPr>
              <w:pStyle w:val="16"/>
              <w:spacing w:before="0" w:after="0"/>
              <w:jc w:val="center"/>
              <w:rPr>
                <w:sz w:val="20"/>
                <w:szCs w:val="20"/>
              </w:rPr>
            </w:pPr>
            <w:r>
              <w:rPr>
                <w:rFonts w:ascii="Times New Roman" w:hAnsi="Times New Roman" w:eastAsia="Times New Roman"/>
                <w:b w:val="0"/>
                <w:color w:val="1D2738"/>
                <w:sz w:val="18"/>
                <w:szCs w:val="20"/>
              </w:rPr>
              <w:t>Commodities</w:t>
            </w:r>
          </w:p>
        </w:tc>
        <w:tc>
          <w:tcPr>
            <w:tcW w:w="2500" w:type="pct"/>
            <w:tcBorders>
              <w:top w:val="single" w:color="C9D5E2" w:sz="4" w:space="0"/>
              <w:left w:val="single" w:color="C9D5E2" w:sz="4" w:space="0"/>
              <w:bottom w:val="single" w:color="C9D5E2" w:sz="4" w:space="0"/>
              <w:right w:val="single" w:color="C9D5E2" w:sz="4" w:space="0"/>
            </w:tcBorders>
            <w:vAlign w:val="center"/>
          </w:tcPr>
          <w:p w14:paraId="416D5E4A">
            <w:pPr>
              <w:pStyle w:val="16"/>
              <w:spacing w:before="0" w:after="0"/>
              <w:jc w:val="center"/>
              <w:rPr>
                <w:sz w:val="20"/>
                <w:szCs w:val="20"/>
              </w:rPr>
            </w:pPr>
            <w:r>
              <w:rPr>
                <w:rFonts w:ascii="Times New Roman" w:hAnsi="Times New Roman" w:eastAsia="Times New Roman"/>
                <w:b w:val="0"/>
                <w:color w:val="1D2738"/>
                <w:sz w:val="18"/>
                <w:szCs w:val="20"/>
              </w:rPr>
              <w:t>2</w:t>
            </w:r>
          </w:p>
        </w:tc>
      </w:tr>
      <w:tr w14:paraId="180DEBA6">
        <w:trPr>
          <w:cantSplit/>
          <w:trHeight w:val="384" w:hRule="atLeast"/>
        </w:trPr>
        <w:tc>
          <w:tcPr>
            <w:tcW w:w="2500" w:type="pct"/>
            <w:tcBorders>
              <w:top w:val="single" w:color="C9D5E2" w:sz="4" w:space="0"/>
              <w:left w:val="single" w:color="C9D5E2" w:sz="4" w:space="0"/>
              <w:bottom w:val="single" w:color="C9D5E2" w:sz="4" w:space="0"/>
              <w:right w:val="single" w:color="C9D5E2" w:sz="4" w:space="0"/>
            </w:tcBorders>
            <w:shd w:val="clear" w:color="auto" w:fill="F8FAFD"/>
            <w:vAlign w:val="center"/>
          </w:tcPr>
          <w:p w14:paraId="77526D19">
            <w:pPr>
              <w:pStyle w:val="16"/>
              <w:spacing w:before="0" w:after="0"/>
              <w:jc w:val="center"/>
              <w:rPr>
                <w:sz w:val="20"/>
                <w:szCs w:val="20"/>
              </w:rPr>
            </w:pPr>
            <w:r>
              <w:rPr>
                <w:rFonts w:ascii="Times New Roman" w:hAnsi="Times New Roman" w:eastAsia="Times New Roman"/>
                <w:b w:val="0"/>
                <w:color w:val="1D2738"/>
                <w:sz w:val="18"/>
                <w:szCs w:val="20"/>
              </w:rPr>
              <w:t>EventContract</w:t>
            </w:r>
          </w:p>
        </w:tc>
        <w:tc>
          <w:tcPr>
            <w:tcW w:w="2500" w:type="pct"/>
            <w:tcBorders>
              <w:top w:val="single" w:color="C9D5E2" w:sz="4" w:space="0"/>
              <w:left w:val="single" w:color="C9D5E2" w:sz="4" w:space="0"/>
              <w:bottom w:val="single" w:color="C9D5E2" w:sz="4" w:space="0"/>
              <w:right w:val="single" w:color="C9D5E2" w:sz="4" w:space="0"/>
            </w:tcBorders>
            <w:shd w:val="clear" w:color="auto" w:fill="F8FAFD"/>
            <w:vAlign w:val="center"/>
          </w:tcPr>
          <w:p w14:paraId="711C0C7E">
            <w:pPr>
              <w:pStyle w:val="16"/>
              <w:spacing w:before="0" w:after="0"/>
              <w:jc w:val="center"/>
              <w:rPr>
                <w:sz w:val="20"/>
                <w:szCs w:val="20"/>
              </w:rPr>
            </w:pPr>
            <w:r>
              <w:rPr>
                <w:rFonts w:ascii="Times New Roman" w:hAnsi="Times New Roman" w:eastAsia="Times New Roman"/>
                <w:b w:val="0"/>
                <w:color w:val="1D2738"/>
                <w:sz w:val="18"/>
                <w:szCs w:val="20"/>
              </w:rPr>
              <w:t>3</w:t>
            </w:r>
          </w:p>
        </w:tc>
      </w:tr>
    </w:tbl>
    <w:p w14:paraId="006DACFA">
      <w:pPr>
        <w:pStyle w:val="15"/>
        <w:wordWrap w:val="0"/>
        <w:ind w:left="0" w:leftChars="0" w:firstLine="0" w:firstLineChars="0"/>
        <w:rPr>
          <w:rFonts w:hint="default" w:asciiTheme="minorAscii" w:hAnsiTheme="minorAscii"/>
          <w:color w:val="auto"/>
        </w:rPr>
      </w:pPr>
    </w:p>
    <w:p w14:paraId="62FE07EB">
      <w:pPr>
        <w:pStyle w:val="3"/>
        <w:spacing w:after="120" w:line="259" w:lineRule="auto"/>
        <w:jc w:val="left"/>
      </w:pPr>
      <w:r>
        <w:rPr>
          <w:rFonts w:ascii="Times New Roman" w:hAnsi="Times New Roman" w:eastAsia="Times New Roman"/>
          <w:color w:val="1D2738"/>
          <w:sz w:val="22"/>
        </w:rPr>
        <w:t>The data audit found:</w:t>
      </w:r>
    </w:p>
    <w:p w14:paraId="642843ED">
      <w:pPr>
        <w:pStyle w:val="16"/>
        <w:numPr>
          <w:ilvl w:val="0"/>
          <w:numId w:val="2"/>
        </w:numPr>
        <w:spacing w:after="120" w:line="259" w:lineRule="auto"/>
        <w:jc w:val="left"/>
      </w:pPr>
      <w:r>
        <w:rPr>
          <w:rFonts w:ascii="Times New Roman" w:hAnsi="Times New Roman" w:eastAsia="Times New Roman"/>
          <w:color w:val="1D2738"/>
          <w:sz w:val="22"/>
        </w:rPr>
        <w:t>Event contracts: T026, T027, T028</w:t>
      </w:r>
    </w:p>
    <w:p w14:paraId="7B2D52C4">
      <w:pPr>
        <w:pStyle w:val="16"/>
        <w:numPr>
          <w:ilvl w:val="0"/>
          <w:numId w:val="2"/>
        </w:numPr>
        <w:spacing w:after="120" w:line="259" w:lineRule="auto"/>
        <w:jc w:val="left"/>
      </w:pPr>
      <w:r>
        <w:rPr>
          <w:rFonts w:ascii="Times New Roman" w:hAnsi="Times New Roman" w:eastAsia="Times New Roman"/>
          <w:color w:val="1D2738"/>
          <w:sz w:val="22"/>
        </w:rPr>
        <w:t>Null margin records: T017, T026, T027, T028</w:t>
      </w:r>
    </w:p>
    <w:p w14:paraId="2950AFC4">
      <w:pPr>
        <w:pStyle w:val="16"/>
        <w:numPr>
          <w:ilvl w:val="0"/>
          <w:numId w:val="2"/>
        </w:numPr>
        <w:spacing w:after="120" w:line="259" w:lineRule="auto"/>
        <w:jc w:val="left"/>
      </w:pPr>
      <w:r>
        <w:rPr>
          <w:rFonts w:ascii="Times New Roman" w:hAnsi="Times New Roman" w:eastAsia="Times New Roman"/>
          <w:color w:val="1D2738"/>
          <w:sz w:val="22"/>
        </w:rPr>
        <w:t>Missing or placeholder LEI records: T021, T027</w:t>
      </w:r>
    </w:p>
    <w:p w14:paraId="3FB33459">
      <w:pPr>
        <w:pStyle w:val="16"/>
        <w:numPr>
          <w:ilvl w:val="0"/>
          <w:numId w:val="2"/>
        </w:numPr>
        <w:spacing w:after="120" w:line="259" w:lineRule="auto"/>
        <w:jc w:val="left"/>
      </w:pPr>
      <w:r>
        <w:rPr>
          <w:rFonts w:ascii="Times New Roman" w:hAnsi="Times New Roman" w:eastAsia="Times New Roman"/>
          <w:color w:val="1D2738"/>
          <w:sz w:val="22"/>
        </w:rPr>
        <w:t>Non-UTC or invalid timestamps: T013 (2025-09-01), T025 (NOT_A_DATE)</w:t>
      </w:r>
    </w:p>
    <w:p w14:paraId="415292CC">
      <w:pPr>
        <w:pStyle w:val="16"/>
        <w:numPr>
          <w:ilvl w:val="0"/>
          <w:numId w:val="2"/>
        </w:numPr>
        <w:spacing w:after="120" w:line="259" w:lineRule="auto"/>
        <w:jc w:val="left"/>
      </w:pPr>
      <w:r>
        <w:rPr>
          <w:rFonts w:ascii="Times New Roman" w:hAnsi="Times New Roman" w:eastAsia="Times New Roman"/>
          <w:color w:val="1D2738"/>
          <w:sz w:val="22"/>
        </w:rPr>
        <w:t>Invalid or non-ISO currency candidates: T018 (INVALID_CCY), T019 (CNH), T027 (USDC)</w:t>
      </w:r>
    </w:p>
    <w:p w14:paraId="25B7F8F5">
      <w:pPr>
        <w:pStyle w:val="16"/>
        <w:numPr>
          <w:ilvl w:val="0"/>
          <w:numId w:val="2"/>
        </w:numPr>
        <w:spacing w:after="120" w:line="259" w:lineRule="auto"/>
        <w:jc w:val="left"/>
      </w:pPr>
      <w:r>
        <w:rPr>
          <w:rFonts w:ascii="Times New Roman" w:hAnsi="Times New Roman" w:eastAsia="Times New Roman"/>
          <w:color w:val="1D2738"/>
          <w:sz w:val="22"/>
        </w:rPr>
        <w:t>Legacy LIBOR reference-rate candidate: T005 (GBP-LIBOR-BBA)</w:t>
      </w:r>
    </w:p>
    <w:p w14:paraId="0D9B8782">
      <w:pPr>
        <w:pStyle w:val="14"/>
        <w:spacing w:after="120" w:line="259" w:lineRule="auto"/>
        <w:jc w:val="left"/>
      </w:pPr>
      <w:r>
        <w:rPr>
          <w:rFonts w:ascii="Times New Roman" w:hAnsi="Times New Roman" w:eastAsia="Times New Roman"/>
          <w:color w:val="1D2738"/>
          <w:sz w:val="22"/>
        </w:rPr>
        <w:t xml:space="preserve">The codeset checks are important. </w:t>
      </w:r>
      <w:r>
        <w:rPr>
          <w:rStyle w:val="18"/>
          <w:rFonts w:ascii="Times New Roman" w:hAnsi="Times New Roman" w:eastAsia="Times New Roman"/>
          <w:color w:val="1D2738"/>
          <w:sz w:val="22"/>
        </w:rPr>
        <w:t>XAU</w:t>
      </w:r>
      <w:r>
        <w:rPr>
          <w:rFonts w:ascii="Times New Roman" w:hAnsi="Times New Roman" w:eastAsia="Times New Roman"/>
          <w:color w:val="1D2738"/>
          <w:sz w:val="22"/>
        </w:rPr>
        <w:t xml:space="preserve"> is present in the DSB ISO currency codeset and must not be failed. </w:t>
      </w:r>
      <w:r>
        <w:rPr>
          <w:rStyle w:val="18"/>
          <w:rFonts w:ascii="Times New Roman" w:hAnsi="Times New Roman" w:eastAsia="Times New Roman"/>
          <w:color w:val="1D2738"/>
          <w:sz w:val="22"/>
        </w:rPr>
        <w:t>GBP-LIBOR-BBA</w:t>
      </w:r>
      <w:r>
        <w:rPr>
          <w:rFonts w:ascii="Times New Roman" w:hAnsi="Times New Roman" w:eastAsia="Times New Roman"/>
          <w:color w:val="1D2738"/>
          <w:sz w:val="22"/>
        </w:rPr>
        <w:t xml:space="preserve"> is present in the rates codeset, but it is a legacy LIBOR benchmark and should be a warning rather than a hard failure. </w:t>
      </w:r>
      <w:r>
        <w:rPr>
          <w:rStyle w:val="18"/>
          <w:rFonts w:ascii="Times New Roman" w:hAnsi="Times New Roman" w:eastAsia="Times New Roman"/>
          <w:color w:val="1D2738"/>
          <w:sz w:val="22"/>
        </w:rPr>
        <w:t>USDC</w:t>
      </w:r>
      <w:r>
        <w:rPr>
          <w:rFonts w:ascii="Times New Roman" w:hAnsi="Times New Roman" w:eastAsia="Times New Roman"/>
          <w:color w:val="1D2738"/>
          <w:sz w:val="22"/>
        </w:rPr>
        <w:t xml:space="preserve"> and </w:t>
      </w:r>
      <w:r>
        <w:rPr>
          <w:rStyle w:val="18"/>
          <w:rFonts w:ascii="Times New Roman" w:hAnsi="Times New Roman" w:eastAsia="Times New Roman"/>
          <w:color w:val="1D2738"/>
          <w:sz w:val="22"/>
        </w:rPr>
        <w:t>CNH</w:t>
      </w:r>
      <w:r>
        <w:rPr>
          <w:rFonts w:ascii="Times New Roman" w:hAnsi="Times New Roman" w:eastAsia="Times New Roman"/>
          <w:color w:val="1D2738"/>
          <w:sz w:val="22"/>
        </w:rPr>
        <w:t xml:space="preserve"> are not in the DSB ISO currency codeset used by this homework data.</w:t>
      </w:r>
    </w:p>
    <w:p w14:paraId="562709A2">
      <w:pPr>
        <w:pStyle w:val="2"/>
        <w:keepNext/>
        <w:numPr>
          <w:ilvl w:val="0"/>
          <w:numId w:val="1"/>
        </w:numPr>
        <w:spacing w:before="200" w:after="80"/>
        <w:rPr>
          <w:rFonts w:hint="default"/>
          <w:lang w:val="en-US" w:eastAsia="zh-CN"/>
        </w:rPr>
      </w:pPr>
      <w:bookmarkStart w:id="10" w:name="_Toc1575480091"/>
      <w:r>
        <w:rPr>
          <w:rFonts w:hint="default" w:ascii="Georgia" w:hAnsi="Georgia" w:eastAsia="Georgia"/>
          <w:b/>
          <w:color w:val="0D2554"/>
          <w:sz w:val="23"/>
          <w:lang w:val="en-US" w:eastAsia="zh-CN"/>
        </w:rPr>
        <w:t>Regulatory Framing</w:t>
      </w:r>
      <w:bookmarkEnd w:id="10"/>
    </w:p>
    <w:p w14:paraId="162DABC2">
      <w:pPr>
        <w:pStyle w:val="14"/>
        <w:spacing w:after="120" w:line="259" w:lineRule="auto"/>
        <w:jc w:val="left"/>
      </w:pPr>
      <w:r>
        <w:rPr>
          <w:rFonts w:ascii="Times New Roman" w:hAnsi="Times New Roman" w:eastAsia="Times New Roman"/>
          <w:color w:val="1D2738"/>
          <w:sz w:val="22"/>
        </w:rPr>
        <w:t xml:space="preserve">The assignment is about post-crisis OTC derivatives transparency. The engine is therefore organized around the three identifier pillars: UPI for product identity, UTI for transaction identity, and LEI for party identity. CFTC is treated as the baseline reporting regime, while EMIR is used as the </w:t>
      </w:r>
      <w:r>
        <w:rPr>
          <w:rFonts w:hint="eastAsia" w:ascii="Times New Roman" w:hAnsi="Times New Roman" w:eastAsia="Times New Roman"/>
          <w:color w:val="1D2738"/>
          <w:sz w:val="22"/>
        </w:rPr>
        <w:t>selected second regime</w:t>
      </w:r>
      <w:r>
        <w:rPr>
          <w:rFonts w:ascii="Times New Roman" w:hAnsi="Times New Roman" w:eastAsia="Times New Roman"/>
          <w:color w:val="1D2738"/>
          <w:sz w:val="22"/>
        </w:rPr>
        <w:t>. MAS is retained as an alternative Singapore-focused run because the portfolio includes Singapore booking/trading fields.</w:t>
      </w:r>
    </w:p>
    <w:p w14:paraId="4554616F">
      <w:pPr>
        <w:pStyle w:val="3"/>
        <w:spacing w:after="120" w:line="259" w:lineRule="auto"/>
        <w:jc w:val="left"/>
      </w:pPr>
      <w:r>
        <w:rPr>
          <w:rFonts w:ascii="Times New Roman" w:hAnsi="Times New Roman" w:eastAsia="Times New Roman"/>
          <w:color w:val="1D2738"/>
          <w:sz w:val="22"/>
        </w:rPr>
        <w:t>The stronger framing is:</w:t>
      </w:r>
    </w:p>
    <w:p w14:paraId="0C0B94E8">
      <w:pPr>
        <w:bidi w:val="0"/>
        <w:spacing w:after="120" w:line="259" w:lineRule="auto"/>
        <w:jc w:val="left"/>
      </w:pPr>
      <w:r>
        <w:rPr>
          <w:rFonts w:ascii="Times New Roman" w:hAnsi="Times New Roman" w:eastAsia="Times New Roman"/>
          <w:color w:val="1D2738"/>
          <w:sz w:val="22"/>
        </w:rPr>
        <w:t>A rule-based RegTech engine for OTC derivatives trade reporting, with a classification analysis showing how prediction market contracts expose the boundary of current derivatives reporting taxonomy.</w:t>
      </w:r>
    </w:p>
    <w:p w14:paraId="7EB3633B">
      <w:pPr>
        <w:pStyle w:val="14"/>
        <w:spacing w:after="120" w:line="259" w:lineRule="auto"/>
        <w:jc w:val="left"/>
      </w:pPr>
      <w:r>
        <w:rPr>
          <w:rFonts w:ascii="Times New Roman" w:hAnsi="Times New Roman" w:eastAsia="Times New Roman"/>
          <w:color w:val="1D2738"/>
          <w:sz w:val="22"/>
        </w:rPr>
        <w:t>This framing matches the homework modules: parse all 28 trades, match ANNA-DSB product definitions, check CFTC/EMIR rules, and then analyze whether event contracts should be brought into reporting infrastructure.</w:t>
      </w:r>
    </w:p>
    <w:p w14:paraId="1F93E99B">
      <w:pPr>
        <w:pStyle w:val="2"/>
        <w:keepNext/>
        <w:numPr>
          <w:ilvl w:val="0"/>
          <w:numId w:val="1"/>
        </w:numPr>
        <w:spacing w:before="200" w:after="80"/>
        <w:rPr>
          <w:rFonts w:hint="default"/>
          <w:lang w:val="en-US" w:eastAsia="zh-CN"/>
        </w:rPr>
      </w:pPr>
      <w:bookmarkStart w:id="11" w:name="_Toc620521927"/>
      <w:r>
        <w:rPr>
          <w:rFonts w:hint="default" w:ascii="Georgia" w:hAnsi="Georgia" w:eastAsia="Georgia"/>
          <w:b/>
          <w:color w:val="0D2554"/>
          <w:sz w:val="23"/>
          <w:lang w:val="en-US" w:eastAsia="zh-CN"/>
        </w:rPr>
        <w:t>Engine Architecture</w:t>
      </w:r>
      <w:bookmarkEnd w:id="11"/>
    </w:p>
    <w:p w14:paraId="2E3746A8">
      <w:pPr>
        <w:pStyle w:val="14"/>
        <w:spacing w:after="120" w:line="259" w:lineRule="auto"/>
        <w:jc w:val="left"/>
      </w:pPr>
      <w:r>
        <w:rPr>
          <w:rFonts w:ascii="Times New Roman" w:hAnsi="Times New Roman" w:eastAsia="Times New Roman"/>
          <w:color w:val="1D2738"/>
          <w:sz w:val="22"/>
        </w:rPr>
        <w:t>The pipeline is:</w:t>
      </w:r>
    </w:p>
    <w:p w14:paraId="48B27E7F">
      <w:pPr>
        <w:pStyle w:val="20"/>
      </w:pPr>
      <w:r>
        <w:rPr>
          <w:rStyle w:val="21"/>
          <w:rFonts w:ascii="Times New Roman" w:hAnsi="Times New Roman" w:eastAsia="Times New Roman"/>
          <w:color w:val="1D2738"/>
          <w:sz w:val="22"/>
        </w:rPr>
        <w:t>python</w:t>
      </w:r>
      <w:r>
        <w:rPr>
          <w:rStyle w:val="22"/>
          <w:rFonts w:ascii="Times New Roman" w:hAnsi="Times New Roman" w:eastAsia="Times New Roman"/>
          <w:color w:val="1D2738"/>
          <w:sz w:val="22"/>
        </w:rPr>
        <w:t xml:space="preserve"> run_compliance_check.py </w:t>
      </w:r>
      <w:r>
        <w:rPr>
          <w:rStyle w:val="23"/>
          <w:rFonts w:ascii="Times New Roman" w:hAnsi="Times New Roman" w:eastAsia="Times New Roman"/>
          <w:color w:val="1D2738"/>
          <w:sz w:val="22"/>
        </w:rPr>
        <w:t>--input</w:t>
      </w:r>
      <w:r>
        <w:rPr>
          <w:rStyle w:val="22"/>
          <w:rFonts w:ascii="Times New Roman" w:hAnsi="Times New Roman" w:eastAsia="Times New Roman"/>
          <w:color w:val="1D2738"/>
          <w:sz w:val="22"/>
        </w:rPr>
        <w:t xml:space="preserve"> data/processed/trades.json </w:t>
      </w:r>
      <w:r>
        <w:rPr>
          <w:rStyle w:val="23"/>
          <w:rFonts w:ascii="Times New Roman" w:hAnsi="Times New Roman" w:eastAsia="Times New Roman"/>
          <w:color w:val="1D2738"/>
          <w:sz w:val="22"/>
        </w:rPr>
        <w:t>--regimes</w:t>
      </w:r>
      <w:r>
        <w:rPr>
          <w:rStyle w:val="22"/>
          <w:rFonts w:ascii="Times New Roman" w:hAnsi="Times New Roman" w:eastAsia="Times New Roman"/>
          <w:color w:val="1D2738"/>
          <w:sz w:val="22"/>
        </w:rPr>
        <w:t xml:space="preserve"> CFTC,EMIR</w:t>
      </w:r>
    </w:p>
    <w:p w14:paraId="63FABDEF">
      <w:pPr>
        <w:pStyle w:val="14"/>
        <w:spacing w:after="120" w:line="259" w:lineRule="auto"/>
        <w:jc w:val="left"/>
      </w:pPr>
      <w:r>
        <w:rPr>
          <w:rFonts w:ascii="Times New Roman" w:hAnsi="Times New Roman" w:eastAsia="Times New Roman"/>
          <w:color w:val="1D2738"/>
          <w:sz w:val="22"/>
        </w:rPr>
        <w:t>The implementation uses only the Python standard library. LEI check digits are validated directly using ISO 7064 MOD 97-10 logic. UPI lookup reads DSB JSON schema files from:</w:t>
      </w:r>
    </w:p>
    <w:p w14:paraId="0D8D850F">
      <w:pPr>
        <w:pStyle w:val="20"/>
      </w:pPr>
      <w:r>
        <w:rPr>
          <w:rStyle w:val="18"/>
          <w:rFonts w:ascii="Times New Roman" w:hAnsi="Times New Roman" w:eastAsia="Times New Roman"/>
          <w:color w:val="1D2738"/>
          <w:sz w:val="22"/>
        </w:rPr>
        <w:t>PROD/OTC-Products/UPI/{AssetClass}/{AssetClass}.{InstrumentType}.{UseCase}.UPI.V1.json</w:t>
      </w:r>
    </w:p>
    <w:p w14:paraId="09C35D7D">
      <w:pPr>
        <w:pStyle w:val="14"/>
        <w:spacing w:after="120" w:line="259" w:lineRule="auto"/>
        <w:jc w:val="left"/>
      </w:pPr>
      <w:r>
        <w:rPr>
          <w:rFonts w:ascii="Times New Roman" w:hAnsi="Times New Roman" w:eastAsia="Times New Roman"/>
          <w:color w:val="1D2738"/>
          <w:sz w:val="22"/>
        </w:rPr>
        <w:t xml:space="preserve">The architecture separates ingestion, normalization, validation, regime-specific checks, event-contract classification, and reporting outputs. Raw fields are preserved for auditability, while parse status, UPI status, compliance findings, scope assessments, and classification conclusions are generated by the pipeline. Product-label aliases are stored in </w:t>
      </w:r>
      <w:r>
        <w:rPr>
          <w:rStyle w:val="18"/>
          <w:rFonts w:ascii="Times New Roman" w:hAnsi="Times New Roman" w:eastAsia="Times New Roman"/>
          <w:color w:val="1D2738"/>
          <w:sz w:val="22"/>
        </w:rPr>
        <w:t>config/product_aliases.json</w:t>
      </w:r>
      <w:r>
        <w:rPr>
          <w:rFonts w:ascii="Times New Roman" w:hAnsi="Times New Roman" w:eastAsia="Times New Roman"/>
          <w:color w:val="1D2738"/>
          <w:sz w:val="22"/>
        </w:rPr>
        <w:t xml:space="preserve">, and regime requirements are exposed through a </w:t>
      </w:r>
      <w:r>
        <w:rPr>
          <w:rStyle w:val="18"/>
          <w:rFonts w:ascii="Times New Roman" w:hAnsi="Times New Roman" w:eastAsia="Times New Roman"/>
          <w:color w:val="1D2738"/>
          <w:sz w:val="22"/>
        </w:rPr>
        <w:t>REGIME_RULES</w:t>
      </w:r>
      <w:r>
        <w:rPr>
          <w:rFonts w:ascii="Times New Roman" w:hAnsi="Times New Roman" w:eastAsia="Times New Roman"/>
          <w:color w:val="1D2738"/>
          <w:sz w:val="22"/>
        </w:rPr>
        <w:t xml:space="preserve"> mapping so additional jurisdictions can be added without rewriting the core analysis loop. </w:t>
      </w:r>
      <w:r>
        <w:rPr>
          <w:rStyle w:val="18"/>
          <w:rFonts w:ascii="Times New Roman" w:hAnsi="Times New Roman" w:eastAsia="Times New Roman"/>
          <w:color w:val="1D2738"/>
          <w:sz w:val="22"/>
        </w:rPr>
        <w:t>src/engine.py</w:t>
      </w:r>
      <w:r>
        <w:rPr>
          <w:rFonts w:ascii="Times New Roman" w:hAnsi="Times New Roman" w:eastAsia="Times New Roman"/>
          <w:color w:val="1D2738"/>
          <w:sz w:val="22"/>
        </w:rPr>
        <w:t xml:space="preserve"> is kept as the stable shared implementation layer, while the Module 1-4 wrapper files expose the homework architecture without duplicating logic.</w:t>
      </w:r>
    </w:p>
    <w:p w14:paraId="10D34306">
      <w:pPr>
        <w:jc w:val="center"/>
      </w:pPr>
      <w:r>
        <w:drawing>
          <wp:inline distT="0" distB="0" distL="114300" distR="114300">
            <wp:extent cx="5715000" cy="2788920"/>
            <wp:effectExtent l="0" t="0" r="0" b="508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7"/>
                    <a:stretch>
                      <a:fillRect/>
                    </a:stretch>
                  </pic:blipFill>
                  <pic:spPr>
                    <a:xfrm>
                      <a:off x="0" y="0"/>
                      <a:ext cx="5715000" cy="2788920"/>
                    </a:xfrm>
                    <a:prstGeom prst="rect">
                      <a:avLst/>
                    </a:prstGeom>
                  </pic:spPr>
                </pic:pic>
              </a:graphicData>
            </a:graphic>
          </wp:inline>
        </w:drawing>
      </w:r>
    </w:p>
    <w:p w14:paraId="2DFC1892">
      <w:pPr>
        <w:pStyle w:val="15"/>
        <w:keepNext/>
      </w:pPr>
      <w:r>
        <w:rPr>
          <w:rFonts w:ascii="Georgia" w:hAnsi="Georgia" w:eastAsia="Georgia"/>
          <w:b/>
          <w:color w:val="0D2554"/>
          <w:sz w:val="19"/>
        </w:rPr>
        <w:t>Figure 1: Pipeline Architecture Diagram</w:t>
      </w:r>
    </w:p>
    <w:p w14:paraId="16507664">
      <w:pPr>
        <w:pStyle w:val="3"/>
        <w:spacing w:after="120" w:line="259" w:lineRule="auto"/>
        <w:jc w:val="left"/>
      </w:pPr>
      <w:r>
        <w:rPr>
          <w:rFonts w:ascii="Times New Roman" w:hAnsi="Times New Roman" w:eastAsia="Times New Roman"/>
          <w:color w:val="1D2738"/>
          <w:sz w:val="22"/>
        </w:rPr>
        <w:t>The pipeline shows the full validation flow from raw trade ingestion to reporting outputs.</w:t>
      </w:r>
    </w:p>
    <w:p w14:paraId="5E6D0CBA">
      <w:pPr>
        <w:pStyle w:val="15"/>
        <w:keepNext/>
        <w:wordWrap w:val="0"/>
        <w:ind w:left="0" w:leftChars="0" w:firstLine="0" w:firstLineChars="0"/>
        <w:rPr>
          <w:rFonts w:hint="default" w:asciiTheme="minorAscii" w:hAnsiTheme="minorAscii"/>
          <w:color w:val="auto"/>
        </w:rPr>
      </w:pPr>
      <w:bookmarkStart w:id="12" w:name="_Toc1504543433"/>
      <w:bookmarkEnd w:id="12"/>
      <w:r>
        <w:rPr>
          <w:rFonts w:ascii="Georgia" w:hAnsi="Georgia" w:eastAsia="Georgia"/>
          <w:b/>
          <w:color w:val="0D2554"/>
          <w:sz w:val="19"/>
        </w:rPr>
        <w:t>Table 3: Engine Parse Status Summary</w:t>
      </w:r>
    </w:p>
    <w:tbl>
      <w:tblPr>
        <w:tblStyle w:val="17"/>
        <w:tblW w:w="5000" w:type="pct"/>
        <w:tblInd w:w="0" w:type="dxa"/>
        <w:tblBorders>
          <w:top w:val="single" w:color="D8E1EE" w:sz="4" w:space="0"/>
          <w:left w:val="single" w:color="D8E1EE" w:sz="4" w:space="0"/>
          <w:bottom w:val="single" w:color="D8E1EE" w:sz="4" w:space="0"/>
          <w:right w:val="single" w:color="D8E1EE" w:sz="4" w:space="0"/>
          <w:insideH w:val="single" w:color="D8E1EE" w:sz="4" w:space="0"/>
          <w:insideV w:val="single" w:color="D8E1EE" w:sz="4" w:space="0"/>
        </w:tblBorders>
        <w:tblLayout w:type="autofit"/>
        <w:tblCellMar>
          <w:top w:w="0" w:type="dxa"/>
          <w:left w:w="108" w:type="dxa"/>
          <w:bottom w:w="0" w:type="dxa"/>
          <w:right w:w="108" w:type="dxa"/>
        </w:tblCellMar>
      </w:tblPr>
      <w:tblGrid>
        <w:gridCol w:w="5097"/>
        <w:gridCol w:w="5097"/>
      </w:tblGrid>
      <w:tr w14:paraId="00FFE520">
        <w:trPr>
          <w:cantSplit/>
          <w:tblHeader/>
        </w:trPr>
        <w:tc>
          <w:tcPr>
            <w:tcW w:w="2500" w:type="pct"/>
            <w:tcBorders>
              <w:top w:val="single" w:color="C9D5E2" w:sz="4" w:space="0"/>
              <w:left w:val="single" w:color="C9D5E2" w:sz="4" w:space="0"/>
              <w:bottom w:val="single" w:color="C9D5E2" w:sz="4" w:space="0"/>
              <w:right w:val="single" w:color="C9D5E2" w:sz="4" w:space="0"/>
              <w:insideH w:val="single" w:sz="0" w:space="0"/>
            </w:tcBorders>
            <w:shd w:val="clear" w:color="auto" w:fill="0D2554"/>
            <w:vAlign w:val="center"/>
          </w:tcPr>
          <w:p w14:paraId="3E019B30">
            <w:pPr>
              <w:pStyle w:val="16"/>
              <w:spacing w:before="0" w:after="0"/>
              <w:jc w:val="center"/>
              <w:rPr>
                <w:b/>
                <w:bCs/>
                <w:sz w:val="21"/>
                <w:szCs w:val="21"/>
              </w:rPr>
            </w:pPr>
            <w:r>
              <w:rPr>
                <w:rFonts w:ascii="Times New Roman" w:hAnsi="Times New Roman" w:eastAsia="Times New Roman"/>
                <w:b/>
                <w:bCs/>
                <w:color w:val="FFFFFF"/>
                <w:sz w:val="18"/>
                <w:szCs w:val="21"/>
              </w:rPr>
              <w:t>Engine parse status</w:t>
            </w:r>
          </w:p>
        </w:tc>
        <w:tc>
          <w:tcPr>
            <w:tcW w:w="2500" w:type="pct"/>
            <w:tcBorders>
              <w:top w:val="single" w:color="C9D5E2" w:sz="4" w:space="0"/>
              <w:left w:val="single" w:color="C9D5E2" w:sz="4" w:space="0"/>
              <w:bottom w:val="single" w:color="C9D5E2" w:sz="4" w:space="0"/>
              <w:right w:val="single" w:color="C9D5E2" w:sz="4" w:space="0"/>
              <w:insideH w:val="single" w:sz="0" w:space="0"/>
            </w:tcBorders>
            <w:shd w:val="clear" w:color="auto" w:fill="0D2554"/>
            <w:vAlign w:val="center"/>
          </w:tcPr>
          <w:p w14:paraId="456A255C">
            <w:pPr>
              <w:pStyle w:val="16"/>
              <w:spacing w:before="0" w:after="0"/>
              <w:jc w:val="center"/>
              <w:rPr>
                <w:b/>
                <w:bCs/>
                <w:sz w:val="21"/>
                <w:szCs w:val="21"/>
              </w:rPr>
            </w:pPr>
            <w:r>
              <w:rPr>
                <w:rFonts w:ascii="Times New Roman" w:hAnsi="Times New Roman" w:eastAsia="Times New Roman"/>
                <w:b/>
                <w:bCs/>
                <w:color w:val="FFFFFF"/>
                <w:sz w:val="18"/>
                <w:szCs w:val="21"/>
              </w:rPr>
              <w:t>Count</w:t>
            </w:r>
          </w:p>
        </w:tc>
      </w:tr>
      <w:tr w14:paraId="4AB5E6EE">
        <w:trPr>
          <w:cantSplit/>
        </w:trPr>
        <w:tc>
          <w:tcPr>
            <w:tcW w:w="2500" w:type="pct"/>
            <w:tcBorders>
              <w:top w:val="single" w:color="C9D5E2" w:sz="4" w:space="0"/>
              <w:left w:val="single" w:color="C9D5E2" w:sz="4" w:space="0"/>
              <w:bottom w:val="single" w:color="C9D5E2" w:sz="4" w:space="0"/>
              <w:right w:val="single" w:color="C9D5E2" w:sz="4" w:space="0"/>
            </w:tcBorders>
            <w:vAlign w:val="center"/>
          </w:tcPr>
          <w:p w14:paraId="3CDC5692">
            <w:pPr>
              <w:pStyle w:val="16"/>
              <w:spacing w:before="0" w:after="0"/>
              <w:jc w:val="center"/>
              <w:rPr>
                <w:sz w:val="20"/>
                <w:szCs w:val="20"/>
                <w:highlight w:val="none"/>
              </w:rPr>
            </w:pPr>
            <w:r>
              <w:rPr>
                <w:rFonts w:ascii="Times New Roman" w:hAnsi="Times New Roman" w:eastAsia="Times New Roman"/>
                <w:b w:val="0"/>
                <w:color w:val="1D2738"/>
                <w:sz w:val="18"/>
                <w:szCs w:val="20"/>
                <w:highlight w:val="none"/>
              </w:rPr>
              <w:t>PASSED</w:t>
            </w:r>
          </w:p>
        </w:tc>
        <w:tc>
          <w:tcPr>
            <w:tcW w:w="2500" w:type="pct"/>
            <w:tcBorders>
              <w:top w:val="single" w:color="C9D5E2" w:sz="4" w:space="0"/>
              <w:left w:val="single" w:color="C9D5E2" w:sz="4" w:space="0"/>
              <w:bottom w:val="single" w:color="C9D5E2" w:sz="4" w:space="0"/>
              <w:right w:val="single" w:color="C9D5E2" w:sz="4" w:space="0"/>
            </w:tcBorders>
            <w:vAlign w:val="center"/>
          </w:tcPr>
          <w:p w14:paraId="573AADE8">
            <w:pPr>
              <w:pStyle w:val="16"/>
              <w:spacing w:before="0" w:after="0"/>
              <w:jc w:val="center"/>
              <w:rPr>
                <w:sz w:val="20"/>
                <w:szCs w:val="20"/>
              </w:rPr>
            </w:pPr>
            <w:r>
              <w:rPr>
                <w:rFonts w:ascii="Times New Roman" w:hAnsi="Times New Roman" w:eastAsia="Times New Roman"/>
                <w:b w:val="0"/>
                <w:color w:val="1D2738"/>
                <w:sz w:val="18"/>
                <w:szCs w:val="20"/>
              </w:rPr>
              <w:t>25</w:t>
            </w:r>
          </w:p>
        </w:tc>
      </w:tr>
      <w:tr w14:paraId="4639FD66">
        <w:trPr>
          <w:cantSplit/>
        </w:trPr>
        <w:tc>
          <w:tcPr>
            <w:tcW w:w="2500" w:type="pct"/>
            <w:tcBorders>
              <w:top w:val="single" w:color="C9D5E2" w:sz="4" w:space="0"/>
              <w:left w:val="single" w:color="C9D5E2" w:sz="4" w:space="0"/>
              <w:bottom w:val="single" w:color="C9D5E2" w:sz="4" w:space="0"/>
              <w:right w:val="single" w:color="C9D5E2" w:sz="4" w:space="0"/>
            </w:tcBorders>
            <w:shd w:val="clear" w:color="auto" w:fill="F8FAFD"/>
            <w:vAlign w:val="center"/>
          </w:tcPr>
          <w:p w14:paraId="50C3BE41">
            <w:pPr>
              <w:pStyle w:val="16"/>
              <w:spacing w:before="0" w:after="0"/>
              <w:jc w:val="center"/>
              <w:rPr>
                <w:sz w:val="20"/>
                <w:szCs w:val="20"/>
                <w:highlight w:val="none"/>
              </w:rPr>
            </w:pPr>
            <w:r>
              <w:rPr>
                <w:rFonts w:ascii="Times New Roman" w:hAnsi="Times New Roman" w:eastAsia="Times New Roman"/>
                <w:b w:val="0"/>
                <w:color w:val="1D2738"/>
                <w:sz w:val="18"/>
                <w:szCs w:val="20"/>
                <w:highlight w:val="none"/>
              </w:rPr>
              <w:t>PARTIAL</w:t>
            </w:r>
          </w:p>
        </w:tc>
        <w:tc>
          <w:tcPr>
            <w:tcW w:w="2500" w:type="pct"/>
            <w:tcBorders>
              <w:top w:val="single" w:color="C9D5E2" w:sz="4" w:space="0"/>
              <w:left w:val="single" w:color="C9D5E2" w:sz="4" w:space="0"/>
              <w:bottom w:val="single" w:color="C9D5E2" w:sz="4" w:space="0"/>
              <w:right w:val="single" w:color="C9D5E2" w:sz="4" w:space="0"/>
            </w:tcBorders>
            <w:shd w:val="clear" w:color="auto" w:fill="F8FAFD"/>
            <w:vAlign w:val="center"/>
          </w:tcPr>
          <w:p w14:paraId="15A99F48">
            <w:pPr>
              <w:pStyle w:val="16"/>
              <w:spacing w:before="0" w:after="0"/>
              <w:jc w:val="center"/>
              <w:rPr>
                <w:sz w:val="20"/>
                <w:szCs w:val="20"/>
              </w:rPr>
            </w:pPr>
            <w:r>
              <w:rPr>
                <w:rFonts w:ascii="Times New Roman" w:hAnsi="Times New Roman" w:eastAsia="Times New Roman"/>
                <w:b w:val="0"/>
                <w:color w:val="1D2738"/>
                <w:sz w:val="18"/>
                <w:szCs w:val="20"/>
              </w:rPr>
              <w:t>2</w:t>
            </w:r>
          </w:p>
        </w:tc>
      </w:tr>
      <w:tr w14:paraId="0C4965C7">
        <w:trPr>
          <w:cantSplit/>
        </w:trPr>
        <w:tc>
          <w:tcPr>
            <w:tcW w:w="2500" w:type="pct"/>
            <w:tcBorders>
              <w:top w:val="single" w:color="C9D5E2" w:sz="4" w:space="0"/>
              <w:left w:val="single" w:color="C9D5E2" w:sz="4" w:space="0"/>
              <w:bottom w:val="single" w:color="C9D5E2" w:sz="4" w:space="0"/>
              <w:right w:val="single" w:color="C9D5E2" w:sz="4" w:space="0"/>
            </w:tcBorders>
            <w:vAlign w:val="center"/>
          </w:tcPr>
          <w:p w14:paraId="73F55204">
            <w:pPr>
              <w:pStyle w:val="16"/>
              <w:spacing w:before="0" w:after="0"/>
              <w:jc w:val="center"/>
              <w:rPr>
                <w:sz w:val="20"/>
                <w:szCs w:val="20"/>
                <w:highlight w:val="none"/>
              </w:rPr>
            </w:pPr>
            <w:r>
              <w:rPr>
                <w:rFonts w:ascii="Times New Roman" w:hAnsi="Times New Roman" w:eastAsia="Times New Roman"/>
                <w:b w:val="0"/>
                <w:color w:val="1D2738"/>
                <w:sz w:val="18"/>
                <w:szCs w:val="20"/>
                <w:highlight w:val="none"/>
              </w:rPr>
              <w:t>FAILED</w:t>
            </w:r>
          </w:p>
        </w:tc>
        <w:tc>
          <w:tcPr>
            <w:tcW w:w="2500" w:type="pct"/>
            <w:tcBorders>
              <w:top w:val="single" w:color="C9D5E2" w:sz="4" w:space="0"/>
              <w:left w:val="single" w:color="C9D5E2" w:sz="4" w:space="0"/>
              <w:bottom w:val="single" w:color="C9D5E2" w:sz="4" w:space="0"/>
              <w:right w:val="single" w:color="C9D5E2" w:sz="4" w:space="0"/>
            </w:tcBorders>
            <w:vAlign w:val="center"/>
          </w:tcPr>
          <w:p w14:paraId="50AC4750">
            <w:pPr>
              <w:pStyle w:val="16"/>
              <w:spacing w:before="0" w:after="0"/>
              <w:jc w:val="center"/>
              <w:rPr>
                <w:sz w:val="20"/>
                <w:szCs w:val="20"/>
              </w:rPr>
            </w:pPr>
            <w:r>
              <w:rPr>
                <w:rFonts w:ascii="Times New Roman" w:hAnsi="Times New Roman" w:eastAsia="Times New Roman"/>
                <w:b w:val="0"/>
                <w:color w:val="1D2738"/>
                <w:sz w:val="18"/>
                <w:szCs w:val="20"/>
              </w:rPr>
              <w:t>1</w:t>
            </w:r>
          </w:p>
        </w:tc>
      </w:tr>
    </w:tbl>
    <w:p w14:paraId="7CF7BEA3">
      <w:pPr>
        <w:pStyle w:val="3"/>
        <w:keepNext w:val="0"/>
        <w:keepLines w:val="0"/>
        <w:widowControl w:val="0"/>
        <w:kinsoku/>
        <w:wordWrap/>
        <w:overflowPunct/>
        <w:topLinePunct w:val="0"/>
        <w:autoSpaceDE/>
        <w:autoSpaceDN/>
        <w:bidi w:val="0"/>
        <w:adjustRightInd/>
        <w:snapToGrid/>
        <w:spacing w:after="120" w:line="259" w:lineRule="auto"/>
        <w:jc w:val="left"/>
        <w:textAlignment w:val="auto"/>
        <w:rPr>
          <w:rFonts w:ascii="Aptos" w:hAnsi="Aptos" w:cs="Times New Roman"/>
          <w:i/>
          <w:iCs/>
          <w:color w:val="000000" w:themeColor="text1"/>
          <w:sz w:val="16"/>
          <w:szCs w:val="16"/>
          <w14:textFill>
            <w14:solidFill>
              <w14:schemeClr w14:val="tx1"/>
            </w14:solidFill>
          </w14:textFill>
        </w:rPr>
      </w:pPr>
      <w:r>
        <w:rPr>
          <w:rFonts w:ascii="Times New Roman" w:hAnsi="Times New Roman" w:eastAsia="Times New Roman" w:cs="Times New Roman"/>
          <w:b/>
          <w:bCs/>
          <w:i/>
          <w:iCs/>
          <w:color w:val="000000" w:themeColor="text1"/>
          <w:sz w:val="22"/>
          <w:szCs w:val="16"/>
          <w:highlight w:val="none"/>
          <w14:textFill>
            <w14:solidFill>
              <w14:schemeClr w14:val="tx1"/>
            </w14:solidFill>
          </w14:textFill>
        </w:rPr>
        <w:t>Note:</w:t>
      </w:r>
      <w:r>
        <w:rPr>
          <w:rFonts w:ascii="Times New Roman" w:hAnsi="Times New Roman" w:eastAsia="Times New Roman" w:cs="Times New Roman"/>
          <w:i/>
          <w:iCs/>
          <w:color w:val="000000" w:themeColor="text1"/>
          <w:sz w:val="22"/>
          <w:szCs w:val="16"/>
          <w:highlight w:val="none"/>
          <w14:textFill>
            <w14:solidFill>
              <w14:schemeClr w14:val="tx1"/>
            </w14:solidFill>
          </w14:textFill>
        </w:rPr>
        <w:t xml:space="preserve"> </w:t>
      </w:r>
      <w:r>
        <w:rPr>
          <w:rFonts w:ascii="Times New Roman" w:hAnsi="Times New Roman" w:eastAsia="Times New Roman" w:cs="Times New Roman"/>
          <w:i/>
          <w:iCs/>
          <w:color w:val="000000" w:themeColor="text1"/>
          <w:sz w:val="22"/>
          <w:szCs w:val="16"/>
          <w14:textFill>
            <w14:solidFill>
              <w14:schemeClr w14:val="tx1"/>
            </w14:solidFill>
          </w14:textFill>
        </w:rPr>
        <w:t xml:space="preserve">Parse status (PASSED / PARTIAL / FAILED) reflects data quality at ingestion. The Module 1 classification flag — </w:t>
      </w:r>
      <w:r>
        <w:rPr>
          <w:rStyle w:val="18"/>
          <w:rFonts w:ascii="Times New Roman" w:hAnsi="Times New Roman" w:eastAsia="Times New Roman"/>
          <w:i/>
          <w:iCs/>
          <w:color w:val="1D2738"/>
          <w:sz w:val="22"/>
          <w:szCs w:val="16"/>
        </w:rPr>
        <w:t>CONVENTIONAL_DERIVATIVE</w:t>
      </w:r>
      <w:r>
        <w:rPr>
          <w:rFonts w:ascii="Times New Roman" w:hAnsi="Times New Roman" w:eastAsia="Times New Roman" w:cs="Times New Roman"/>
          <w:i/>
          <w:iCs/>
          <w:color w:val="000000" w:themeColor="text1"/>
          <w:sz w:val="22"/>
          <w:szCs w:val="16"/>
          <w14:textFill>
            <w14:solidFill>
              <w14:schemeClr w14:val="tx1"/>
            </w14:solidFill>
          </w14:textFill>
        </w:rPr>
        <w:t xml:space="preserve"> for all 25 conventional trades, </w:t>
      </w:r>
      <w:r>
        <w:rPr>
          <w:rStyle w:val="18"/>
          <w:rFonts w:ascii="Times New Roman" w:hAnsi="Times New Roman" w:eastAsia="Times New Roman"/>
          <w:i/>
          <w:iCs/>
          <w:color w:val="1D2738"/>
          <w:sz w:val="22"/>
          <w:szCs w:val="22"/>
        </w:rPr>
        <w:t>NOVEL_INSTRUMENT_NO_TAXONOMY</w:t>
      </w:r>
      <w:r>
        <w:rPr>
          <w:rFonts w:ascii="Times New Roman" w:hAnsi="Times New Roman" w:eastAsia="Times New Roman" w:cs="Times New Roman"/>
          <w:i/>
          <w:iCs/>
          <w:color w:val="000000" w:themeColor="text1"/>
          <w:sz w:val="22"/>
          <w:szCs w:val="16"/>
          <w14:textFill>
            <w14:solidFill>
              <w14:schemeClr w14:val="tx1"/>
            </w14:solidFill>
          </w14:textFill>
        </w:rPr>
        <w:t xml:space="preserve"> for T026–T028, and </w:t>
      </w:r>
      <w:r>
        <w:rPr>
          <w:rStyle w:val="18"/>
          <w:rFonts w:ascii="Times New Roman" w:hAnsi="Times New Roman" w:eastAsia="Times New Roman"/>
          <w:i/>
          <w:iCs/>
          <w:color w:val="1D2738"/>
          <w:sz w:val="22"/>
          <w:szCs w:val="22"/>
        </w:rPr>
        <w:t>CLASSIFICATION_AMBIGUOUS</w:t>
      </w:r>
      <w:r>
        <w:rPr>
          <w:rFonts w:ascii="Times New Roman" w:hAnsi="Times New Roman" w:eastAsia="Times New Roman" w:cs="Times New Roman"/>
          <w:i/>
          <w:iCs/>
          <w:color w:val="000000" w:themeColor="text1"/>
          <w:sz w:val="22"/>
          <w:szCs w:val="16"/>
          <w14:textFill>
            <w14:solidFill>
              <w14:schemeClr w14:val="tx1"/>
            </w14:solidFill>
          </w14:textFill>
        </w:rPr>
        <w:t xml:space="preserve"> for none in this portfolio — is a separate output field recorded in each trade's classification_flag attribute of the compliance report.</w:t>
      </w:r>
    </w:p>
    <w:p w14:paraId="19414BD5">
      <w:pPr>
        <w:pStyle w:val="3"/>
        <w:spacing w:after="120" w:line="259" w:lineRule="auto"/>
        <w:jc w:val="left"/>
      </w:pPr>
      <w:r>
        <w:rPr>
          <w:rFonts w:ascii="Times New Roman" w:hAnsi="Times New Roman" w:eastAsia="Times New Roman"/>
          <w:color w:val="1D2738"/>
          <w:sz w:val="22"/>
        </w:rPr>
        <w:t>The parser deliberately distinguishes declared source labels from engine results. T013 has a date-only timestamp, so the record is identifiable but not fully ISO 8601 UTC compliant. T022 has an invalid maturity date (</w:t>
      </w:r>
      <w:r>
        <w:rPr>
          <w:rStyle w:val="18"/>
          <w:rFonts w:ascii="Times New Roman" w:hAnsi="Times New Roman" w:eastAsia="Times New Roman"/>
          <w:color w:val="1D2738"/>
          <w:sz w:val="22"/>
        </w:rPr>
        <w:t>99999-12-31</w:t>
      </w:r>
      <w:r>
        <w:rPr>
          <w:rFonts w:ascii="Times New Roman" w:hAnsi="Times New Roman" w:eastAsia="Times New Roman"/>
          <w:color w:val="1D2738"/>
          <w:sz w:val="22"/>
        </w:rPr>
        <w:t xml:space="preserve">), so it is also partial even though the raw case file declared it as </w:t>
      </w:r>
      <w:r>
        <w:rPr>
          <w:rStyle w:val="18"/>
          <w:rFonts w:ascii="Times New Roman" w:hAnsi="Times New Roman" w:eastAsia="Times New Roman"/>
          <w:color w:val="1D2738"/>
          <w:sz w:val="22"/>
        </w:rPr>
        <w:t>OK</w:t>
      </w:r>
      <w:r>
        <w:rPr>
          <w:rFonts w:ascii="Times New Roman" w:hAnsi="Times New Roman" w:eastAsia="Times New Roman"/>
          <w:color w:val="1D2738"/>
          <w:sz w:val="22"/>
        </w:rPr>
        <w:t xml:space="preserve">. T025 is failed because its timestamp is </w:t>
      </w:r>
      <w:r>
        <w:rPr>
          <w:rStyle w:val="18"/>
          <w:rFonts w:ascii="Times New Roman" w:hAnsi="Times New Roman" w:eastAsia="Times New Roman"/>
          <w:color w:val="1D2738"/>
          <w:sz w:val="22"/>
        </w:rPr>
        <w:t>NOT_A_DATE</w:t>
      </w:r>
      <w:r>
        <w:rPr>
          <w:rFonts w:ascii="Times New Roman" w:hAnsi="Times New Roman" w:eastAsia="Times New Roman"/>
          <w:color w:val="1D2738"/>
          <w:sz w:val="22"/>
        </w:rPr>
        <w:t>.</w:t>
      </w:r>
    </w:p>
    <w:p w14:paraId="1DBF5ACA">
      <w:pPr>
        <w:pStyle w:val="3"/>
        <w:spacing w:after="120" w:line="259" w:lineRule="auto"/>
        <w:jc w:val="left"/>
      </w:pPr>
      <w:r>
        <w:rPr>
          <w:rFonts w:ascii="Times New Roman" w:hAnsi="Times New Roman" w:eastAsia="Times New Roman"/>
          <w:color w:val="1D2738"/>
          <w:sz w:val="22"/>
        </w:rPr>
        <w:t xml:space="preserve">The validation stack now includes business-consistency checks in addition to field presence: date order, timestamp versus trade date, positive notional amount, non-negative margin, boolean </w:t>
      </w:r>
      <w:r>
        <w:rPr>
          <w:rStyle w:val="18"/>
          <w:rFonts w:ascii="Times New Roman" w:hAnsi="Times New Roman" w:eastAsia="Times New Roman"/>
          <w:color w:val="1D2738"/>
          <w:sz w:val="22"/>
        </w:rPr>
        <w:t>cleared</w:t>
      </w:r>
      <w:r>
        <w:rPr>
          <w:rFonts w:ascii="Times New Roman" w:hAnsi="Times New Roman" w:eastAsia="Times New Roman"/>
          <w:color w:val="1D2738"/>
          <w:sz w:val="22"/>
        </w:rPr>
        <w:t xml:space="preserve">, and allowed </w:t>
      </w:r>
      <w:r>
        <w:rPr>
          <w:rStyle w:val="18"/>
          <w:rFonts w:ascii="Times New Roman" w:hAnsi="Times New Roman" w:eastAsia="Times New Roman"/>
          <w:color w:val="1D2738"/>
          <w:sz w:val="22"/>
        </w:rPr>
        <w:t>action_type</w:t>
      </w:r>
      <w:r>
        <w:rPr>
          <w:rFonts w:ascii="Times New Roman" w:hAnsi="Times New Roman" w:eastAsia="Times New Roman"/>
          <w:color w:val="1D2738"/>
          <w:sz w:val="22"/>
        </w:rPr>
        <w:t xml:space="preserve"> values. This is closer to production trade-reporting validation than a simple null check.</w:t>
      </w:r>
    </w:p>
    <w:p w14:paraId="0601301A">
      <w:pPr>
        <w:pStyle w:val="2"/>
        <w:keepNext/>
        <w:numPr>
          <w:ilvl w:val="0"/>
          <w:numId w:val="1"/>
        </w:numPr>
        <w:spacing w:before="200" w:after="80"/>
        <w:rPr>
          <w:rFonts w:hint="default"/>
          <w:lang w:val="en-US" w:eastAsia="zh-CN"/>
        </w:rPr>
      </w:pPr>
      <w:bookmarkStart w:id="13" w:name="_Toc931437257"/>
      <w:bookmarkStart w:id="14" w:name="upi-lookup-and-codeset-validation"/>
      <w:r>
        <w:rPr>
          <w:rFonts w:hint="default" w:ascii="Georgia" w:hAnsi="Georgia" w:eastAsia="Georgia"/>
          <w:b/>
          <w:color w:val="0D2554"/>
          <w:sz w:val="23"/>
          <w:lang w:val="en-US" w:eastAsia="zh-CN"/>
        </w:rPr>
        <w:t>UPI Lookup and Codeset Validation</w:t>
      </w:r>
      <w:bookmarkEnd w:id="13"/>
    </w:p>
    <w:p w14:paraId="2243CFEC">
      <w:pPr>
        <w:pStyle w:val="14"/>
        <w:spacing w:after="120" w:line="259" w:lineRule="auto"/>
        <w:jc w:val="left"/>
      </w:pPr>
      <w:r>
        <w:rPr>
          <w:rFonts w:ascii="Times New Roman" w:hAnsi="Times New Roman" w:eastAsia="Times New Roman"/>
          <w:color w:val="1D2738"/>
          <w:sz w:val="22"/>
        </w:rPr>
        <w:t xml:space="preserve">The UPI module performs template lookup against ANNA-DSB. Some teaching-data product labels are not identical to production taxonomy labels, so the engine normalizes them through a transparent alias layer and records the mapping as a normalization note rather than a substantive compliance failure. For example, </w:t>
      </w:r>
      <w:r>
        <w:rPr>
          <w:rStyle w:val="18"/>
          <w:rFonts w:ascii="Times New Roman" w:hAnsi="Times New Roman" w:eastAsia="Times New Roman"/>
          <w:color w:val="1D2738"/>
          <w:sz w:val="22"/>
        </w:rPr>
        <w:t>VanillaOption</w:t>
      </w:r>
      <w:r>
        <w:rPr>
          <w:rFonts w:ascii="Times New Roman" w:hAnsi="Times New Roman" w:eastAsia="Times New Roman"/>
          <w:color w:val="1D2738"/>
          <w:sz w:val="22"/>
        </w:rPr>
        <w:t xml:space="preserve"> maps to </w:t>
      </w:r>
      <w:r>
        <w:rPr>
          <w:rStyle w:val="18"/>
          <w:rFonts w:ascii="Times New Roman" w:hAnsi="Times New Roman" w:eastAsia="Times New Roman"/>
          <w:color w:val="1D2738"/>
          <w:sz w:val="22"/>
        </w:rPr>
        <w:t>Vanilla_Option</w:t>
      </w:r>
      <w:r>
        <w:rPr>
          <w:rFonts w:ascii="Times New Roman" w:hAnsi="Times New Roman" w:eastAsia="Times New Roman"/>
          <w:color w:val="1D2738"/>
          <w:sz w:val="22"/>
        </w:rPr>
        <w:t xml:space="preserve">, </w:t>
      </w:r>
      <w:r>
        <w:rPr>
          <w:rStyle w:val="18"/>
          <w:rFonts w:ascii="Times New Roman" w:hAnsi="Times New Roman" w:eastAsia="Times New Roman"/>
          <w:color w:val="1D2738"/>
          <w:sz w:val="22"/>
        </w:rPr>
        <w:t>OIS</w:t>
      </w:r>
      <w:r>
        <w:rPr>
          <w:rFonts w:ascii="Times New Roman" w:hAnsi="Times New Roman" w:eastAsia="Times New Roman"/>
          <w:color w:val="1D2738"/>
          <w:sz w:val="22"/>
        </w:rPr>
        <w:t xml:space="preserve"> maps to </w:t>
      </w:r>
      <w:r>
        <w:rPr>
          <w:rStyle w:val="18"/>
          <w:rFonts w:ascii="Times New Roman" w:hAnsi="Times New Roman" w:eastAsia="Times New Roman"/>
          <w:color w:val="1D2738"/>
          <w:sz w:val="22"/>
        </w:rPr>
        <w:t>Fixed_Float_OIS</w:t>
      </w:r>
      <w:r>
        <w:rPr>
          <w:rFonts w:ascii="Times New Roman" w:hAnsi="Times New Roman" w:eastAsia="Times New Roman"/>
          <w:color w:val="1D2738"/>
          <w:sz w:val="22"/>
        </w:rPr>
        <w:t xml:space="preserve">, and </w:t>
      </w:r>
      <w:r>
        <w:rPr>
          <w:rStyle w:val="18"/>
          <w:rFonts w:ascii="Times New Roman" w:hAnsi="Times New Roman" w:eastAsia="Times New Roman"/>
          <w:color w:val="1D2738"/>
          <w:sz w:val="22"/>
        </w:rPr>
        <w:t>CommoditySwap</w:t>
      </w:r>
      <w:r>
        <w:rPr>
          <w:rFonts w:ascii="Times New Roman" w:hAnsi="Times New Roman" w:eastAsia="Times New Roman"/>
          <w:color w:val="1D2738"/>
          <w:sz w:val="22"/>
        </w:rPr>
        <w:t xml:space="preserve"> maps to the DSB commodity swap template.</w:t>
      </w:r>
    </w:p>
    <w:p w14:paraId="63F9B216">
      <w:pPr>
        <w:pStyle w:val="3"/>
        <w:spacing w:after="120" w:line="259" w:lineRule="auto"/>
        <w:jc w:val="left"/>
      </w:pPr>
      <w:r>
        <w:rPr>
          <w:rFonts w:ascii="Times New Roman" w:hAnsi="Times New Roman" w:eastAsia="Times New Roman"/>
          <w:color w:val="1D2738"/>
          <w:sz w:val="22"/>
        </w:rPr>
        <w:t>Important Module 2 findings:</w:t>
      </w:r>
    </w:p>
    <w:p w14:paraId="2B7C46BD">
      <w:pPr>
        <w:pStyle w:val="16"/>
        <w:numPr>
          <w:ilvl w:val="0"/>
          <w:numId w:val="2"/>
        </w:numPr>
        <w:spacing w:after="120" w:line="259" w:lineRule="auto"/>
        <w:jc w:val="left"/>
      </w:pPr>
      <w:r>
        <w:rPr>
          <w:rFonts w:ascii="Times New Roman" w:hAnsi="Times New Roman" w:eastAsia="Times New Roman"/>
          <w:color w:val="1D2738"/>
          <w:sz w:val="22"/>
        </w:rPr>
        <w:t xml:space="preserve">T008 passes currency validation because </w:t>
      </w:r>
      <w:r>
        <w:rPr>
          <w:rStyle w:val="18"/>
          <w:rFonts w:ascii="Times New Roman" w:hAnsi="Times New Roman" w:eastAsia="Times New Roman"/>
          <w:color w:val="1D2738"/>
          <w:sz w:val="22"/>
        </w:rPr>
        <w:t>XAU</w:t>
      </w:r>
      <w:r>
        <w:rPr>
          <w:rFonts w:ascii="Times New Roman" w:hAnsi="Times New Roman" w:eastAsia="Times New Roman"/>
          <w:color w:val="1D2738"/>
          <w:sz w:val="22"/>
        </w:rPr>
        <w:t xml:space="preserve"> is a valid code in </w:t>
      </w:r>
      <w:r>
        <w:rPr>
          <w:rStyle w:val="18"/>
          <w:rFonts w:ascii="Times New Roman" w:hAnsi="Times New Roman" w:eastAsia="Times New Roman"/>
          <w:color w:val="1D2738"/>
          <w:sz w:val="22"/>
        </w:rPr>
        <w:t>ISOCurrencyCode.json</w:t>
      </w:r>
      <w:r>
        <w:rPr>
          <w:rFonts w:ascii="Times New Roman" w:hAnsi="Times New Roman" w:eastAsia="Times New Roman"/>
          <w:color w:val="1D2738"/>
          <w:sz w:val="22"/>
        </w:rPr>
        <w:t>.</w:t>
      </w:r>
    </w:p>
    <w:p w14:paraId="7075968E">
      <w:pPr>
        <w:pStyle w:val="16"/>
        <w:numPr>
          <w:ilvl w:val="0"/>
          <w:numId w:val="2"/>
        </w:numPr>
        <w:spacing w:after="120" w:line="259" w:lineRule="auto"/>
        <w:jc w:val="left"/>
      </w:pPr>
      <w:r>
        <w:rPr>
          <w:rFonts w:ascii="Times New Roman" w:hAnsi="Times New Roman" w:eastAsia="Times New Roman"/>
          <w:color w:val="1D2738"/>
          <w:sz w:val="22"/>
        </w:rPr>
        <w:t xml:space="preserve">T005 receives </w:t>
      </w:r>
      <w:r>
        <w:rPr>
          <w:rStyle w:val="18"/>
          <w:rFonts w:ascii="Times New Roman" w:hAnsi="Times New Roman" w:eastAsia="Times New Roman"/>
          <w:color w:val="1D2738"/>
          <w:sz w:val="22"/>
        </w:rPr>
        <w:t>LIBOR_WARNING</w:t>
      </w:r>
      <w:r>
        <w:rPr>
          <w:rFonts w:ascii="Times New Roman" w:hAnsi="Times New Roman" w:eastAsia="Times New Roman"/>
          <w:color w:val="1D2738"/>
          <w:sz w:val="22"/>
        </w:rPr>
        <w:t xml:space="preserve"> because </w:t>
      </w:r>
      <w:r>
        <w:rPr>
          <w:rStyle w:val="18"/>
          <w:rFonts w:ascii="Times New Roman" w:hAnsi="Times New Roman" w:eastAsia="Times New Roman"/>
          <w:color w:val="1D2738"/>
          <w:sz w:val="22"/>
        </w:rPr>
        <w:t>GBP-LIBOR-BBA</w:t>
      </w:r>
      <w:r>
        <w:rPr>
          <w:rFonts w:ascii="Times New Roman" w:hAnsi="Times New Roman" w:eastAsia="Times New Roman"/>
          <w:color w:val="1D2738"/>
          <w:sz w:val="22"/>
        </w:rPr>
        <w:t xml:space="preserve"> remains in the codeset but is a legacy rate after LIBOR cessation.</w:t>
      </w:r>
    </w:p>
    <w:p w14:paraId="30831FEB">
      <w:pPr>
        <w:pStyle w:val="16"/>
        <w:numPr>
          <w:ilvl w:val="0"/>
          <w:numId w:val="2"/>
        </w:numPr>
        <w:spacing w:after="120" w:line="259" w:lineRule="auto"/>
        <w:jc w:val="left"/>
      </w:pPr>
      <w:r>
        <w:rPr>
          <w:rFonts w:ascii="Times New Roman" w:hAnsi="Times New Roman" w:eastAsia="Times New Roman"/>
          <w:color w:val="1D2738"/>
          <w:sz w:val="22"/>
        </w:rPr>
        <w:t xml:space="preserve">T018 receives </w:t>
      </w:r>
      <w:r>
        <w:rPr>
          <w:rStyle w:val="18"/>
          <w:rFonts w:ascii="Times New Roman" w:hAnsi="Times New Roman" w:eastAsia="Times New Roman"/>
          <w:color w:val="1D2738"/>
          <w:sz w:val="22"/>
        </w:rPr>
        <w:t>INVALID_CURRENCY</w:t>
      </w:r>
      <w:r>
        <w:rPr>
          <w:rFonts w:ascii="Times New Roman" w:hAnsi="Times New Roman" w:eastAsia="Times New Roman"/>
          <w:color w:val="1D2738"/>
          <w:sz w:val="22"/>
        </w:rPr>
        <w:t xml:space="preserve"> for </w:t>
      </w:r>
      <w:r>
        <w:rPr>
          <w:rStyle w:val="18"/>
          <w:rFonts w:ascii="Times New Roman" w:hAnsi="Times New Roman" w:eastAsia="Times New Roman"/>
          <w:color w:val="1D2738"/>
          <w:sz w:val="22"/>
        </w:rPr>
        <w:t>INVALID_CCY</w:t>
      </w:r>
      <w:r>
        <w:rPr>
          <w:rFonts w:ascii="Times New Roman" w:hAnsi="Times New Roman" w:eastAsia="Times New Roman"/>
          <w:color w:val="1D2738"/>
          <w:sz w:val="22"/>
        </w:rPr>
        <w:t>.</w:t>
      </w:r>
    </w:p>
    <w:p w14:paraId="490B3359">
      <w:pPr>
        <w:pStyle w:val="16"/>
        <w:numPr>
          <w:ilvl w:val="0"/>
          <w:numId w:val="2"/>
        </w:numPr>
        <w:spacing w:after="120" w:line="259" w:lineRule="auto"/>
        <w:jc w:val="left"/>
      </w:pPr>
      <w:r>
        <w:rPr>
          <w:rFonts w:ascii="Times New Roman" w:hAnsi="Times New Roman" w:eastAsia="Times New Roman"/>
          <w:color w:val="1D2738"/>
          <w:sz w:val="22"/>
        </w:rPr>
        <w:t xml:space="preserve">T019 receives </w:t>
      </w:r>
      <w:r>
        <w:rPr>
          <w:rStyle w:val="18"/>
          <w:rFonts w:ascii="Times New Roman" w:hAnsi="Times New Roman" w:eastAsia="Times New Roman"/>
          <w:color w:val="1D2738"/>
          <w:sz w:val="22"/>
        </w:rPr>
        <w:t>INVALID_CURRENCY</w:t>
      </w:r>
      <w:r>
        <w:rPr>
          <w:rFonts w:ascii="Times New Roman" w:hAnsi="Times New Roman" w:eastAsia="Times New Roman"/>
          <w:color w:val="1D2738"/>
          <w:sz w:val="22"/>
        </w:rPr>
        <w:t xml:space="preserve"> because </w:t>
      </w:r>
      <w:r>
        <w:rPr>
          <w:rStyle w:val="18"/>
          <w:rFonts w:ascii="Times New Roman" w:hAnsi="Times New Roman" w:eastAsia="Times New Roman"/>
          <w:color w:val="1D2738"/>
          <w:sz w:val="22"/>
        </w:rPr>
        <w:t>CNH</w:t>
      </w:r>
      <w:r>
        <w:rPr>
          <w:rFonts w:ascii="Times New Roman" w:hAnsi="Times New Roman" w:eastAsia="Times New Roman"/>
          <w:color w:val="1D2738"/>
          <w:sz w:val="22"/>
        </w:rPr>
        <w:t xml:space="preserve"> is not in the DSB ISO currency codeset used here.</w:t>
      </w:r>
    </w:p>
    <w:p w14:paraId="03B62223">
      <w:pPr>
        <w:pStyle w:val="16"/>
        <w:numPr>
          <w:ilvl w:val="0"/>
          <w:numId w:val="2"/>
        </w:numPr>
        <w:spacing w:after="120" w:line="259" w:lineRule="auto"/>
        <w:jc w:val="left"/>
      </w:pPr>
      <w:r>
        <w:rPr>
          <w:rFonts w:ascii="Times New Roman" w:hAnsi="Times New Roman" w:eastAsia="Times New Roman"/>
          <w:color w:val="1D2738"/>
          <w:sz w:val="22"/>
        </w:rPr>
        <w:t xml:space="preserve">T026-T028 receive </w:t>
      </w:r>
      <w:r>
        <w:rPr>
          <w:rStyle w:val="18"/>
          <w:rFonts w:ascii="Times New Roman" w:hAnsi="Times New Roman" w:eastAsia="Times New Roman"/>
          <w:color w:val="1D2738"/>
          <w:sz w:val="22"/>
        </w:rPr>
        <w:t>NO_PRODUCT_DEFINITION</w:t>
      </w:r>
      <w:r>
        <w:rPr>
          <w:rFonts w:ascii="Times New Roman" w:hAnsi="Times New Roman" w:eastAsia="Times New Roman"/>
          <w:color w:val="1D2738"/>
          <w:sz w:val="22"/>
        </w:rPr>
        <w:t xml:space="preserve"> because </w:t>
      </w:r>
      <w:r>
        <w:rPr>
          <w:rStyle w:val="18"/>
          <w:rFonts w:ascii="Times New Roman" w:hAnsi="Times New Roman" w:eastAsia="Times New Roman"/>
          <w:color w:val="1D2738"/>
          <w:sz w:val="22"/>
        </w:rPr>
        <w:t>EventContract</w:t>
      </w:r>
      <w:r>
        <w:rPr>
          <w:rFonts w:ascii="Times New Roman" w:hAnsi="Times New Roman" w:eastAsia="Times New Roman"/>
          <w:color w:val="1D2738"/>
          <w:sz w:val="22"/>
        </w:rPr>
        <w:t xml:space="preserve"> is absent from the ANNA-DSB OTC UPI taxonomy.</w:t>
      </w:r>
    </w:p>
    <w:p w14:paraId="5E070342">
      <w:pPr>
        <w:pStyle w:val="14"/>
        <w:spacing w:after="120" w:line="259" w:lineRule="auto"/>
        <w:jc w:val="left"/>
      </w:pPr>
      <w:r>
        <w:rPr>
          <w:rFonts w:ascii="Times New Roman" w:hAnsi="Times New Roman" w:eastAsia="Times New Roman"/>
          <w:color w:val="1D2738"/>
          <w:sz w:val="22"/>
        </w:rPr>
        <w:t>The engine extracts required field names from each matched DSB template and compares the mapped fields that exist in the homework record. This is not a full production ANNA-DSB submission validator: the source portfolio does not contain a complete DSB request payload, and the solution deliberately avoids pretending that a sparse homework record can satisfy every nested schema property. Instead, the engine separates three levels of Module 2 evidence: template coverage, codeset validation, and required-attribute coverage.</w:t>
      </w:r>
    </w:p>
    <w:p w14:paraId="01408422">
      <w:pPr>
        <w:pStyle w:val="3"/>
        <w:spacing w:after="120" w:line="259" w:lineRule="auto"/>
        <w:jc w:val="left"/>
      </w:pPr>
      <w:r>
        <w:rPr>
          <w:rFonts w:ascii="Times New Roman" w:hAnsi="Times New Roman" w:eastAsia="Times New Roman"/>
          <w:color w:val="1D2738"/>
          <w:sz w:val="22"/>
        </w:rPr>
        <w:t>Representative template-level coverage results are:</w:t>
      </w:r>
    </w:p>
    <w:p w14:paraId="5F0C6050">
      <w:pPr>
        <w:pStyle w:val="16"/>
        <w:numPr>
          <w:ilvl w:val="0"/>
          <w:numId w:val="2"/>
        </w:numPr>
        <w:spacing w:after="120" w:line="259" w:lineRule="auto"/>
        <w:jc w:val="left"/>
      </w:pPr>
      <w:r>
        <w:rPr>
          <w:rFonts w:ascii="Times New Roman" w:hAnsi="Times New Roman" w:eastAsia="Times New Roman"/>
          <w:b/>
          <w:bCs/>
          <w:color w:val="1D2738"/>
          <w:sz w:val="22"/>
        </w:rPr>
        <w:t>T001</w:t>
      </w:r>
      <w:r>
        <w:rPr>
          <w:rFonts w:ascii="Times New Roman" w:hAnsi="Times New Roman" w:eastAsia="Times New Roman"/>
          <w:color w:val="1D2738"/>
          <w:sz w:val="22"/>
        </w:rPr>
        <w:t>: Rates swap; required status CHECKED; checked 7, missing mapped 0, unmapped 4.</w:t>
      </w:r>
    </w:p>
    <w:p w14:paraId="43EB0949">
      <w:pPr>
        <w:pStyle w:val="16"/>
        <w:numPr>
          <w:ilvl w:val="0"/>
          <w:numId w:val="2"/>
        </w:numPr>
        <w:spacing w:after="120" w:line="259" w:lineRule="auto"/>
        <w:jc w:val="left"/>
      </w:pPr>
      <w:r>
        <w:rPr>
          <w:rFonts w:ascii="Times New Roman" w:hAnsi="Times New Roman" w:eastAsia="Times New Roman"/>
          <w:b/>
          <w:bCs/>
          <w:color w:val="1D2738"/>
          <w:sz w:val="22"/>
        </w:rPr>
        <w:t>T005</w:t>
      </w:r>
      <w:r>
        <w:rPr>
          <w:rFonts w:ascii="Times New Roman" w:hAnsi="Times New Roman" w:eastAsia="Times New Roman"/>
          <w:color w:val="1D2738"/>
          <w:sz w:val="22"/>
        </w:rPr>
        <w:t>: Rates swap; required status CHECKED; checked 7, missing mapped 0, unmapped 4.</w:t>
      </w:r>
    </w:p>
    <w:p w14:paraId="4BFA568E">
      <w:pPr>
        <w:pStyle w:val="16"/>
        <w:numPr>
          <w:ilvl w:val="0"/>
          <w:numId w:val="2"/>
        </w:numPr>
        <w:spacing w:after="120" w:line="259" w:lineRule="auto"/>
        <w:jc w:val="left"/>
      </w:pPr>
      <w:r>
        <w:rPr>
          <w:rFonts w:ascii="Times New Roman" w:hAnsi="Times New Roman" w:eastAsia="Times New Roman"/>
          <w:b/>
          <w:bCs/>
          <w:color w:val="1D2738"/>
          <w:sz w:val="22"/>
        </w:rPr>
        <w:t>T015</w:t>
      </w:r>
      <w:r>
        <w:rPr>
          <w:rFonts w:ascii="Times New Roman" w:hAnsi="Times New Roman" w:eastAsia="Times New Roman"/>
          <w:color w:val="1D2738"/>
          <w:sz w:val="22"/>
        </w:rPr>
        <w:t>: FX Swap; required status PARTIAL; checked 6, missing mapped 1, unmapped 2.</w:t>
      </w:r>
    </w:p>
    <w:p w14:paraId="7DDD90AA">
      <w:pPr>
        <w:pStyle w:val="16"/>
        <w:numPr>
          <w:ilvl w:val="0"/>
          <w:numId w:val="2"/>
        </w:numPr>
        <w:spacing w:after="120" w:line="259" w:lineRule="auto"/>
        <w:jc w:val="left"/>
      </w:pPr>
      <w:r>
        <w:rPr>
          <w:rFonts w:ascii="Times New Roman" w:hAnsi="Times New Roman" w:eastAsia="Times New Roman"/>
          <w:b/>
          <w:bCs/>
          <w:color w:val="1D2738"/>
          <w:sz w:val="22"/>
        </w:rPr>
        <w:t>T024</w:t>
      </w:r>
      <w:r>
        <w:rPr>
          <w:rFonts w:ascii="Times New Roman" w:hAnsi="Times New Roman" w:eastAsia="Times New Roman"/>
          <w:color w:val="1D2738"/>
          <w:sz w:val="22"/>
        </w:rPr>
        <w:t>: Commodity swap; required status PARTIAL; checked 7, missing mapped 1, unmapped 2.</w:t>
      </w:r>
    </w:p>
    <w:p w14:paraId="23BB2B5B">
      <w:pPr>
        <w:pStyle w:val="16"/>
        <w:numPr>
          <w:ilvl w:val="0"/>
          <w:numId w:val="2"/>
        </w:numPr>
        <w:spacing w:after="120" w:line="259" w:lineRule="auto"/>
        <w:jc w:val="left"/>
      </w:pPr>
      <w:r>
        <w:rPr>
          <w:rFonts w:ascii="Times New Roman" w:hAnsi="Times New Roman" w:eastAsia="Times New Roman"/>
          <w:b/>
          <w:bCs/>
          <w:color w:val="1D2738"/>
          <w:sz w:val="22"/>
        </w:rPr>
        <w:t>T026</w:t>
      </w:r>
      <w:r>
        <w:rPr>
          <w:rFonts w:ascii="Times New Roman" w:hAnsi="Times New Roman" w:eastAsia="Times New Roman"/>
          <w:color w:val="1D2738"/>
          <w:sz w:val="22"/>
        </w:rPr>
        <w:t>: No OTC template; required status NO TEMPLATE; checked 0, missing mapped 0, unmapped 0.</w:t>
      </w:r>
    </w:p>
    <w:p w14:paraId="390AF719">
      <w:pPr>
        <w:pStyle w:val="14"/>
        <w:spacing w:after="120" w:line="259" w:lineRule="auto"/>
        <w:jc w:val="left"/>
      </w:pPr>
      <w:r>
        <w:rPr>
          <w:rFonts w:ascii="Times New Roman" w:hAnsi="Times New Roman" w:eastAsia="Times New Roman"/>
          <w:color w:val="1D2738"/>
          <w:sz w:val="22"/>
        </w:rPr>
        <w:t xml:space="preserve">The distinction matters. </w:t>
      </w:r>
      <w:r>
        <w:rPr>
          <w:rStyle w:val="18"/>
          <w:rFonts w:ascii="Times New Roman" w:hAnsi="Times New Roman" w:eastAsia="Times New Roman"/>
          <w:color w:val="1D2738"/>
          <w:sz w:val="22"/>
        </w:rPr>
        <w:t>NO_PRODUCT_DEFINITION</w:t>
      </w:r>
      <w:r>
        <w:rPr>
          <w:rFonts w:ascii="Times New Roman" w:hAnsi="Times New Roman" w:eastAsia="Times New Roman"/>
          <w:color w:val="1D2738"/>
          <w:sz w:val="22"/>
        </w:rPr>
        <w:t xml:space="preserve"> is not the same as a parser crash. It is evidence that prediction market event contracts sit outside the current OTC product-definition library. For conventional products, missing mapped attributes are reported as schema-coverage gaps rather than legal non-compliance, because a production system would first construct a full DSB request object and then run complete JSON-schema and enum validation.</w:t>
      </w:r>
    </w:p>
    <w:bookmarkEnd w:id="14"/>
    <w:p w14:paraId="67BEA11D">
      <w:pPr>
        <w:pStyle w:val="2"/>
        <w:keepNext/>
        <w:numPr>
          <w:ilvl w:val="0"/>
          <w:numId w:val="1"/>
        </w:numPr>
        <w:spacing w:before="200" w:after="80"/>
        <w:rPr>
          <w:rFonts w:hint="default"/>
          <w:lang w:val="en-US" w:eastAsia="zh-CN"/>
        </w:rPr>
      </w:pPr>
      <w:bookmarkStart w:id="15" w:name="_Toc1657675416"/>
      <w:r>
        <w:rPr>
          <w:rFonts w:hint="default" w:ascii="Georgia" w:hAnsi="Georgia" w:eastAsia="Georgia"/>
          <w:b/>
          <w:color w:val="0D2554"/>
          <w:sz w:val="23"/>
          <w:lang w:val="en-US" w:eastAsia="zh-CN"/>
        </w:rPr>
        <w:t>Compliance, Scope, and Conclusions</w:t>
      </w:r>
      <w:bookmarkEnd w:id="15"/>
    </w:p>
    <w:p w14:paraId="45510A09">
      <w:pPr>
        <w:pStyle w:val="14"/>
        <w:spacing w:after="120" w:line="259" w:lineRule="auto"/>
        <w:jc w:val="left"/>
        <w:rPr>
          <w:rFonts w:hint="default"/>
          <w:lang w:val="en-US"/>
        </w:rPr>
      </w:pPr>
      <w:r>
        <w:rPr>
          <w:rFonts w:hint="eastAsia" w:ascii="Times New Roman" w:hAnsi="Times New Roman" w:eastAsia="Times New Roman"/>
          <w:color w:val="1D2738"/>
          <w:sz w:val="22"/>
        </w:rPr>
        <w:t>The engine separates the legacy overall_status into three analytical dimensions: data quality, reporting scope, and regulatory conclusion. This avoids treating jurisdictional scope issues as ordinary data-quality failures.</w:t>
      </w:r>
    </w:p>
    <w:p w14:paraId="4E30AAA5">
      <w:pPr>
        <w:pStyle w:val="15"/>
        <w:keepNext/>
        <w:wordWrap w:val="0"/>
        <w:ind w:left="0" w:leftChars="0" w:firstLine="0" w:firstLineChars="0"/>
        <w:rPr>
          <w:rFonts w:hint="default" w:asciiTheme="minorAscii" w:hAnsiTheme="minorAscii"/>
          <w:color w:val="auto"/>
          <w:lang w:val="en-US"/>
        </w:rPr>
      </w:pPr>
      <w:bookmarkStart w:id="16" w:name="_Toc734753012"/>
      <w:bookmarkEnd w:id="16"/>
      <w:r>
        <w:rPr>
          <w:rFonts w:ascii="Georgia" w:hAnsi="Georgia" w:eastAsia="Georgia"/>
          <w:b/>
          <w:color w:val="0D2554"/>
          <w:sz w:val="19"/>
        </w:rPr>
        <w:t>Table 4: Three-Dimensional Compliance Result Summary</w:t>
      </w:r>
    </w:p>
    <w:tbl>
      <w:tblPr>
        <w:tblStyle w:val="17"/>
        <w:tblW w:w="5000" w:type="pct"/>
        <w:jc w:val="center"/>
        <w:tblBorders>
          <w:top w:val="single" w:color="D8E1EE" w:sz="4" w:space="0"/>
          <w:left w:val="single" w:color="D8E1EE" w:sz="4" w:space="0"/>
          <w:bottom w:val="single" w:color="D8E1EE" w:sz="4" w:space="0"/>
          <w:right w:val="single" w:color="D8E1EE" w:sz="4" w:space="0"/>
          <w:insideH w:val="single" w:color="D8E1EE" w:sz="4" w:space="0"/>
          <w:insideV w:val="single" w:color="D8E1EE" w:sz="4" w:space="0"/>
        </w:tblBorders>
        <w:tblLayout w:type="fixed"/>
        <w:tblCellMar>
          <w:top w:w="0" w:type="dxa"/>
          <w:left w:w="108" w:type="dxa"/>
          <w:bottom w:w="0" w:type="dxa"/>
          <w:right w:w="108" w:type="dxa"/>
        </w:tblCellMar>
      </w:tblPr>
      <w:tblGrid>
        <w:gridCol w:w="5079"/>
        <w:gridCol w:w="5079"/>
      </w:tblGrid>
      <w:tr w14:paraId="6EAE7D0A">
        <w:trPr>
          <w:cantSplit/>
          <w:jc w:val="center"/>
        </w:trPr>
        <w:tc>
          <w:tcPr>
            <w:tcW w:w="6840" w:type="dxa"/>
            <w:tcBorders>
              <w:top w:val="single" w:color="C9D5E2" w:sz="4" w:space="0"/>
              <w:left w:val="single" w:color="C9D5E2" w:sz="4" w:space="0"/>
              <w:bottom w:val="single" w:color="C9D5E2" w:sz="4" w:space="0"/>
              <w:right w:val="single" w:color="C9D5E2" w:sz="4" w:space="0"/>
              <w:insideH w:val="single" w:sz="0" w:space="0"/>
            </w:tcBorders>
            <w:shd w:val="clear" w:color="auto" w:fill="0D2554"/>
            <w:tcMar>
              <w:top w:w="80" w:type="dxa"/>
              <w:left w:w="90" w:type="dxa"/>
              <w:bottom w:w="80" w:type="dxa"/>
              <w:right w:w="90" w:type="dxa"/>
            </w:tcMar>
            <w:vAlign w:val="center"/>
          </w:tcPr>
          <w:p w14:paraId="72E27BAC">
            <w:pPr>
              <w:pStyle w:val="16"/>
              <w:spacing w:before="0" w:after="0" w:line="240" w:lineRule="auto"/>
              <w:jc w:val="center"/>
              <w:rPr>
                <w:b/>
                <w:bCs/>
                <w:sz w:val="21"/>
                <w:szCs w:val="21"/>
              </w:rPr>
            </w:pPr>
            <w:r>
              <w:rPr>
                <w:rFonts w:ascii="Times New Roman" w:hAnsi="Times New Roman" w:eastAsia="Times New Roman"/>
                <w:b/>
                <w:bCs/>
                <w:color w:val="FFFFFF"/>
                <w:sz w:val="18"/>
                <w:szCs w:val="21"/>
              </w:rPr>
              <w:t>Data quality status</w:t>
            </w:r>
          </w:p>
        </w:tc>
        <w:tc>
          <w:tcPr>
            <w:tcW w:w="1728" w:type="dxa"/>
            <w:tcBorders>
              <w:top w:val="single" w:color="C9D5E2" w:sz="4" w:space="0"/>
              <w:left w:val="single" w:color="C9D5E2" w:sz="4" w:space="0"/>
              <w:bottom w:val="single" w:color="C9D5E2" w:sz="4" w:space="0"/>
              <w:right w:val="single" w:color="C9D5E2" w:sz="4" w:space="0"/>
              <w:insideH w:val="single" w:sz="0" w:space="0"/>
            </w:tcBorders>
            <w:shd w:val="clear" w:color="auto" w:fill="0D2554"/>
            <w:tcMar>
              <w:top w:w="80" w:type="dxa"/>
              <w:left w:w="90" w:type="dxa"/>
              <w:bottom w:w="80" w:type="dxa"/>
              <w:right w:w="90" w:type="dxa"/>
            </w:tcMar>
            <w:vAlign w:val="center"/>
          </w:tcPr>
          <w:p w14:paraId="3342DD68">
            <w:pPr>
              <w:pStyle w:val="16"/>
              <w:spacing w:before="0" w:after="0" w:line="240" w:lineRule="auto"/>
              <w:jc w:val="center"/>
              <w:rPr>
                <w:b/>
                <w:bCs/>
                <w:sz w:val="21"/>
                <w:szCs w:val="21"/>
              </w:rPr>
            </w:pPr>
            <w:r>
              <w:rPr>
                <w:rFonts w:ascii="Times New Roman" w:hAnsi="Times New Roman" w:eastAsia="Times New Roman"/>
                <w:b/>
                <w:bCs/>
                <w:color w:val="FFFFFF"/>
                <w:sz w:val="18"/>
                <w:szCs w:val="21"/>
              </w:rPr>
              <w:t>Count</w:t>
            </w:r>
          </w:p>
        </w:tc>
      </w:tr>
      <w:tr w14:paraId="4D16DC0A">
        <w:trPr>
          <w:cantSplit/>
          <w:jc w:val="center"/>
        </w:trPr>
        <w:tc>
          <w:tcPr>
            <w:tcW w:w="6840" w:type="dxa"/>
            <w:tcBorders>
              <w:top w:val="single" w:color="C9D5E2" w:sz="4" w:space="0"/>
              <w:left w:val="single" w:color="C9D5E2" w:sz="4" w:space="0"/>
              <w:bottom w:val="single" w:color="C9D5E2" w:sz="4" w:space="0"/>
              <w:right w:val="single" w:color="C9D5E2" w:sz="4" w:space="0"/>
            </w:tcBorders>
            <w:tcMar>
              <w:top w:w="80" w:type="dxa"/>
              <w:left w:w="90" w:type="dxa"/>
              <w:bottom w:w="80" w:type="dxa"/>
              <w:right w:w="90" w:type="dxa"/>
            </w:tcMar>
            <w:vAlign w:val="center"/>
          </w:tcPr>
          <w:p w14:paraId="7F70B93C">
            <w:pPr>
              <w:pStyle w:val="16"/>
              <w:spacing w:before="0" w:after="0" w:line="240" w:lineRule="auto"/>
              <w:jc w:val="center"/>
              <w:rPr>
                <w:sz w:val="20"/>
                <w:szCs w:val="20"/>
              </w:rPr>
            </w:pPr>
            <w:r>
              <w:rPr>
                <w:rFonts w:ascii="Times New Roman" w:hAnsi="Times New Roman" w:eastAsia="Times New Roman"/>
                <w:b w:val="0"/>
                <w:color w:val="1D2738"/>
                <w:sz w:val="18"/>
                <w:szCs w:val="20"/>
              </w:rPr>
              <w:t>Pass</w:t>
            </w:r>
          </w:p>
        </w:tc>
        <w:tc>
          <w:tcPr>
            <w:tcW w:w="1728" w:type="dxa"/>
            <w:tcBorders>
              <w:top w:val="single" w:color="C9D5E2" w:sz="4" w:space="0"/>
              <w:left w:val="single" w:color="C9D5E2" w:sz="4" w:space="0"/>
              <w:bottom w:val="single" w:color="C9D5E2" w:sz="4" w:space="0"/>
              <w:right w:val="single" w:color="C9D5E2" w:sz="4" w:space="0"/>
            </w:tcBorders>
            <w:tcMar>
              <w:top w:w="80" w:type="dxa"/>
              <w:left w:w="90" w:type="dxa"/>
              <w:bottom w:w="80" w:type="dxa"/>
              <w:right w:w="90" w:type="dxa"/>
            </w:tcMar>
            <w:vAlign w:val="center"/>
          </w:tcPr>
          <w:p w14:paraId="68891A38">
            <w:pPr>
              <w:pStyle w:val="16"/>
              <w:spacing w:before="0" w:after="0" w:line="240" w:lineRule="auto"/>
              <w:jc w:val="center"/>
              <w:rPr>
                <w:sz w:val="20"/>
                <w:szCs w:val="20"/>
              </w:rPr>
            </w:pPr>
            <w:r>
              <w:rPr>
                <w:rFonts w:ascii="Times New Roman" w:hAnsi="Times New Roman" w:eastAsia="Times New Roman"/>
                <w:b w:val="0"/>
                <w:color w:val="1D2738"/>
                <w:sz w:val="18"/>
                <w:szCs w:val="20"/>
              </w:rPr>
              <w:t>5</w:t>
            </w:r>
          </w:p>
        </w:tc>
      </w:tr>
      <w:tr w14:paraId="786ECF96">
        <w:trPr>
          <w:cantSplit/>
          <w:jc w:val="center"/>
        </w:trPr>
        <w:tc>
          <w:tcPr>
            <w:tcW w:w="6840" w:type="dxa"/>
            <w:tcBorders>
              <w:top w:val="single" w:color="C9D5E2" w:sz="4" w:space="0"/>
              <w:left w:val="single" w:color="C9D5E2" w:sz="4" w:space="0"/>
              <w:bottom w:val="single" w:color="C9D5E2" w:sz="4" w:space="0"/>
              <w:right w:val="single" w:color="C9D5E2" w:sz="4" w:space="0"/>
            </w:tcBorders>
            <w:shd w:val="clear" w:color="auto" w:fill="F8FAFD"/>
            <w:tcMar>
              <w:top w:w="80" w:type="dxa"/>
              <w:left w:w="90" w:type="dxa"/>
              <w:bottom w:w="80" w:type="dxa"/>
              <w:right w:w="90" w:type="dxa"/>
            </w:tcMar>
            <w:vAlign w:val="center"/>
          </w:tcPr>
          <w:p w14:paraId="259DEF7D">
            <w:pPr>
              <w:pStyle w:val="16"/>
              <w:spacing w:before="0" w:after="0" w:line="240" w:lineRule="auto"/>
              <w:jc w:val="center"/>
              <w:rPr>
                <w:sz w:val="20"/>
                <w:szCs w:val="20"/>
              </w:rPr>
            </w:pPr>
            <w:r>
              <w:rPr>
                <w:rFonts w:ascii="Times New Roman" w:hAnsi="Times New Roman" w:eastAsia="Times New Roman"/>
                <w:b w:val="0"/>
                <w:color w:val="1D2738"/>
                <w:sz w:val="18"/>
                <w:szCs w:val="20"/>
              </w:rPr>
              <w:t>Warning</w:t>
            </w:r>
          </w:p>
        </w:tc>
        <w:tc>
          <w:tcPr>
            <w:tcW w:w="1728" w:type="dxa"/>
            <w:tcBorders>
              <w:top w:val="single" w:color="C9D5E2" w:sz="4" w:space="0"/>
              <w:left w:val="single" w:color="C9D5E2" w:sz="4" w:space="0"/>
              <w:bottom w:val="single" w:color="C9D5E2" w:sz="4" w:space="0"/>
              <w:right w:val="single" w:color="C9D5E2" w:sz="4" w:space="0"/>
            </w:tcBorders>
            <w:shd w:val="clear" w:color="auto" w:fill="F8FAFD"/>
            <w:tcMar>
              <w:top w:w="80" w:type="dxa"/>
              <w:left w:w="90" w:type="dxa"/>
              <w:bottom w:w="80" w:type="dxa"/>
              <w:right w:w="90" w:type="dxa"/>
            </w:tcMar>
            <w:vAlign w:val="center"/>
          </w:tcPr>
          <w:p w14:paraId="05A07445">
            <w:pPr>
              <w:pStyle w:val="16"/>
              <w:spacing w:before="0" w:after="0" w:line="240" w:lineRule="auto"/>
              <w:jc w:val="center"/>
              <w:rPr>
                <w:sz w:val="20"/>
                <w:szCs w:val="20"/>
              </w:rPr>
            </w:pPr>
            <w:r>
              <w:rPr>
                <w:rFonts w:ascii="Times New Roman" w:hAnsi="Times New Roman" w:eastAsia="Times New Roman"/>
                <w:b w:val="0"/>
                <w:color w:val="1D2738"/>
                <w:sz w:val="18"/>
                <w:szCs w:val="20"/>
              </w:rPr>
              <w:t>9</w:t>
            </w:r>
          </w:p>
        </w:tc>
      </w:tr>
      <w:tr w14:paraId="04A4FB8A">
        <w:trPr>
          <w:cantSplit/>
          <w:jc w:val="center"/>
        </w:trPr>
        <w:tc>
          <w:tcPr>
            <w:tcW w:w="6840" w:type="dxa"/>
            <w:tcBorders>
              <w:top w:val="single" w:color="C9D5E2" w:sz="4" w:space="0"/>
              <w:left w:val="single" w:color="C9D5E2" w:sz="4" w:space="0"/>
              <w:bottom w:val="single" w:color="C9D5E2" w:sz="4" w:space="0"/>
              <w:right w:val="single" w:color="C9D5E2" w:sz="4" w:space="0"/>
            </w:tcBorders>
            <w:tcMar>
              <w:top w:w="80" w:type="dxa"/>
              <w:left w:w="90" w:type="dxa"/>
              <w:bottom w:w="80" w:type="dxa"/>
              <w:right w:w="90" w:type="dxa"/>
            </w:tcMar>
            <w:vAlign w:val="center"/>
          </w:tcPr>
          <w:p w14:paraId="357C47D4">
            <w:pPr>
              <w:pStyle w:val="16"/>
              <w:spacing w:before="0" w:after="0" w:line="240" w:lineRule="auto"/>
              <w:jc w:val="center"/>
              <w:rPr>
                <w:sz w:val="20"/>
                <w:szCs w:val="20"/>
              </w:rPr>
            </w:pPr>
            <w:r>
              <w:rPr>
                <w:rFonts w:ascii="Times New Roman" w:hAnsi="Times New Roman" w:eastAsia="Times New Roman"/>
                <w:b w:val="0"/>
                <w:color w:val="1D2738"/>
                <w:sz w:val="18"/>
                <w:szCs w:val="20"/>
              </w:rPr>
              <w:t>Non-compliant</w:t>
            </w:r>
          </w:p>
        </w:tc>
        <w:tc>
          <w:tcPr>
            <w:tcW w:w="1728" w:type="dxa"/>
            <w:tcBorders>
              <w:top w:val="single" w:color="C9D5E2" w:sz="4" w:space="0"/>
              <w:left w:val="single" w:color="C9D5E2" w:sz="4" w:space="0"/>
              <w:bottom w:val="single" w:color="C9D5E2" w:sz="4" w:space="0"/>
              <w:right w:val="single" w:color="C9D5E2" w:sz="4" w:space="0"/>
            </w:tcBorders>
            <w:tcMar>
              <w:top w:w="80" w:type="dxa"/>
              <w:left w:w="90" w:type="dxa"/>
              <w:bottom w:w="80" w:type="dxa"/>
              <w:right w:w="90" w:type="dxa"/>
            </w:tcMar>
            <w:vAlign w:val="center"/>
          </w:tcPr>
          <w:p w14:paraId="2FF67912">
            <w:pPr>
              <w:pStyle w:val="16"/>
              <w:spacing w:before="0" w:after="0" w:line="240" w:lineRule="auto"/>
              <w:jc w:val="center"/>
              <w:rPr>
                <w:sz w:val="20"/>
                <w:szCs w:val="20"/>
              </w:rPr>
            </w:pPr>
            <w:r>
              <w:rPr>
                <w:rFonts w:ascii="Times New Roman" w:hAnsi="Times New Roman" w:eastAsia="Times New Roman"/>
                <w:b w:val="0"/>
                <w:color w:val="1D2738"/>
                <w:sz w:val="18"/>
                <w:szCs w:val="20"/>
              </w:rPr>
              <w:t>14</w:t>
            </w:r>
          </w:p>
        </w:tc>
      </w:tr>
      <w:tr w14:paraId="4F0168C8">
        <w:trPr>
          <w:cantSplit/>
          <w:jc w:val="center"/>
        </w:trPr>
        <w:tc>
          <w:tcPr>
            <w:tcW w:w="6840" w:type="dxa"/>
            <w:tcBorders>
              <w:top w:val="single" w:color="C9D5E2" w:sz="4" w:space="0"/>
              <w:left w:val="single" w:color="C9D5E2" w:sz="4" w:space="0"/>
              <w:bottom w:val="single" w:color="C9D5E2" w:sz="4" w:space="0"/>
              <w:right w:val="single" w:color="C9D5E2" w:sz="4" w:space="0"/>
            </w:tcBorders>
            <w:shd w:val="clear" w:color="auto" w:fill="F8FAFD"/>
            <w:tcMar>
              <w:top w:w="80" w:type="dxa"/>
              <w:left w:w="90" w:type="dxa"/>
              <w:bottom w:w="80" w:type="dxa"/>
              <w:right w:w="90" w:type="dxa"/>
            </w:tcMar>
            <w:vAlign w:val="center"/>
          </w:tcPr>
          <w:p w14:paraId="7762DF15">
            <w:pPr>
              <w:pStyle w:val="16"/>
              <w:spacing w:before="0" w:after="0" w:line="240" w:lineRule="auto"/>
              <w:jc w:val="center"/>
              <w:rPr>
                <w:rFonts w:asciiTheme="minorHAnsi" w:hAnsiTheme="minorHAnsi" w:eastAsiaTheme="minorEastAsia" w:cstheme="minorBidi"/>
                <w:b/>
                <w:bCs/>
                <w:sz w:val="20"/>
                <w:szCs w:val="20"/>
                <w:lang w:val="en-US" w:eastAsia="en-US" w:bidi="ar-SA"/>
              </w:rPr>
            </w:pPr>
            <w:r>
              <w:rPr>
                <w:rFonts w:ascii="Times New Roman" w:hAnsi="Times New Roman" w:eastAsia="Times New Roman"/>
                <w:b/>
                <w:bCs/>
                <w:color w:val="1D2738"/>
                <w:sz w:val="18"/>
                <w:szCs w:val="20"/>
              </w:rPr>
              <w:t>Reporting scope status</w:t>
            </w:r>
          </w:p>
        </w:tc>
        <w:tc>
          <w:tcPr>
            <w:tcW w:w="1728" w:type="dxa"/>
            <w:tcBorders>
              <w:top w:val="single" w:color="C9D5E2" w:sz="4" w:space="0"/>
              <w:left w:val="single" w:color="C9D5E2" w:sz="4" w:space="0"/>
              <w:bottom w:val="single" w:color="C9D5E2" w:sz="4" w:space="0"/>
              <w:right w:val="single" w:color="C9D5E2" w:sz="4" w:space="0"/>
            </w:tcBorders>
            <w:shd w:val="clear" w:color="auto" w:fill="F8FAFD"/>
            <w:tcMar>
              <w:top w:w="80" w:type="dxa"/>
              <w:left w:w="90" w:type="dxa"/>
              <w:bottom w:w="80" w:type="dxa"/>
              <w:right w:w="90" w:type="dxa"/>
            </w:tcMar>
            <w:vAlign w:val="center"/>
          </w:tcPr>
          <w:p w14:paraId="58180516">
            <w:pPr>
              <w:pStyle w:val="16"/>
              <w:spacing w:before="0" w:after="0" w:line="240" w:lineRule="auto"/>
              <w:jc w:val="center"/>
              <w:rPr>
                <w:rFonts w:asciiTheme="minorHAnsi" w:hAnsiTheme="minorHAnsi" w:eastAsiaTheme="minorEastAsia" w:cstheme="minorBidi"/>
                <w:b/>
                <w:bCs/>
                <w:sz w:val="20"/>
                <w:szCs w:val="20"/>
                <w:lang w:val="en-US" w:eastAsia="en-US" w:bidi="ar-SA"/>
              </w:rPr>
            </w:pPr>
            <w:r>
              <w:rPr>
                <w:rFonts w:ascii="Times New Roman" w:hAnsi="Times New Roman" w:eastAsia="Times New Roman"/>
                <w:b/>
                <w:bCs/>
                <w:color w:val="1D2738"/>
                <w:sz w:val="18"/>
                <w:szCs w:val="20"/>
              </w:rPr>
              <w:t>Count</w:t>
            </w:r>
          </w:p>
        </w:tc>
      </w:tr>
      <w:tr w14:paraId="73A1D352">
        <w:trPr>
          <w:cantSplit/>
          <w:jc w:val="center"/>
        </w:trPr>
        <w:tc>
          <w:tcPr>
            <w:tcW w:w="6840" w:type="dxa"/>
            <w:tcBorders>
              <w:top w:val="single" w:color="C9D5E2" w:sz="4" w:space="0"/>
              <w:left w:val="single" w:color="C9D5E2" w:sz="4" w:space="0"/>
              <w:bottom w:val="single" w:color="C9D5E2" w:sz="4" w:space="0"/>
              <w:right w:val="single" w:color="C9D5E2" w:sz="4" w:space="0"/>
            </w:tcBorders>
            <w:tcMar>
              <w:top w:w="80" w:type="dxa"/>
              <w:left w:w="90" w:type="dxa"/>
              <w:bottom w:w="80" w:type="dxa"/>
              <w:right w:w="90" w:type="dxa"/>
            </w:tcMar>
            <w:vAlign w:val="center"/>
          </w:tcPr>
          <w:p w14:paraId="420A8D98">
            <w:pPr>
              <w:pStyle w:val="16"/>
              <w:spacing w:before="0" w:after="0" w:line="240" w:lineRule="auto"/>
              <w:jc w:val="center"/>
              <w:rPr>
                <w:rFonts w:asciiTheme="minorHAnsi" w:hAnsiTheme="minorHAnsi" w:eastAsiaTheme="minorEastAsia" w:cstheme="minorBidi"/>
                <w:sz w:val="20"/>
                <w:szCs w:val="20"/>
                <w:lang w:val="en-US" w:eastAsia="en-US" w:bidi="ar-SA"/>
              </w:rPr>
            </w:pPr>
            <w:r>
              <w:rPr>
                <w:rFonts w:ascii="Times New Roman" w:hAnsi="Times New Roman" w:eastAsia="Times New Roman"/>
                <w:b w:val="0"/>
                <w:color w:val="1D2738"/>
                <w:sz w:val="18"/>
                <w:szCs w:val="20"/>
              </w:rPr>
              <w:t>In scope</w:t>
            </w:r>
          </w:p>
        </w:tc>
        <w:tc>
          <w:tcPr>
            <w:tcW w:w="1728" w:type="dxa"/>
            <w:tcBorders>
              <w:top w:val="single" w:color="C9D5E2" w:sz="4" w:space="0"/>
              <w:left w:val="single" w:color="C9D5E2" w:sz="4" w:space="0"/>
              <w:bottom w:val="single" w:color="C9D5E2" w:sz="4" w:space="0"/>
              <w:right w:val="single" w:color="C9D5E2" w:sz="4" w:space="0"/>
            </w:tcBorders>
            <w:tcMar>
              <w:top w:w="80" w:type="dxa"/>
              <w:left w:w="90" w:type="dxa"/>
              <w:bottom w:w="80" w:type="dxa"/>
              <w:right w:w="90" w:type="dxa"/>
            </w:tcMar>
            <w:vAlign w:val="center"/>
          </w:tcPr>
          <w:p w14:paraId="7065A254">
            <w:pPr>
              <w:pStyle w:val="16"/>
              <w:spacing w:before="0" w:after="0" w:line="240" w:lineRule="auto"/>
              <w:jc w:val="center"/>
              <w:rPr>
                <w:rFonts w:asciiTheme="minorHAnsi" w:hAnsiTheme="minorHAnsi" w:eastAsiaTheme="minorEastAsia" w:cstheme="minorBidi"/>
                <w:sz w:val="20"/>
                <w:szCs w:val="20"/>
                <w:lang w:val="en-US" w:eastAsia="en-US" w:bidi="ar-SA"/>
              </w:rPr>
            </w:pPr>
            <w:r>
              <w:rPr>
                <w:rFonts w:ascii="Times New Roman" w:hAnsi="Times New Roman" w:eastAsia="Times New Roman"/>
                <w:b w:val="0"/>
                <w:color w:val="1D2738"/>
                <w:sz w:val="18"/>
                <w:szCs w:val="20"/>
              </w:rPr>
              <w:t>25</w:t>
            </w:r>
          </w:p>
        </w:tc>
      </w:tr>
      <w:tr w14:paraId="4AF43E55">
        <w:trPr>
          <w:cantSplit/>
          <w:jc w:val="center"/>
        </w:trPr>
        <w:tc>
          <w:tcPr>
            <w:tcW w:w="6840" w:type="dxa"/>
            <w:tcBorders>
              <w:top w:val="single" w:color="C9D5E2" w:sz="4" w:space="0"/>
              <w:left w:val="single" w:color="C9D5E2" w:sz="4" w:space="0"/>
              <w:bottom w:val="single" w:color="C9D5E2" w:sz="4" w:space="0"/>
              <w:right w:val="single" w:color="C9D5E2" w:sz="4" w:space="0"/>
            </w:tcBorders>
            <w:shd w:val="clear" w:color="auto" w:fill="F8FAFD"/>
            <w:tcMar>
              <w:top w:w="80" w:type="dxa"/>
              <w:left w:w="90" w:type="dxa"/>
              <w:bottom w:w="80" w:type="dxa"/>
              <w:right w:w="90" w:type="dxa"/>
            </w:tcMar>
            <w:vAlign w:val="center"/>
          </w:tcPr>
          <w:p w14:paraId="0B4286A9">
            <w:pPr>
              <w:pStyle w:val="16"/>
              <w:spacing w:before="0" w:after="0" w:line="240" w:lineRule="auto"/>
              <w:jc w:val="center"/>
              <w:rPr>
                <w:rFonts w:asciiTheme="minorHAnsi" w:hAnsiTheme="minorHAnsi" w:eastAsiaTheme="minorEastAsia" w:cstheme="minorBidi"/>
                <w:sz w:val="20"/>
                <w:szCs w:val="20"/>
                <w:lang w:val="en-US" w:eastAsia="en-US" w:bidi="ar-SA"/>
              </w:rPr>
            </w:pPr>
            <w:r>
              <w:rPr>
                <w:rFonts w:ascii="Times New Roman" w:hAnsi="Times New Roman" w:eastAsia="Times New Roman"/>
                <w:b w:val="0"/>
                <w:color w:val="1D2738"/>
                <w:sz w:val="18"/>
                <w:szCs w:val="20"/>
              </w:rPr>
              <w:t>Conditional</w:t>
            </w:r>
          </w:p>
        </w:tc>
        <w:tc>
          <w:tcPr>
            <w:tcW w:w="1728" w:type="dxa"/>
            <w:tcBorders>
              <w:top w:val="single" w:color="C9D5E2" w:sz="4" w:space="0"/>
              <w:left w:val="single" w:color="C9D5E2" w:sz="4" w:space="0"/>
              <w:bottom w:val="single" w:color="C9D5E2" w:sz="4" w:space="0"/>
              <w:right w:val="single" w:color="C9D5E2" w:sz="4" w:space="0"/>
            </w:tcBorders>
            <w:shd w:val="clear" w:color="auto" w:fill="F8FAFD"/>
            <w:tcMar>
              <w:top w:w="80" w:type="dxa"/>
              <w:left w:w="90" w:type="dxa"/>
              <w:bottom w:w="80" w:type="dxa"/>
              <w:right w:w="90" w:type="dxa"/>
            </w:tcMar>
            <w:vAlign w:val="center"/>
          </w:tcPr>
          <w:p w14:paraId="1481E2CA">
            <w:pPr>
              <w:pStyle w:val="16"/>
              <w:spacing w:before="0" w:after="0" w:line="240" w:lineRule="auto"/>
              <w:jc w:val="center"/>
              <w:rPr>
                <w:rFonts w:asciiTheme="minorHAnsi" w:hAnsiTheme="minorHAnsi" w:eastAsiaTheme="minorEastAsia" w:cstheme="minorBidi"/>
                <w:sz w:val="20"/>
                <w:szCs w:val="20"/>
                <w:lang w:val="en-US" w:eastAsia="en-US" w:bidi="ar-SA"/>
              </w:rPr>
            </w:pPr>
            <w:r>
              <w:rPr>
                <w:rFonts w:ascii="Times New Roman" w:hAnsi="Times New Roman" w:eastAsia="Times New Roman"/>
                <w:b w:val="0"/>
                <w:color w:val="1D2738"/>
                <w:sz w:val="18"/>
                <w:szCs w:val="20"/>
              </w:rPr>
              <w:t>2</w:t>
            </w:r>
          </w:p>
        </w:tc>
      </w:tr>
      <w:tr w14:paraId="28EEECC8">
        <w:trPr>
          <w:cantSplit/>
          <w:jc w:val="center"/>
        </w:trPr>
        <w:tc>
          <w:tcPr>
            <w:tcW w:w="6840" w:type="dxa"/>
            <w:tcBorders>
              <w:top w:val="single" w:color="C9D5E2" w:sz="4" w:space="0"/>
              <w:left w:val="single" w:color="C9D5E2" w:sz="4" w:space="0"/>
              <w:bottom w:val="single" w:color="C9D5E2" w:sz="4" w:space="0"/>
              <w:right w:val="single" w:color="C9D5E2" w:sz="4" w:space="0"/>
            </w:tcBorders>
            <w:tcMar>
              <w:top w:w="80" w:type="dxa"/>
              <w:left w:w="90" w:type="dxa"/>
              <w:bottom w:w="80" w:type="dxa"/>
              <w:right w:w="90" w:type="dxa"/>
            </w:tcMar>
            <w:vAlign w:val="center"/>
          </w:tcPr>
          <w:p w14:paraId="3C5D2091">
            <w:pPr>
              <w:pStyle w:val="16"/>
              <w:spacing w:before="0" w:after="0" w:line="240" w:lineRule="auto"/>
              <w:jc w:val="center"/>
              <w:rPr>
                <w:rFonts w:asciiTheme="minorHAnsi" w:hAnsiTheme="minorHAnsi" w:eastAsiaTheme="minorEastAsia" w:cstheme="minorBidi"/>
                <w:sz w:val="20"/>
                <w:szCs w:val="20"/>
                <w:lang w:val="en-US" w:eastAsia="en-US" w:bidi="ar-SA"/>
              </w:rPr>
            </w:pPr>
            <w:r>
              <w:rPr>
                <w:rFonts w:ascii="Times New Roman" w:hAnsi="Times New Roman" w:eastAsia="Times New Roman"/>
                <w:b w:val="0"/>
                <w:color w:val="1D2738"/>
                <w:sz w:val="18"/>
                <w:szCs w:val="20"/>
              </w:rPr>
              <w:t>Out of scope</w:t>
            </w:r>
          </w:p>
        </w:tc>
        <w:tc>
          <w:tcPr>
            <w:tcW w:w="1728" w:type="dxa"/>
            <w:tcBorders>
              <w:top w:val="single" w:color="C9D5E2" w:sz="4" w:space="0"/>
              <w:left w:val="single" w:color="C9D5E2" w:sz="4" w:space="0"/>
              <w:bottom w:val="single" w:color="C9D5E2" w:sz="4" w:space="0"/>
              <w:right w:val="single" w:color="C9D5E2" w:sz="4" w:space="0"/>
            </w:tcBorders>
            <w:tcMar>
              <w:top w:w="80" w:type="dxa"/>
              <w:left w:w="90" w:type="dxa"/>
              <w:bottom w:w="80" w:type="dxa"/>
              <w:right w:w="90" w:type="dxa"/>
            </w:tcMar>
            <w:vAlign w:val="center"/>
          </w:tcPr>
          <w:p w14:paraId="187B3490">
            <w:pPr>
              <w:pStyle w:val="16"/>
              <w:spacing w:before="0" w:after="0" w:line="240" w:lineRule="auto"/>
              <w:jc w:val="center"/>
              <w:rPr>
                <w:rFonts w:asciiTheme="minorHAnsi" w:hAnsiTheme="minorHAnsi" w:eastAsiaTheme="minorEastAsia" w:cstheme="minorBidi"/>
                <w:sz w:val="20"/>
                <w:szCs w:val="20"/>
                <w:lang w:val="en-US" w:eastAsia="en-US" w:bidi="ar-SA"/>
              </w:rPr>
            </w:pPr>
            <w:r>
              <w:rPr>
                <w:rFonts w:ascii="Times New Roman" w:hAnsi="Times New Roman" w:eastAsia="Times New Roman"/>
                <w:b w:val="0"/>
                <w:color w:val="1D2738"/>
                <w:sz w:val="18"/>
                <w:szCs w:val="20"/>
              </w:rPr>
              <w:t>1</w:t>
            </w:r>
          </w:p>
        </w:tc>
      </w:tr>
      <w:tr w14:paraId="79163914">
        <w:trPr>
          <w:cantSplit/>
          <w:jc w:val="center"/>
        </w:trPr>
        <w:tc>
          <w:tcPr>
            <w:tcW w:w="6840" w:type="dxa"/>
            <w:tcBorders>
              <w:top w:val="single" w:color="C9D5E2" w:sz="4" w:space="0"/>
              <w:left w:val="single" w:color="C9D5E2" w:sz="4" w:space="0"/>
              <w:bottom w:val="single" w:color="C9D5E2" w:sz="4" w:space="0"/>
              <w:right w:val="single" w:color="C9D5E2" w:sz="4" w:space="0"/>
            </w:tcBorders>
            <w:shd w:val="clear" w:color="auto" w:fill="F8FAFD"/>
            <w:tcMar>
              <w:top w:w="80" w:type="dxa"/>
              <w:left w:w="90" w:type="dxa"/>
              <w:bottom w:w="80" w:type="dxa"/>
              <w:right w:w="90" w:type="dxa"/>
            </w:tcMar>
            <w:vAlign w:val="center"/>
          </w:tcPr>
          <w:p w14:paraId="4F629EF8">
            <w:pPr>
              <w:pStyle w:val="16"/>
              <w:spacing w:before="0" w:after="0" w:line="240" w:lineRule="auto"/>
              <w:jc w:val="center"/>
              <w:rPr>
                <w:rFonts w:asciiTheme="minorHAnsi" w:hAnsiTheme="minorHAnsi" w:eastAsiaTheme="minorEastAsia" w:cstheme="minorBidi"/>
                <w:b/>
                <w:bCs/>
                <w:sz w:val="21"/>
                <w:szCs w:val="21"/>
                <w:lang w:val="en-US" w:eastAsia="en-US" w:bidi="ar-SA"/>
              </w:rPr>
            </w:pPr>
            <w:r>
              <w:rPr>
                <w:rFonts w:ascii="Times New Roman" w:hAnsi="Times New Roman" w:eastAsia="Times New Roman"/>
                <w:b/>
                <w:bCs/>
                <w:color w:val="1D2738"/>
                <w:sz w:val="18"/>
                <w:szCs w:val="21"/>
              </w:rPr>
              <w:t>Regulatory conclusion</w:t>
            </w:r>
          </w:p>
        </w:tc>
        <w:tc>
          <w:tcPr>
            <w:tcW w:w="1728" w:type="dxa"/>
            <w:tcBorders>
              <w:top w:val="single" w:color="C9D5E2" w:sz="4" w:space="0"/>
              <w:left w:val="single" w:color="C9D5E2" w:sz="4" w:space="0"/>
              <w:bottom w:val="single" w:color="C9D5E2" w:sz="4" w:space="0"/>
              <w:right w:val="single" w:color="C9D5E2" w:sz="4" w:space="0"/>
            </w:tcBorders>
            <w:shd w:val="clear" w:color="auto" w:fill="F8FAFD"/>
            <w:tcMar>
              <w:top w:w="80" w:type="dxa"/>
              <w:left w:w="90" w:type="dxa"/>
              <w:bottom w:w="80" w:type="dxa"/>
              <w:right w:w="90" w:type="dxa"/>
            </w:tcMar>
            <w:vAlign w:val="center"/>
          </w:tcPr>
          <w:p w14:paraId="4081324D">
            <w:pPr>
              <w:pStyle w:val="16"/>
              <w:spacing w:before="0" w:after="0" w:line="240" w:lineRule="auto"/>
              <w:jc w:val="center"/>
              <w:rPr>
                <w:rFonts w:asciiTheme="minorHAnsi" w:hAnsiTheme="minorHAnsi" w:eastAsiaTheme="minorEastAsia" w:cstheme="minorBidi"/>
                <w:b/>
                <w:bCs/>
                <w:sz w:val="21"/>
                <w:szCs w:val="21"/>
                <w:lang w:val="en-US" w:eastAsia="en-US" w:bidi="ar-SA"/>
              </w:rPr>
            </w:pPr>
            <w:r>
              <w:rPr>
                <w:rFonts w:ascii="Times New Roman" w:hAnsi="Times New Roman" w:eastAsia="Times New Roman"/>
                <w:b/>
                <w:bCs/>
                <w:color w:val="1D2738"/>
                <w:sz w:val="18"/>
                <w:szCs w:val="21"/>
              </w:rPr>
              <w:t>Count</w:t>
            </w:r>
          </w:p>
        </w:tc>
      </w:tr>
      <w:tr w14:paraId="5C546CFF">
        <w:trPr>
          <w:cantSplit/>
          <w:jc w:val="center"/>
        </w:trPr>
        <w:tc>
          <w:tcPr>
            <w:tcW w:w="6840" w:type="dxa"/>
            <w:tcBorders>
              <w:top w:val="single" w:color="C9D5E2" w:sz="4" w:space="0"/>
              <w:left w:val="single" w:color="C9D5E2" w:sz="4" w:space="0"/>
              <w:bottom w:val="single" w:color="C9D5E2" w:sz="4" w:space="0"/>
              <w:right w:val="single" w:color="C9D5E2" w:sz="4" w:space="0"/>
            </w:tcBorders>
            <w:tcMar>
              <w:top w:w="80" w:type="dxa"/>
              <w:left w:w="90" w:type="dxa"/>
              <w:bottom w:w="80" w:type="dxa"/>
              <w:right w:w="90" w:type="dxa"/>
            </w:tcMar>
            <w:vAlign w:val="center"/>
          </w:tcPr>
          <w:p w14:paraId="0157942F">
            <w:pPr>
              <w:pStyle w:val="16"/>
              <w:spacing w:before="0" w:after="0" w:line="240" w:lineRule="auto"/>
              <w:jc w:val="center"/>
              <w:rPr>
                <w:rFonts w:asciiTheme="minorHAnsi" w:hAnsiTheme="minorHAnsi" w:eastAsiaTheme="minorEastAsia" w:cstheme="minorBidi"/>
                <w:sz w:val="20"/>
                <w:szCs w:val="20"/>
                <w:lang w:val="en-US" w:eastAsia="en-US" w:bidi="ar-SA"/>
              </w:rPr>
            </w:pPr>
            <w:r>
              <w:rPr>
                <w:rFonts w:ascii="Times New Roman" w:hAnsi="Times New Roman" w:eastAsia="Times New Roman"/>
                <w:b w:val="0"/>
                <w:color w:val="1D2738"/>
                <w:sz w:val="18"/>
                <w:szCs w:val="20"/>
              </w:rPr>
              <w:t>Conventional</w:t>
            </w:r>
          </w:p>
        </w:tc>
        <w:tc>
          <w:tcPr>
            <w:tcW w:w="1728" w:type="dxa"/>
            <w:tcBorders>
              <w:top w:val="single" w:color="C9D5E2" w:sz="4" w:space="0"/>
              <w:left w:val="single" w:color="C9D5E2" w:sz="4" w:space="0"/>
              <w:bottom w:val="single" w:color="C9D5E2" w:sz="4" w:space="0"/>
              <w:right w:val="single" w:color="C9D5E2" w:sz="4" w:space="0"/>
            </w:tcBorders>
            <w:tcMar>
              <w:top w:w="80" w:type="dxa"/>
              <w:left w:w="90" w:type="dxa"/>
              <w:bottom w:w="80" w:type="dxa"/>
              <w:right w:w="90" w:type="dxa"/>
            </w:tcMar>
            <w:vAlign w:val="center"/>
          </w:tcPr>
          <w:p w14:paraId="0257FF8A">
            <w:pPr>
              <w:pStyle w:val="16"/>
              <w:spacing w:before="0" w:after="0" w:line="240" w:lineRule="auto"/>
              <w:jc w:val="center"/>
              <w:rPr>
                <w:rFonts w:asciiTheme="minorHAnsi" w:hAnsiTheme="minorHAnsi" w:eastAsiaTheme="minorEastAsia" w:cstheme="minorBidi"/>
                <w:sz w:val="20"/>
                <w:szCs w:val="20"/>
                <w:lang w:val="en-US" w:eastAsia="en-US" w:bidi="ar-SA"/>
              </w:rPr>
            </w:pPr>
            <w:r>
              <w:rPr>
                <w:rFonts w:ascii="Times New Roman" w:hAnsi="Times New Roman" w:eastAsia="Times New Roman"/>
                <w:b w:val="0"/>
                <w:color w:val="1D2738"/>
                <w:sz w:val="18"/>
                <w:szCs w:val="20"/>
              </w:rPr>
              <w:t>25</w:t>
            </w:r>
          </w:p>
        </w:tc>
      </w:tr>
      <w:tr w14:paraId="4AEB6164">
        <w:trPr>
          <w:cantSplit/>
          <w:jc w:val="center"/>
        </w:trPr>
        <w:tc>
          <w:tcPr>
            <w:tcW w:w="6840" w:type="dxa"/>
            <w:tcBorders>
              <w:top w:val="single" w:color="C9D5E2" w:sz="4" w:space="0"/>
              <w:left w:val="single" w:color="C9D5E2" w:sz="4" w:space="0"/>
              <w:bottom w:val="single" w:color="C9D5E2" w:sz="4" w:space="0"/>
              <w:right w:val="single" w:color="C9D5E2" w:sz="4" w:space="0"/>
            </w:tcBorders>
            <w:shd w:val="clear" w:color="auto" w:fill="F8FAFD"/>
            <w:tcMar>
              <w:top w:w="80" w:type="dxa"/>
              <w:left w:w="90" w:type="dxa"/>
              <w:bottom w:w="80" w:type="dxa"/>
              <w:right w:w="90" w:type="dxa"/>
            </w:tcMar>
            <w:vAlign w:val="center"/>
          </w:tcPr>
          <w:p w14:paraId="7227BF6B">
            <w:pPr>
              <w:pStyle w:val="16"/>
              <w:spacing w:before="0" w:after="0" w:line="240" w:lineRule="auto"/>
              <w:jc w:val="center"/>
              <w:rPr>
                <w:rFonts w:asciiTheme="minorHAnsi" w:hAnsiTheme="minorHAnsi" w:eastAsiaTheme="minorEastAsia" w:cstheme="minorBidi"/>
                <w:sz w:val="20"/>
                <w:szCs w:val="20"/>
                <w:lang w:val="en-US" w:eastAsia="en-US" w:bidi="ar-SA"/>
              </w:rPr>
            </w:pPr>
            <w:r>
              <w:rPr>
                <w:rFonts w:ascii="Times New Roman" w:hAnsi="Times New Roman" w:eastAsia="Times New Roman"/>
                <w:b w:val="0"/>
                <w:color w:val="1D2738"/>
                <w:sz w:val="18"/>
                <w:szCs w:val="20"/>
              </w:rPr>
              <w:t>Conditional event contract</w:t>
            </w:r>
          </w:p>
        </w:tc>
        <w:tc>
          <w:tcPr>
            <w:tcW w:w="1728" w:type="dxa"/>
            <w:tcBorders>
              <w:top w:val="single" w:color="C9D5E2" w:sz="4" w:space="0"/>
              <w:left w:val="single" w:color="C9D5E2" w:sz="4" w:space="0"/>
              <w:bottom w:val="single" w:color="C9D5E2" w:sz="4" w:space="0"/>
              <w:right w:val="single" w:color="C9D5E2" w:sz="4" w:space="0"/>
            </w:tcBorders>
            <w:shd w:val="clear" w:color="auto" w:fill="F8FAFD"/>
            <w:tcMar>
              <w:top w:w="80" w:type="dxa"/>
              <w:left w:w="90" w:type="dxa"/>
              <w:bottom w:w="80" w:type="dxa"/>
              <w:right w:w="90" w:type="dxa"/>
            </w:tcMar>
            <w:vAlign w:val="center"/>
          </w:tcPr>
          <w:p w14:paraId="53941656">
            <w:pPr>
              <w:pStyle w:val="16"/>
              <w:spacing w:before="0" w:after="0" w:line="240" w:lineRule="auto"/>
              <w:jc w:val="center"/>
              <w:rPr>
                <w:rFonts w:asciiTheme="minorHAnsi" w:hAnsiTheme="minorHAnsi" w:eastAsiaTheme="minorEastAsia" w:cstheme="minorBidi"/>
                <w:sz w:val="20"/>
                <w:szCs w:val="20"/>
                <w:lang w:val="en-US" w:eastAsia="en-US" w:bidi="ar-SA"/>
              </w:rPr>
            </w:pPr>
            <w:r>
              <w:rPr>
                <w:rFonts w:ascii="Times New Roman" w:hAnsi="Times New Roman" w:eastAsia="Times New Roman"/>
                <w:b w:val="0"/>
                <w:color w:val="1D2738"/>
                <w:sz w:val="18"/>
                <w:szCs w:val="20"/>
              </w:rPr>
              <w:t>2</w:t>
            </w:r>
          </w:p>
        </w:tc>
      </w:tr>
      <w:tr w14:paraId="2A5839CD">
        <w:trPr>
          <w:cantSplit/>
          <w:jc w:val="center"/>
        </w:trPr>
        <w:tc>
          <w:tcPr>
            <w:tcW w:w="6840" w:type="dxa"/>
            <w:tcBorders>
              <w:top w:val="single" w:color="C9D5E2" w:sz="4" w:space="0"/>
              <w:left w:val="single" w:color="C9D5E2" w:sz="4" w:space="0"/>
              <w:bottom w:val="single" w:color="C9D5E2" w:sz="4" w:space="0"/>
              <w:right w:val="single" w:color="C9D5E2" w:sz="4" w:space="0"/>
            </w:tcBorders>
            <w:tcMar>
              <w:top w:w="80" w:type="dxa"/>
              <w:left w:w="90" w:type="dxa"/>
              <w:bottom w:w="80" w:type="dxa"/>
              <w:right w:w="90" w:type="dxa"/>
            </w:tcMar>
            <w:vAlign w:val="center"/>
          </w:tcPr>
          <w:p w14:paraId="6A0B053D">
            <w:pPr>
              <w:pStyle w:val="16"/>
              <w:spacing w:before="0" w:after="0" w:line="240" w:lineRule="auto"/>
              <w:jc w:val="center"/>
              <w:rPr>
                <w:rFonts w:asciiTheme="minorHAnsi" w:hAnsiTheme="minorHAnsi" w:eastAsiaTheme="minorEastAsia" w:cstheme="minorBidi"/>
                <w:sz w:val="20"/>
                <w:szCs w:val="20"/>
                <w:lang w:val="en-US" w:eastAsia="en-US" w:bidi="ar-SA"/>
              </w:rPr>
            </w:pPr>
            <w:r>
              <w:rPr>
                <w:rFonts w:ascii="Times New Roman" w:hAnsi="Times New Roman" w:eastAsia="Times New Roman"/>
                <w:b w:val="0"/>
                <w:color w:val="1D2738"/>
                <w:sz w:val="18"/>
                <w:szCs w:val="20"/>
              </w:rPr>
              <w:t>Not-reportable event contract</w:t>
            </w:r>
          </w:p>
        </w:tc>
        <w:tc>
          <w:tcPr>
            <w:tcW w:w="1728" w:type="dxa"/>
            <w:tcBorders>
              <w:top w:val="single" w:color="C9D5E2" w:sz="4" w:space="0"/>
              <w:left w:val="single" w:color="C9D5E2" w:sz="4" w:space="0"/>
              <w:bottom w:val="single" w:color="C9D5E2" w:sz="4" w:space="0"/>
              <w:right w:val="single" w:color="C9D5E2" w:sz="4" w:space="0"/>
            </w:tcBorders>
            <w:tcMar>
              <w:top w:w="80" w:type="dxa"/>
              <w:left w:w="90" w:type="dxa"/>
              <w:bottom w:w="80" w:type="dxa"/>
              <w:right w:w="90" w:type="dxa"/>
            </w:tcMar>
            <w:vAlign w:val="center"/>
          </w:tcPr>
          <w:p w14:paraId="1520A4AD">
            <w:pPr>
              <w:pStyle w:val="16"/>
              <w:spacing w:before="0" w:after="0" w:line="240" w:lineRule="auto"/>
              <w:jc w:val="center"/>
              <w:rPr>
                <w:rFonts w:asciiTheme="minorHAnsi" w:hAnsiTheme="minorHAnsi" w:eastAsiaTheme="minorEastAsia" w:cstheme="minorBidi"/>
                <w:sz w:val="20"/>
                <w:szCs w:val="20"/>
                <w:lang w:val="en-US" w:eastAsia="en-US" w:bidi="ar-SA"/>
              </w:rPr>
            </w:pPr>
            <w:r>
              <w:rPr>
                <w:rFonts w:ascii="Times New Roman" w:hAnsi="Times New Roman" w:eastAsia="Times New Roman"/>
                <w:b w:val="0"/>
                <w:color w:val="1D2738"/>
                <w:sz w:val="18"/>
                <w:szCs w:val="20"/>
              </w:rPr>
              <w:t>1</w:t>
            </w:r>
          </w:p>
        </w:tc>
      </w:tr>
    </w:tbl>
    <w:p w14:paraId="2FC74060">
      <w:pPr>
        <w:pStyle w:val="14"/>
        <w:spacing w:after="120" w:line="259" w:lineRule="auto"/>
        <w:jc w:val="left"/>
        <w:rPr>
          <w:rFonts w:hint="default" w:asciiTheme="minorAscii" w:hAnsiTheme="minorAscii"/>
          <w:color w:val="auto"/>
          <w:lang w:val="en-US" w:eastAsia="zh-CN"/>
        </w:rPr>
      </w:pPr>
      <w:r>
        <w:rPr>
          <w:rFonts w:hint="eastAsia" w:ascii="Times New Roman" w:hAnsi="Times New Roman" w:eastAsia="Times New Roman"/>
          <w:color w:val="1D2738"/>
          <w:sz w:val="22"/>
        </w:rPr>
        <w:t>The regulatory conclusion layer therefore translates the technical and scope findings into supervisory meaning. The 25 conventional trades can be assessed through existing UPI, UTI, LEI, and regime-field infrastructure. T026 and T028 are classified as conditional event contracts because they expose the boundary between regulated prediction markets and OTC derivatives reporting. T027 is classified as a not-reportable event contract under the case facts: it may be economically hedge-like, but it lacks the identifier, venue, settlement, and product-taxonomy infrastructure required for ordinary OTC trade reporting.</w:t>
      </w:r>
    </w:p>
    <w:p w14:paraId="1AABBA5D">
      <w:pPr>
        <w:jc w:val="center"/>
      </w:pPr>
      <w:r>
        <w:drawing>
          <wp:inline distT="0" distB="0" distL="114300" distR="114300">
            <wp:extent cx="5349240" cy="2037080"/>
            <wp:effectExtent l="0" t="0" r="10160" b="2032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8"/>
                    <a:stretch>
                      <a:fillRect/>
                    </a:stretch>
                  </pic:blipFill>
                  <pic:spPr>
                    <a:xfrm>
                      <a:off x="0" y="0"/>
                      <a:ext cx="5349240" cy="2037249"/>
                    </a:xfrm>
                    <a:prstGeom prst="rect">
                      <a:avLst/>
                    </a:prstGeom>
                  </pic:spPr>
                </pic:pic>
              </a:graphicData>
            </a:graphic>
          </wp:inline>
        </w:drawing>
      </w:r>
    </w:p>
    <w:p w14:paraId="4A2E2B26">
      <w:pPr>
        <w:pStyle w:val="15"/>
        <w:keepNext/>
      </w:pPr>
      <w:r>
        <w:rPr>
          <w:rFonts w:ascii="Georgia" w:hAnsi="Georgia" w:eastAsia="Georgia"/>
          <w:b/>
          <w:color w:val="0D2554"/>
          <w:sz w:val="19"/>
        </w:rPr>
        <w:t>Figure 2: Three-Dimensional Compliance Result</w:t>
      </w:r>
    </w:p>
    <w:p w14:paraId="61012B2F">
      <w:pPr>
        <w:pStyle w:val="3"/>
        <w:spacing w:after="120" w:line="259" w:lineRule="auto"/>
        <w:jc w:val="left"/>
      </w:pPr>
      <w:r>
        <w:rPr>
          <w:rFonts w:ascii="Times New Roman" w:hAnsi="Times New Roman" w:eastAsia="Times New Roman"/>
          <w:color w:val="1D2738"/>
          <w:sz w:val="22"/>
        </w:rPr>
        <w:t>The figure shows why the report separates field-level data quality from reporting scope and regulatory conclusion.</w:t>
      </w:r>
    </w:p>
    <w:p w14:paraId="115CC14C">
      <w:pPr>
        <w:pStyle w:val="15"/>
        <w:keepNext/>
        <w:wordWrap w:val="0"/>
        <w:ind w:left="0" w:leftChars="0" w:firstLine="0" w:firstLineChars="0"/>
        <w:jc w:val="left"/>
        <w:rPr>
          <w:rFonts w:hint="default" w:asciiTheme="minorAscii" w:hAnsiTheme="minorAscii"/>
          <w:b/>
          <w:bCs w:val="0"/>
          <w:color w:val="auto"/>
          <w:sz w:val="18"/>
          <w:szCs w:val="24"/>
          <w:lang w:val="en-US"/>
        </w:rPr>
      </w:pPr>
      <w:bookmarkStart w:id="17" w:name="_Toc64444446"/>
      <w:bookmarkEnd w:id="17"/>
      <w:r>
        <w:rPr>
          <w:rFonts w:ascii="Georgia" w:hAnsi="Georgia" w:eastAsia="Georgia"/>
          <w:b/>
          <w:color w:val="0D2554"/>
          <w:sz w:val="19"/>
        </w:rPr>
        <w:t>Table 5: Legacy Overall Status</w:t>
      </w:r>
    </w:p>
    <w:tbl>
      <w:tblPr>
        <w:tblStyle w:val="17"/>
        <w:tblW w:w="5000" w:type="pct"/>
        <w:tblInd w:w="0" w:type="dxa"/>
        <w:tblBorders>
          <w:top w:val="single" w:color="D8E1EE" w:sz="4" w:space="0"/>
          <w:left w:val="single" w:color="D8E1EE" w:sz="4" w:space="0"/>
          <w:bottom w:val="single" w:color="D8E1EE" w:sz="4" w:space="0"/>
          <w:right w:val="single" w:color="D8E1EE" w:sz="4" w:space="0"/>
          <w:insideH w:val="single" w:color="D8E1EE" w:sz="4" w:space="0"/>
          <w:insideV w:val="single" w:color="D8E1EE" w:sz="4" w:space="0"/>
        </w:tblBorders>
        <w:tblLayout w:type="autofit"/>
        <w:tblCellMar>
          <w:top w:w="0" w:type="dxa"/>
          <w:left w:w="108" w:type="dxa"/>
          <w:bottom w:w="0" w:type="dxa"/>
          <w:right w:w="108" w:type="dxa"/>
        </w:tblCellMar>
      </w:tblPr>
      <w:tblGrid>
        <w:gridCol w:w="5097"/>
        <w:gridCol w:w="5097"/>
      </w:tblGrid>
      <w:tr w14:paraId="3386097F">
        <w:trPr>
          <w:cantSplit/>
          <w:tblHeader/>
        </w:trPr>
        <w:tc>
          <w:tcPr>
            <w:tcW w:w="2500" w:type="pct"/>
            <w:tcBorders>
              <w:top w:val="single" w:color="C9D5E2" w:sz="4" w:space="0"/>
              <w:left w:val="single" w:color="C9D5E2" w:sz="4" w:space="0"/>
              <w:bottom w:val="single" w:color="C9D5E2" w:sz="4" w:space="0"/>
              <w:right w:val="single" w:color="C9D5E2" w:sz="4" w:space="0"/>
              <w:insideH w:val="single" w:sz="0" w:space="0"/>
            </w:tcBorders>
            <w:shd w:val="clear" w:color="auto" w:fill="0D2554"/>
            <w:vAlign w:val="center"/>
          </w:tcPr>
          <w:p w14:paraId="303004BE">
            <w:pPr>
              <w:pStyle w:val="16"/>
              <w:spacing w:before="0" w:after="0"/>
              <w:jc w:val="center"/>
              <w:rPr>
                <w:b/>
                <w:bCs w:val="0"/>
                <w:sz w:val="21"/>
                <w:szCs w:val="21"/>
              </w:rPr>
            </w:pPr>
            <w:r>
              <w:rPr>
                <w:rFonts w:ascii="Times New Roman" w:hAnsi="Times New Roman" w:eastAsia="Times New Roman"/>
                <w:b/>
                <w:bCs w:val="0"/>
                <w:color w:val="FFFFFF"/>
                <w:sz w:val="18"/>
                <w:szCs w:val="21"/>
              </w:rPr>
              <w:t>Overall status</w:t>
            </w:r>
          </w:p>
        </w:tc>
        <w:tc>
          <w:tcPr>
            <w:tcW w:w="2500" w:type="pct"/>
            <w:tcBorders>
              <w:top w:val="single" w:color="C9D5E2" w:sz="4" w:space="0"/>
              <w:left w:val="single" w:color="C9D5E2" w:sz="4" w:space="0"/>
              <w:bottom w:val="single" w:color="C9D5E2" w:sz="4" w:space="0"/>
              <w:right w:val="single" w:color="C9D5E2" w:sz="4" w:space="0"/>
              <w:insideH w:val="single" w:sz="0" w:space="0"/>
            </w:tcBorders>
            <w:shd w:val="clear" w:color="auto" w:fill="0D2554"/>
            <w:vAlign w:val="center"/>
          </w:tcPr>
          <w:p w14:paraId="7C9576ED">
            <w:pPr>
              <w:pStyle w:val="16"/>
              <w:spacing w:before="0" w:after="0"/>
              <w:jc w:val="center"/>
              <w:rPr>
                <w:b/>
                <w:bCs w:val="0"/>
                <w:sz w:val="21"/>
                <w:szCs w:val="21"/>
              </w:rPr>
            </w:pPr>
            <w:r>
              <w:rPr>
                <w:rFonts w:ascii="Times New Roman" w:hAnsi="Times New Roman" w:eastAsia="Times New Roman"/>
                <w:b/>
                <w:bCs w:val="0"/>
                <w:color w:val="FFFFFF"/>
                <w:sz w:val="18"/>
                <w:szCs w:val="21"/>
              </w:rPr>
              <w:t>Count</w:t>
            </w:r>
          </w:p>
        </w:tc>
      </w:tr>
      <w:tr w14:paraId="36CE34FA">
        <w:trPr>
          <w:cantSplit/>
        </w:trPr>
        <w:tc>
          <w:tcPr>
            <w:tcW w:w="2500" w:type="pct"/>
            <w:tcBorders>
              <w:top w:val="single" w:color="C9D5E2" w:sz="4" w:space="0"/>
              <w:left w:val="single" w:color="C9D5E2" w:sz="4" w:space="0"/>
              <w:bottom w:val="single" w:color="C9D5E2" w:sz="4" w:space="0"/>
              <w:right w:val="single" w:color="C9D5E2" w:sz="4" w:space="0"/>
            </w:tcBorders>
            <w:vAlign w:val="center"/>
          </w:tcPr>
          <w:p w14:paraId="262D8014">
            <w:pPr>
              <w:pStyle w:val="16"/>
              <w:spacing w:before="0" w:after="0"/>
              <w:jc w:val="center"/>
              <w:rPr>
                <w:sz w:val="20"/>
                <w:szCs w:val="20"/>
              </w:rPr>
            </w:pPr>
            <w:r>
              <w:rPr>
                <w:rFonts w:ascii="Times New Roman" w:hAnsi="Times New Roman" w:eastAsia="Times New Roman"/>
                <w:b w:val="0"/>
                <w:color w:val="1D2738"/>
                <w:sz w:val="18"/>
                <w:szCs w:val="20"/>
              </w:rPr>
              <w:t>Compliant</w:t>
            </w:r>
          </w:p>
        </w:tc>
        <w:tc>
          <w:tcPr>
            <w:tcW w:w="2500" w:type="pct"/>
            <w:tcBorders>
              <w:top w:val="single" w:color="C9D5E2" w:sz="4" w:space="0"/>
              <w:left w:val="single" w:color="C9D5E2" w:sz="4" w:space="0"/>
              <w:bottom w:val="single" w:color="C9D5E2" w:sz="4" w:space="0"/>
              <w:right w:val="single" w:color="C9D5E2" w:sz="4" w:space="0"/>
            </w:tcBorders>
            <w:vAlign w:val="center"/>
          </w:tcPr>
          <w:p w14:paraId="7D22A2FD">
            <w:pPr>
              <w:pStyle w:val="16"/>
              <w:spacing w:before="0" w:after="0"/>
              <w:jc w:val="center"/>
              <w:rPr>
                <w:sz w:val="20"/>
                <w:szCs w:val="20"/>
              </w:rPr>
            </w:pPr>
            <w:r>
              <w:rPr>
                <w:rFonts w:ascii="Times New Roman" w:hAnsi="Times New Roman" w:eastAsia="Times New Roman"/>
                <w:b w:val="0"/>
                <w:color w:val="1D2738"/>
                <w:sz w:val="18"/>
                <w:szCs w:val="20"/>
              </w:rPr>
              <w:t>5</w:t>
            </w:r>
          </w:p>
        </w:tc>
      </w:tr>
      <w:tr w14:paraId="471D7B80">
        <w:trPr>
          <w:cantSplit/>
        </w:trPr>
        <w:tc>
          <w:tcPr>
            <w:tcW w:w="2500" w:type="pct"/>
            <w:tcBorders>
              <w:top w:val="single" w:color="C9D5E2" w:sz="4" w:space="0"/>
              <w:left w:val="single" w:color="C9D5E2" w:sz="4" w:space="0"/>
              <w:bottom w:val="single" w:color="C9D5E2" w:sz="4" w:space="0"/>
              <w:right w:val="single" w:color="C9D5E2" w:sz="4" w:space="0"/>
            </w:tcBorders>
            <w:shd w:val="clear" w:color="auto" w:fill="F8FAFD"/>
            <w:vAlign w:val="center"/>
          </w:tcPr>
          <w:p w14:paraId="7DEC9631">
            <w:pPr>
              <w:pStyle w:val="16"/>
              <w:spacing w:before="0" w:after="0"/>
              <w:jc w:val="center"/>
              <w:rPr>
                <w:sz w:val="20"/>
                <w:szCs w:val="20"/>
              </w:rPr>
            </w:pPr>
            <w:r>
              <w:rPr>
                <w:rFonts w:ascii="Times New Roman" w:hAnsi="Times New Roman" w:eastAsia="Times New Roman"/>
                <w:b w:val="0"/>
                <w:color w:val="1D2738"/>
                <w:sz w:val="18"/>
                <w:szCs w:val="20"/>
              </w:rPr>
              <w:t>Warning</w:t>
            </w:r>
          </w:p>
        </w:tc>
        <w:tc>
          <w:tcPr>
            <w:tcW w:w="2500" w:type="pct"/>
            <w:tcBorders>
              <w:top w:val="single" w:color="C9D5E2" w:sz="4" w:space="0"/>
              <w:left w:val="single" w:color="C9D5E2" w:sz="4" w:space="0"/>
              <w:bottom w:val="single" w:color="C9D5E2" w:sz="4" w:space="0"/>
              <w:right w:val="single" w:color="C9D5E2" w:sz="4" w:space="0"/>
            </w:tcBorders>
            <w:shd w:val="clear" w:color="auto" w:fill="F8FAFD"/>
            <w:vAlign w:val="center"/>
          </w:tcPr>
          <w:p w14:paraId="0165EBB6">
            <w:pPr>
              <w:pStyle w:val="16"/>
              <w:spacing w:before="0" w:after="0"/>
              <w:jc w:val="center"/>
              <w:rPr>
                <w:sz w:val="20"/>
                <w:szCs w:val="20"/>
              </w:rPr>
            </w:pPr>
            <w:r>
              <w:rPr>
                <w:rFonts w:ascii="Times New Roman" w:hAnsi="Times New Roman" w:eastAsia="Times New Roman"/>
                <w:b w:val="0"/>
                <w:color w:val="1D2738"/>
                <w:sz w:val="18"/>
                <w:szCs w:val="20"/>
              </w:rPr>
              <w:t>7</w:t>
            </w:r>
          </w:p>
        </w:tc>
      </w:tr>
      <w:tr w14:paraId="63708CB7">
        <w:trPr>
          <w:cantSplit/>
        </w:trPr>
        <w:tc>
          <w:tcPr>
            <w:tcW w:w="2500" w:type="pct"/>
            <w:tcBorders>
              <w:top w:val="single" w:color="C9D5E2" w:sz="4" w:space="0"/>
              <w:left w:val="single" w:color="C9D5E2" w:sz="4" w:space="0"/>
              <w:bottom w:val="single" w:color="C9D5E2" w:sz="4" w:space="0"/>
              <w:right w:val="single" w:color="C9D5E2" w:sz="4" w:space="0"/>
            </w:tcBorders>
            <w:vAlign w:val="center"/>
          </w:tcPr>
          <w:p w14:paraId="56A2BBA9">
            <w:pPr>
              <w:pStyle w:val="16"/>
              <w:spacing w:before="0" w:after="0"/>
              <w:jc w:val="center"/>
              <w:rPr>
                <w:sz w:val="20"/>
                <w:szCs w:val="20"/>
              </w:rPr>
            </w:pPr>
            <w:r>
              <w:rPr>
                <w:rFonts w:ascii="Times New Roman" w:hAnsi="Times New Roman" w:eastAsia="Times New Roman"/>
                <w:b w:val="0"/>
                <w:color w:val="1D2738"/>
                <w:sz w:val="18"/>
                <w:szCs w:val="20"/>
              </w:rPr>
              <w:t>Non-compliant</w:t>
            </w:r>
          </w:p>
        </w:tc>
        <w:tc>
          <w:tcPr>
            <w:tcW w:w="2500" w:type="pct"/>
            <w:tcBorders>
              <w:top w:val="single" w:color="C9D5E2" w:sz="4" w:space="0"/>
              <w:left w:val="single" w:color="C9D5E2" w:sz="4" w:space="0"/>
              <w:bottom w:val="single" w:color="C9D5E2" w:sz="4" w:space="0"/>
              <w:right w:val="single" w:color="C9D5E2" w:sz="4" w:space="0"/>
            </w:tcBorders>
            <w:vAlign w:val="center"/>
          </w:tcPr>
          <w:p w14:paraId="466A1051">
            <w:pPr>
              <w:pStyle w:val="16"/>
              <w:spacing w:before="0" w:after="0"/>
              <w:jc w:val="center"/>
              <w:rPr>
                <w:sz w:val="20"/>
                <w:szCs w:val="20"/>
              </w:rPr>
            </w:pPr>
            <w:r>
              <w:rPr>
                <w:rFonts w:ascii="Times New Roman" w:hAnsi="Times New Roman" w:eastAsia="Times New Roman"/>
                <w:b w:val="0"/>
                <w:color w:val="1D2738"/>
                <w:sz w:val="18"/>
                <w:szCs w:val="20"/>
              </w:rPr>
              <w:t>13</w:t>
            </w:r>
          </w:p>
        </w:tc>
      </w:tr>
      <w:tr w14:paraId="31A7C4EA">
        <w:trPr>
          <w:cantSplit/>
        </w:trPr>
        <w:tc>
          <w:tcPr>
            <w:tcW w:w="2500" w:type="pct"/>
            <w:tcBorders>
              <w:top w:val="single" w:color="C9D5E2" w:sz="4" w:space="0"/>
              <w:left w:val="single" w:color="C9D5E2" w:sz="4" w:space="0"/>
              <w:bottom w:val="single" w:color="C9D5E2" w:sz="4" w:space="0"/>
              <w:right w:val="single" w:color="C9D5E2" w:sz="4" w:space="0"/>
            </w:tcBorders>
            <w:shd w:val="clear" w:color="auto" w:fill="F8FAFD"/>
            <w:vAlign w:val="center"/>
          </w:tcPr>
          <w:p w14:paraId="2951E35E">
            <w:pPr>
              <w:pStyle w:val="16"/>
              <w:spacing w:before="0" w:after="0"/>
              <w:jc w:val="center"/>
              <w:rPr>
                <w:sz w:val="20"/>
                <w:szCs w:val="20"/>
              </w:rPr>
            </w:pPr>
            <w:r>
              <w:rPr>
                <w:rFonts w:ascii="Times New Roman" w:hAnsi="Times New Roman" w:eastAsia="Times New Roman"/>
                <w:b w:val="0"/>
                <w:color w:val="1D2738"/>
                <w:sz w:val="18"/>
                <w:szCs w:val="20"/>
              </w:rPr>
              <w:t>Regulatory ambiguous</w:t>
            </w:r>
          </w:p>
        </w:tc>
        <w:tc>
          <w:tcPr>
            <w:tcW w:w="2500" w:type="pct"/>
            <w:tcBorders>
              <w:top w:val="single" w:color="C9D5E2" w:sz="4" w:space="0"/>
              <w:left w:val="single" w:color="C9D5E2" w:sz="4" w:space="0"/>
              <w:bottom w:val="single" w:color="C9D5E2" w:sz="4" w:space="0"/>
              <w:right w:val="single" w:color="C9D5E2" w:sz="4" w:space="0"/>
            </w:tcBorders>
            <w:shd w:val="clear" w:color="auto" w:fill="F8FAFD"/>
            <w:vAlign w:val="center"/>
          </w:tcPr>
          <w:p w14:paraId="46320DCA">
            <w:pPr>
              <w:pStyle w:val="16"/>
              <w:spacing w:before="0" w:after="0"/>
              <w:jc w:val="center"/>
              <w:rPr>
                <w:sz w:val="20"/>
                <w:szCs w:val="20"/>
              </w:rPr>
            </w:pPr>
            <w:r>
              <w:rPr>
                <w:rFonts w:ascii="Times New Roman" w:hAnsi="Times New Roman" w:eastAsia="Times New Roman"/>
                <w:b w:val="0"/>
                <w:color w:val="1D2738"/>
                <w:sz w:val="18"/>
                <w:szCs w:val="20"/>
              </w:rPr>
              <w:t>2</w:t>
            </w:r>
          </w:p>
        </w:tc>
      </w:tr>
      <w:tr w14:paraId="3A230BF2">
        <w:trPr>
          <w:cantSplit/>
        </w:trPr>
        <w:tc>
          <w:tcPr>
            <w:tcW w:w="2500" w:type="pct"/>
            <w:tcBorders>
              <w:top w:val="single" w:color="C9D5E2" w:sz="4" w:space="0"/>
              <w:left w:val="single" w:color="C9D5E2" w:sz="4" w:space="0"/>
              <w:bottom w:val="single" w:color="C9D5E2" w:sz="4" w:space="0"/>
              <w:right w:val="single" w:color="C9D5E2" w:sz="4" w:space="0"/>
            </w:tcBorders>
            <w:vAlign w:val="center"/>
          </w:tcPr>
          <w:p w14:paraId="41F0BC0E">
            <w:pPr>
              <w:pStyle w:val="16"/>
              <w:spacing w:before="0" w:after="0"/>
              <w:jc w:val="center"/>
              <w:rPr>
                <w:sz w:val="20"/>
                <w:szCs w:val="20"/>
              </w:rPr>
            </w:pPr>
            <w:r>
              <w:rPr>
                <w:rFonts w:ascii="Times New Roman" w:hAnsi="Times New Roman" w:eastAsia="Times New Roman"/>
                <w:b w:val="0"/>
                <w:color w:val="1D2738"/>
                <w:sz w:val="18"/>
                <w:szCs w:val="20"/>
              </w:rPr>
              <w:t>Not reportable</w:t>
            </w:r>
          </w:p>
        </w:tc>
        <w:tc>
          <w:tcPr>
            <w:tcW w:w="2500" w:type="pct"/>
            <w:tcBorders>
              <w:top w:val="single" w:color="C9D5E2" w:sz="4" w:space="0"/>
              <w:left w:val="single" w:color="C9D5E2" w:sz="4" w:space="0"/>
              <w:bottom w:val="single" w:color="C9D5E2" w:sz="4" w:space="0"/>
              <w:right w:val="single" w:color="C9D5E2" w:sz="4" w:space="0"/>
            </w:tcBorders>
            <w:vAlign w:val="center"/>
          </w:tcPr>
          <w:p w14:paraId="5E97169F">
            <w:pPr>
              <w:pStyle w:val="16"/>
              <w:spacing w:before="0" w:after="0"/>
              <w:jc w:val="center"/>
              <w:rPr>
                <w:sz w:val="20"/>
                <w:szCs w:val="20"/>
              </w:rPr>
            </w:pPr>
            <w:r>
              <w:rPr>
                <w:rFonts w:ascii="Times New Roman" w:hAnsi="Times New Roman" w:eastAsia="Times New Roman"/>
                <w:b w:val="0"/>
                <w:color w:val="1D2738"/>
                <w:sz w:val="18"/>
                <w:szCs w:val="20"/>
              </w:rPr>
              <w:t>1</w:t>
            </w:r>
          </w:p>
        </w:tc>
      </w:tr>
    </w:tbl>
    <w:p w14:paraId="28096886">
      <w:pPr>
        <w:pStyle w:val="3"/>
        <w:keepNext w:val="0"/>
        <w:keepLines w:val="0"/>
        <w:widowControl w:val="0"/>
        <w:kinsoku/>
        <w:wordWrap w:val="0"/>
        <w:overflowPunct/>
        <w:topLinePunct w:val="0"/>
        <w:autoSpaceDE/>
        <w:autoSpaceDN/>
        <w:bidi w:val="0"/>
        <w:adjustRightInd/>
        <w:snapToGrid/>
        <w:spacing w:before="180" w:after="120" w:line="259" w:lineRule="auto"/>
        <w:ind w:left="0" w:leftChars="0" w:firstLine="0" w:firstLineChars="0"/>
        <w:jc w:val="left"/>
        <w:textAlignment w:val="auto"/>
        <w:rPr>
          <w:rFonts w:hint="default" w:asciiTheme="minorHAnsi" w:hAnsiTheme="minorHAnsi" w:eastAsiaTheme="minorEastAsia" w:cstheme="minorBidi"/>
          <w:b w:val="0"/>
          <w:color w:val="auto"/>
          <w:kern w:val="2"/>
          <w:sz w:val="21"/>
          <w:szCs w:val="24"/>
          <w:lang w:val="en-US" w:eastAsia="zh-CN" w:bidi="ar-SA"/>
        </w:rPr>
      </w:pPr>
      <w:r>
        <w:rPr>
          <w:rFonts w:ascii="Times New Roman" w:hAnsi="Times New Roman" w:eastAsia="Times New Roman"/>
          <w:color w:val="1D2738"/>
          <w:sz w:val="22"/>
        </w:rPr>
        <w:t>The difference between 14 data-quality non-compliant records and 13 legacy non-compliant trades is caused by T027. T027 remains data-quality non-compliant because it has missing LEIs, missing UTI, non-ISO USDC settlement, and no product definition, but it is separated as NOT_REPORTABLE under the legacy overall_status for compatibility. The retained overall_status supports dashboard compatibility, while the three-dimensional view above provides a more precise interpretation of the portfolio.</w:t>
      </w:r>
    </w:p>
    <w:p w14:paraId="57B7DC19">
      <w:pPr>
        <w:pStyle w:val="15"/>
        <w:keepNext/>
        <w:wordWrap w:val="0"/>
        <w:ind w:left="0" w:leftChars="0" w:firstLine="0" w:firstLineChars="0"/>
        <w:jc w:val="left"/>
        <w:rPr>
          <w:rFonts w:hint="default" w:asciiTheme="minorAscii" w:hAnsiTheme="minorAscii"/>
          <w:color w:val="auto"/>
          <w:lang w:val="en-US"/>
        </w:rPr>
      </w:pPr>
      <w:bookmarkStart w:id="18" w:name="_Toc1900419341"/>
      <w:bookmarkEnd w:id="18"/>
      <w:r>
        <w:rPr>
          <w:rFonts w:ascii="Georgia" w:hAnsi="Georgia" w:eastAsia="Georgia"/>
          <w:b/>
          <w:color w:val="0D2554"/>
          <w:sz w:val="19"/>
        </w:rPr>
        <w:t>Table 6: Compliance Finding Frequency by Validation Rule</w:t>
      </w:r>
    </w:p>
    <w:tbl>
      <w:tblPr>
        <w:tblStyle w:val="17"/>
        <w:tblW w:w="5000" w:type="pct"/>
        <w:jc w:val="center"/>
        <w:tblBorders>
          <w:top w:val="single" w:color="D8E1EE" w:sz="4" w:space="0"/>
          <w:left w:val="single" w:color="D8E1EE" w:sz="4" w:space="0"/>
          <w:bottom w:val="single" w:color="D8E1EE" w:sz="4" w:space="0"/>
          <w:right w:val="single" w:color="D8E1EE" w:sz="4" w:space="0"/>
          <w:insideH w:val="single" w:color="D8E1EE" w:sz="4" w:space="0"/>
          <w:insideV w:val="single" w:color="D8E1EE" w:sz="4" w:space="0"/>
        </w:tblBorders>
        <w:tblLayout w:type="autofit"/>
        <w:tblCellMar>
          <w:top w:w="0" w:type="dxa"/>
          <w:left w:w="108" w:type="dxa"/>
          <w:bottom w:w="0" w:type="dxa"/>
          <w:right w:w="108" w:type="dxa"/>
        </w:tblCellMar>
      </w:tblPr>
      <w:tblGrid>
        <w:gridCol w:w="5097"/>
        <w:gridCol w:w="5097"/>
      </w:tblGrid>
      <w:tr w14:paraId="740ED783">
        <w:trPr>
          <w:cantSplit/>
          <w:tblHeader/>
          <w:jc w:val="center"/>
        </w:trPr>
        <w:tc>
          <w:tcPr>
            <w:tcW w:w="2500" w:type="pct"/>
            <w:tcBorders>
              <w:top w:val="single" w:color="C9D5E2" w:sz="4" w:space="0"/>
              <w:left w:val="single" w:color="C9D5E2" w:sz="4" w:space="0"/>
              <w:bottom w:val="single" w:color="C9D5E2" w:sz="4" w:space="0"/>
              <w:right w:val="single" w:color="C9D5E2" w:sz="4" w:space="0"/>
              <w:insideH w:val="single" w:sz="0" w:space="0"/>
            </w:tcBorders>
            <w:shd w:val="clear" w:color="auto" w:fill="0D2554"/>
            <w:vAlign w:val="center"/>
          </w:tcPr>
          <w:p w14:paraId="39F07A9C">
            <w:pPr>
              <w:pStyle w:val="16"/>
              <w:spacing w:before="0" w:after="0"/>
              <w:jc w:val="center"/>
              <w:rPr>
                <w:b/>
                <w:bCs/>
                <w:sz w:val="21"/>
                <w:szCs w:val="21"/>
              </w:rPr>
            </w:pPr>
            <w:r>
              <w:rPr>
                <w:rFonts w:ascii="Times New Roman" w:hAnsi="Times New Roman" w:eastAsia="Times New Roman"/>
                <w:b/>
                <w:bCs/>
                <w:color w:val="FFFFFF"/>
                <w:sz w:val="18"/>
                <w:szCs w:val="21"/>
              </w:rPr>
              <w:t>Compliance rule</w:t>
            </w:r>
          </w:p>
        </w:tc>
        <w:tc>
          <w:tcPr>
            <w:tcW w:w="2500" w:type="pct"/>
            <w:tcBorders>
              <w:top w:val="single" w:color="C9D5E2" w:sz="4" w:space="0"/>
              <w:left w:val="single" w:color="C9D5E2" w:sz="4" w:space="0"/>
              <w:bottom w:val="single" w:color="C9D5E2" w:sz="4" w:space="0"/>
              <w:right w:val="single" w:color="C9D5E2" w:sz="4" w:space="0"/>
              <w:insideH w:val="single" w:sz="0" w:space="0"/>
            </w:tcBorders>
            <w:shd w:val="clear" w:color="auto" w:fill="0D2554"/>
            <w:vAlign w:val="center"/>
          </w:tcPr>
          <w:p w14:paraId="5AD78636">
            <w:pPr>
              <w:pStyle w:val="16"/>
              <w:spacing w:before="0" w:after="0"/>
              <w:jc w:val="center"/>
              <w:rPr>
                <w:b/>
                <w:bCs/>
                <w:sz w:val="21"/>
                <w:szCs w:val="21"/>
              </w:rPr>
            </w:pPr>
            <w:r>
              <w:rPr>
                <w:rFonts w:ascii="Times New Roman" w:hAnsi="Times New Roman" w:eastAsia="Times New Roman"/>
                <w:b/>
                <w:bCs/>
                <w:color w:val="FFFFFF"/>
                <w:sz w:val="18"/>
                <w:szCs w:val="21"/>
              </w:rPr>
              <w:t>Count</w:t>
            </w:r>
          </w:p>
        </w:tc>
      </w:tr>
      <w:tr w14:paraId="621B477A">
        <w:trPr>
          <w:cantSplit/>
          <w:jc w:val="center"/>
        </w:trPr>
        <w:tc>
          <w:tcPr>
            <w:tcW w:w="2500" w:type="pct"/>
            <w:tcBorders>
              <w:top w:val="single" w:color="C9D5E2" w:sz="4" w:space="0"/>
              <w:left w:val="single" w:color="C9D5E2" w:sz="4" w:space="0"/>
              <w:bottom w:val="single" w:color="C9D5E2" w:sz="4" w:space="0"/>
              <w:right w:val="single" w:color="C9D5E2" w:sz="4" w:space="0"/>
            </w:tcBorders>
            <w:vAlign w:val="center"/>
          </w:tcPr>
          <w:p w14:paraId="221E41F6">
            <w:pPr>
              <w:pStyle w:val="16"/>
              <w:spacing w:before="0" w:after="0"/>
              <w:jc w:val="center"/>
              <w:rPr>
                <w:sz w:val="20"/>
                <w:szCs w:val="20"/>
              </w:rPr>
            </w:pPr>
            <w:r>
              <w:rPr>
                <w:rFonts w:ascii="Times New Roman" w:hAnsi="Times New Roman" w:eastAsia="Times New Roman"/>
                <w:b w:val="0"/>
                <w:color w:val="1D2738"/>
                <w:sz w:val="18"/>
                <w:szCs w:val="20"/>
              </w:rPr>
              <w:t>LEI_CHECK_DIGIT</w:t>
            </w:r>
          </w:p>
        </w:tc>
        <w:tc>
          <w:tcPr>
            <w:tcW w:w="2500" w:type="pct"/>
            <w:tcBorders>
              <w:top w:val="single" w:color="C9D5E2" w:sz="4" w:space="0"/>
              <w:left w:val="single" w:color="C9D5E2" w:sz="4" w:space="0"/>
              <w:bottom w:val="single" w:color="C9D5E2" w:sz="4" w:space="0"/>
              <w:right w:val="single" w:color="C9D5E2" w:sz="4" w:space="0"/>
            </w:tcBorders>
            <w:vAlign w:val="center"/>
          </w:tcPr>
          <w:p w14:paraId="7D5F2262">
            <w:pPr>
              <w:pStyle w:val="16"/>
              <w:spacing w:before="0" w:after="0"/>
              <w:jc w:val="center"/>
              <w:rPr>
                <w:sz w:val="20"/>
                <w:szCs w:val="20"/>
              </w:rPr>
            </w:pPr>
            <w:r>
              <w:rPr>
                <w:rFonts w:ascii="Times New Roman" w:hAnsi="Times New Roman" w:eastAsia="Times New Roman"/>
                <w:b w:val="0"/>
                <w:color w:val="1D2738"/>
                <w:sz w:val="18"/>
                <w:szCs w:val="20"/>
              </w:rPr>
              <w:t>6</w:t>
            </w:r>
          </w:p>
        </w:tc>
      </w:tr>
      <w:tr w14:paraId="2DE2EAB2">
        <w:trPr>
          <w:cantSplit/>
          <w:jc w:val="center"/>
        </w:trPr>
        <w:tc>
          <w:tcPr>
            <w:tcW w:w="2500" w:type="pct"/>
            <w:tcBorders>
              <w:top w:val="single" w:color="C9D5E2" w:sz="4" w:space="0"/>
              <w:left w:val="single" w:color="C9D5E2" w:sz="4" w:space="0"/>
              <w:bottom w:val="single" w:color="C9D5E2" w:sz="4" w:space="0"/>
              <w:right w:val="single" w:color="C9D5E2" w:sz="4" w:space="0"/>
            </w:tcBorders>
            <w:shd w:val="clear" w:color="auto" w:fill="F8FAFD"/>
            <w:vAlign w:val="center"/>
          </w:tcPr>
          <w:p w14:paraId="11027B63">
            <w:pPr>
              <w:pStyle w:val="16"/>
              <w:spacing w:before="0" w:after="0"/>
              <w:jc w:val="center"/>
              <w:rPr>
                <w:sz w:val="20"/>
                <w:szCs w:val="20"/>
              </w:rPr>
            </w:pPr>
            <w:r>
              <w:rPr>
                <w:rFonts w:ascii="Times New Roman" w:hAnsi="Times New Roman" w:eastAsia="Times New Roman"/>
                <w:b w:val="0"/>
                <w:color w:val="1D2738"/>
                <w:sz w:val="18"/>
                <w:szCs w:val="20"/>
              </w:rPr>
              <w:t>EMIR_NULL_MARGIN</w:t>
            </w:r>
          </w:p>
        </w:tc>
        <w:tc>
          <w:tcPr>
            <w:tcW w:w="2500" w:type="pct"/>
            <w:tcBorders>
              <w:top w:val="single" w:color="C9D5E2" w:sz="4" w:space="0"/>
              <w:left w:val="single" w:color="C9D5E2" w:sz="4" w:space="0"/>
              <w:bottom w:val="single" w:color="C9D5E2" w:sz="4" w:space="0"/>
              <w:right w:val="single" w:color="C9D5E2" w:sz="4" w:space="0"/>
            </w:tcBorders>
            <w:shd w:val="clear" w:color="auto" w:fill="F8FAFD"/>
            <w:vAlign w:val="center"/>
          </w:tcPr>
          <w:p w14:paraId="6150358B">
            <w:pPr>
              <w:pStyle w:val="16"/>
              <w:spacing w:before="0" w:after="0"/>
              <w:jc w:val="center"/>
              <w:rPr>
                <w:sz w:val="20"/>
                <w:szCs w:val="20"/>
              </w:rPr>
            </w:pPr>
            <w:r>
              <w:rPr>
                <w:rFonts w:ascii="Times New Roman" w:hAnsi="Times New Roman" w:eastAsia="Times New Roman"/>
                <w:b w:val="0"/>
                <w:color w:val="1D2738"/>
                <w:sz w:val="18"/>
                <w:szCs w:val="20"/>
              </w:rPr>
              <w:t>3</w:t>
            </w:r>
          </w:p>
        </w:tc>
      </w:tr>
      <w:tr w14:paraId="470572D6">
        <w:trPr>
          <w:cantSplit/>
          <w:jc w:val="center"/>
        </w:trPr>
        <w:tc>
          <w:tcPr>
            <w:tcW w:w="2500" w:type="pct"/>
            <w:tcBorders>
              <w:top w:val="single" w:color="C9D5E2" w:sz="4" w:space="0"/>
              <w:left w:val="single" w:color="C9D5E2" w:sz="4" w:space="0"/>
              <w:bottom w:val="single" w:color="C9D5E2" w:sz="4" w:space="0"/>
              <w:right w:val="single" w:color="C9D5E2" w:sz="4" w:space="0"/>
            </w:tcBorders>
            <w:vAlign w:val="center"/>
          </w:tcPr>
          <w:p w14:paraId="54D921AF">
            <w:pPr>
              <w:pStyle w:val="16"/>
              <w:spacing w:before="0" w:after="0"/>
              <w:jc w:val="center"/>
              <w:rPr>
                <w:sz w:val="20"/>
                <w:szCs w:val="20"/>
              </w:rPr>
            </w:pPr>
            <w:r>
              <w:rPr>
                <w:rFonts w:ascii="Times New Roman" w:hAnsi="Times New Roman" w:eastAsia="Times New Roman"/>
                <w:b w:val="0"/>
                <w:color w:val="1D2738"/>
                <w:sz w:val="18"/>
                <w:szCs w:val="20"/>
              </w:rPr>
              <w:t>INVALID_CURRENCY</w:t>
            </w:r>
          </w:p>
        </w:tc>
        <w:tc>
          <w:tcPr>
            <w:tcW w:w="2500" w:type="pct"/>
            <w:tcBorders>
              <w:top w:val="single" w:color="C9D5E2" w:sz="4" w:space="0"/>
              <w:left w:val="single" w:color="C9D5E2" w:sz="4" w:space="0"/>
              <w:bottom w:val="single" w:color="C9D5E2" w:sz="4" w:space="0"/>
              <w:right w:val="single" w:color="C9D5E2" w:sz="4" w:space="0"/>
            </w:tcBorders>
            <w:vAlign w:val="center"/>
          </w:tcPr>
          <w:p w14:paraId="4DBD6A69">
            <w:pPr>
              <w:pStyle w:val="16"/>
              <w:spacing w:before="0" w:after="0"/>
              <w:jc w:val="center"/>
              <w:rPr>
                <w:sz w:val="20"/>
                <w:szCs w:val="20"/>
              </w:rPr>
            </w:pPr>
            <w:r>
              <w:rPr>
                <w:rFonts w:ascii="Times New Roman" w:hAnsi="Times New Roman" w:eastAsia="Times New Roman"/>
                <w:b w:val="0"/>
                <w:color w:val="1D2738"/>
                <w:sz w:val="18"/>
                <w:szCs w:val="20"/>
              </w:rPr>
              <w:t>3</w:t>
            </w:r>
          </w:p>
        </w:tc>
      </w:tr>
      <w:tr w14:paraId="2FABD086">
        <w:trPr>
          <w:cantSplit/>
          <w:jc w:val="center"/>
        </w:trPr>
        <w:tc>
          <w:tcPr>
            <w:tcW w:w="2500" w:type="pct"/>
            <w:tcBorders>
              <w:top w:val="single" w:color="C9D5E2" w:sz="4" w:space="0"/>
              <w:left w:val="single" w:color="C9D5E2" w:sz="4" w:space="0"/>
              <w:bottom w:val="single" w:color="C9D5E2" w:sz="4" w:space="0"/>
              <w:right w:val="single" w:color="C9D5E2" w:sz="4" w:space="0"/>
            </w:tcBorders>
            <w:shd w:val="clear" w:color="auto" w:fill="F8FAFD"/>
            <w:vAlign w:val="center"/>
          </w:tcPr>
          <w:p w14:paraId="1516C68C">
            <w:pPr>
              <w:pStyle w:val="16"/>
              <w:spacing w:before="0" w:after="0"/>
              <w:jc w:val="center"/>
              <w:rPr>
                <w:sz w:val="20"/>
                <w:szCs w:val="20"/>
              </w:rPr>
            </w:pPr>
            <w:r>
              <w:rPr>
                <w:rFonts w:ascii="Times New Roman" w:hAnsi="Times New Roman" w:eastAsia="Times New Roman"/>
                <w:b w:val="0"/>
                <w:color w:val="1D2738"/>
                <w:sz w:val="18"/>
                <w:szCs w:val="20"/>
              </w:rPr>
              <w:t>LEI_MISSING</w:t>
            </w:r>
          </w:p>
        </w:tc>
        <w:tc>
          <w:tcPr>
            <w:tcW w:w="2500" w:type="pct"/>
            <w:tcBorders>
              <w:top w:val="single" w:color="C9D5E2" w:sz="4" w:space="0"/>
              <w:left w:val="single" w:color="C9D5E2" w:sz="4" w:space="0"/>
              <w:bottom w:val="single" w:color="C9D5E2" w:sz="4" w:space="0"/>
              <w:right w:val="single" w:color="C9D5E2" w:sz="4" w:space="0"/>
            </w:tcBorders>
            <w:shd w:val="clear" w:color="auto" w:fill="F8FAFD"/>
            <w:vAlign w:val="center"/>
          </w:tcPr>
          <w:p w14:paraId="39918791">
            <w:pPr>
              <w:pStyle w:val="16"/>
              <w:spacing w:before="0" w:after="0"/>
              <w:jc w:val="center"/>
              <w:rPr>
                <w:sz w:val="20"/>
                <w:szCs w:val="20"/>
              </w:rPr>
            </w:pPr>
            <w:r>
              <w:rPr>
                <w:rFonts w:ascii="Times New Roman" w:hAnsi="Times New Roman" w:eastAsia="Times New Roman"/>
                <w:b w:val="0"/>
                <w:color w:val="1D2738"/>
                <w:sz w:val="18"/>
                <w:szCs w:val="20"/>
              </w:rPr>
              <w:t>3</w:t>
            </w:r>
          </w:p>
        </w:tc>
      </w:tr>
      <w:tr w14:paraId="529E9AC4">
        <w:trPr>
          <w:cantSplit/>
          <w:jc w:val="center"/>
        </w:trPr>
        <w:tc>
          <w:tcPr>
            <w:tcW w:w="2500" w:type="pct"/>
            <w:tcBorders>
              <w:top w:val="single" w:color="C9D5E2" w:sz="4" w:space="0"/>
              <w:left w:val="single" w:color="C9D5E2" w:sz="4" w:space="0"/>
              <w:bottom w:val="single" w:color="C9D5E2" w:sz="4" w:space="0"/>
              <w:right w:val="single" w:color="C9D5E2" w:sz="4" w:space="0"/>
            </w:tcBorders>
            <w:vAlign w:val="center"/>
          </w:tcPr>
          <w:p w14:paraId="135C2E5C">
            <w:pPr>
              <w:pStyle w:val="16"/>
              <w:spacing w:before="0" w:after="0"/>
              <w:jc w:val="center"/>
              <w:rPr>
                <w:sz w:val="20"/>
                <w:szCs w:val="20"/>
              </w:rPr>
            </w:pPr>
            <w:r>
              <w:rPr>
                <w:rFonts w:ascii="Times New Roman" w:hAnsi="Times New Roman" w:eastAsia="Times New Roman"/>
                <w:b w:val="0"/>
                <w:color w:val="1D2738"/>
                <w:sz w:val="18"/>
                <w:szCs w:val="20"/>
              </w:rPr>
              <w:t>NO_PRODUCT_DEFINITION</w:t>
            </w:r>
          </w:p>
        </w:tc>
        <w:tc>
          <w:tcPr>
            <w:tcW w:w="2500" w:type="pct"/>
            <w:tcBorders>
              <w:top w:val="single" w:color="C9D5E2" w:sz="4" w:space="0"/>
              <w:left w:val="single" w:color="C9D5E2" w:sz="4" w:space="0"/>
              <w:bottom w:val="single" w:color="C9D5E2" w:sz="4" w:space="0"/>
              <w:right w:val="single" w:color="C9D5E2" w:sz="4" w:space="0"/>
            </w:tcBorders>
            <w:vAlign w:val="center"/>
          </w:tcPr>
          <w:p w14:paraId="76B26DFC">
            <w:pPr>
              <w:pStyle w:val="16"/>
              <w:spacing w:before="0" w:after="0"/>
              <w:jc w:val="center"/>
              <w:rPr>
                <w:sz w:val="20"/>
                <w:szCs w:val="20"/>
              </w:rPr>
            </w:pPr>
            <w:r>
              <w:rPr>
                <w:rFonts w:ascii="Times New Roman" w:hAnsi="Times New Roman" w:eastAsia="Times New Roman"/>
                <w:b w:val="0"/>
                <w:color w:val="1D2738"/>
                <w:sz w:val="18"/>
                <w:szCs w:val="20"/>
              </w:rPr>
              <w:t>3</w:t>
            </w:r>
          </w:p>
        </w:tc>
      </w:tr>
      <w:tr w14:paraId="1134B6AC">
        <w:trPr>
          <w:cantSplit/>
          <w:jc w:val="center"/>
        </w:trPr>
        <w:tc>
          <w:tcPr>
            <w:tcW w:w="2500" w:type="pct"/>
            <w:tcBorders>
              <w:top w:val="single" w:color="C9D5E2" w:sz="4" w:space="0"/>
              <w:left w:val="single" w:color="C9D5E2" w:sz="4" w:space="0"/>
              <w:bottom w:val="single" w:color="C9D5E2" w:sz="4" w:space="0"/>
              <w:right w:val="single" w:color="C9D5E2" w:sz="4" w:space="0"/>
            </w:tcBorders>
            <w:shd w:val="clear" w:color="auto" w:fill="F8FAFD"/>
            <w:vAlign w:val="center"/>
          </w:tcPr>
          <w:p w14:paraId="3C974E1E">
            <w:pPr>
              <w:pStyle w:val="16"/>
              <w:spacing w:before="0" w:after="0"/>
              <w:jc w:val="center"/>
              <w:rPr>
                <w:sz w:val="20"/>
                <w:szCs w:val="20"/>
              </w:rPr>
            </w:pPr>
            <w:r>
              <w:rPr>
                <w:rFonts w:ascii="Times New Roman" w:hAnsi="Times New Roman" w:eastAsia="Times New Roman"/>
                <w:b w:val="0"/>
                <w:color w:val="1D2738"/>
                <w:sz w:val="18"/>
                <w:szCs w:val="20"/>
              </w:rPr>
              <w:t>EMIR_REQUIRED_FIELD</w:t>
            </w:r>
          </w:p>
        </w:tc>
        <w:tc>
          <w:tcPr>
            <w:tcW w:w="2500" w:type="pct"/>
            <w:tcBorders>
              <w:top w:val="single" w:color="C9D5E2" w:sz="4" w:space="0"/>
              <w:left w:val="single" w:color="C9D5E2" w:sz="4" w:space="0"/>
              <w:bottom w:val="single" w:color="C9D5E2" w:sz="4" w:space="0"/>
              <w:right w:val="single" w:color="C9D5E2" w:sz="4" w:space="0"/>
            </w:tcBorders>
            <w:shd w:val="clear" w:color="auto" w:fill="F8FAFD"/>
            <w:vAlign w:val="center"/>
          </w:tcPr>
          <w:p w14:paraId="5131FE94">
            <w:pPr>
              <w:pStyle w:val="16"/>
              <w:spacing w:before="0" w:after="0"/>
              <w:jc w:val="center"/>
              <w:rPr>
                <w:sz w:val="20"/>
                <w:szCs w:val="20"/>
              </w:rPr>
            </w:pPr>
            <w:r>
              <w:rPr>
                <w:rFonts w:ascii="Times New Roman" w:hAnsi="Times New Roman" w:eastAsia="Times New Roman"/>
                <w:b w:val="0"/>
                <w:color w:val="1D2738"/>
                <w:sz w:val="18"/>
                <w:szCs w:val="20"/>
              </w:rPr>
              <w:t>2</w:t>
            </w:r>
          </w:p>
        </w:tc>
      </w:tr>
      <w:tr w14:paraId="51F35D23">
        <w:trPr>
          <w:cantSplit/>
          <w:jc w:val="center"/>
        </w:trPr>
        <w:tc>
          <w:tcPr>
            <w:tcW w:w="2500" w:type="pct"/>
            <w:tcBorders>
              <w:top w:val="single" w:color="C9D5E2" w:sz="4" w:space="0"/>
              <w:left w:val="single" w:color="C9D5E2" w:sz="4" w:space="0"/>
              <w:bottom w:val="single" w:color="C9D5E2" w:sz="4" w:space="0"/>
              <w:right w:val="single" w:color="C9D5E2" w:sz="4" w:space="0"/>
            </w:tcBorders>
            <w:vAlign w:val="center"/>
          </w:tcPr>
          <w:p w14:paraId="78A00F9B">
            <w:pPr>
              <w:pStyle w:val="16"/>
              <w:spacing w:before="0" w:after="0"/>
              <w:jc w:val="center"/>
              <w:rPr>
                <w:sz w:val="20"/>
                <w:szCs w:val="20"/>
              </w:rPr>
            </w:pPr>
            <w:r>
              <w:rPr>
                <w:rFonts w:ascii="Times New Roman" w:hAnsi="Times New Roman" w:eastAsia="Times New Roman"/>
                <w:b w:val="0"/>
                <w:color w:val="1D2738"/>
                <w:sz w:val="18"/>
                <w:szCs w:val="20"/>
              </w:rPr>
              <w:t>UTI_NAMESPACE</w:t>
            </w:r>
          </w:p>
        </w:tc>
        <w:tc>
          <w:tcPr>
            <w:tcW w:w="2500" w:type="pct"/>
            <w:tcBorders>
              <w:top w:val="single" w:color="C9D5E2" w:sz="4" w:space="0"/>
              <w:left w:val="single" w:color="C9D5E2" w:sz="4" w:space="0"/>
              <w:bottom w:val="single" w:color="C9D5E2" w:sz="4" w:space="0"/>
              <w:right w:val="single" w:color="C9D5E2" w:sz="4" w:space="0"/>
            </w:tcBorders>
            <w:vAlign w:val="center"/>
          </w:tcPr>
          <w:p w14:paraId="26CAFB8B">
            <w:pPr>
              <w:pStyle w:val="16"/>
              <w:spacing w:before="0" w:after="0"/>
              <w:jc w:val="center"/>
              <w:rPr>
                <w:sz w:val="20"/>
                <w:szCs w:val="20"/>
              </w:rPr>
            </w:pPr>
            <w:r>
              <w:rPr>
                <w:rFonts w:ascii="Times New Roman" w:hAnsi="Times New Roman" w:eastAsia="Times New Roman"/>
                <w:b w:val="0"/>
                <w:color w:val="1D2738"/>
                <w:sz w:val="18"/>
                <w:szCs w:val="20"/>
              </w:rPr>
              <w:t>2</w:t>
            </w:r>
          </w:p>
        </w:tc>
      </w:tr>
      <w:tr w14:paraId="3AA43AC9">
        <w:trPr>
          <w:cantSplit/>
          <w:jc w:val="center"/>
        </w:trPr>
        <w:tc>
          <w:tcPr>
            <w:tcW w:w="2500" w:type="pct"/>
            <w:tcBorders>
              <w:top w:val="single" w:color="C9D5E2" w:sz="4" w:space="0"/>
              <w:left w:val="single" w:color="C9D5E2" w:sz="4" w:space="0"/>
              <w:bottom w:val="single" w:color="C9D5E2" w:sz="4" w:space="0"/>
              <w:right w:val="single" w:color="C9D5E2" w:sz="4" w:space="0"/>
            </w:tcBorders>
            <w:shd w:val="clear" w:color="auto" w:fill="F8FAFD"/>
            <w:vAlign w:val="center"/>
          </w:tcPr>
          <w:p w14:paraId="3DB8B750">
            <w:pPr>
              <w:pStyle w:val="16"/>
              <w:spacing w:before="0" w:after="0"/>
              <w:jc w:val="center"/>
              <w:rPr>
                <w:sz w:val="20"/>
                <w:szCs w:val="20"/>
              </w:rPr>
            </w:pPr>
            <w:r>
              <w:rPr>
                <w:rFonts w:ascii="Times New Roman" w:hAnsi="Times New Roman" w:eastAsia="Times New Roman"/>
                <w:b w:val="0"/>
                <w:color w:val="1D2738"/>
                <w:sz w:val="18"/>
                <w:szCs w:val="20"/>
              </w:rPr>
              <w:t>UTI_NAMESPACE_FORMAT</w:t>
            </w:r>
          </w:p>
        </w:tc>
        <w:tc>
          <w:tcPr>
            <w:tcW w:w="2500" w:type="pct"/>
            <w:tcBorders>
              <w:top w:val="single" w:color="C9D5E2" w:sz="4" w:space="0"/>
              <w:left w:val="single" w:color="C9D5E2" w:sz="4" w:space="0"/>
              <w:bottom w:val="single" w:color="C9D5E2" w:sz="4" w:space="0"/>
              <w:right w:val="single" w:color="C9D5E2" w:sz="4" w:space="0"/>
            </w:tcBorders>
            <w:shd w:val="clear" w:color="auto" w:fill="F8FAFD"/>
            <w:vAlign w:val="center"/>
          </w:tcPr>
          <w:p w14:paraId="52458C36">
            <w:pPr>
              <w:pStyle w:val="16"/>
              <w:spacing w:before="0" w:after="0"/>
              <w:jc w:val="center"/>
              <w:rPr>
                <w:sz w:val="20"/>
                <w:szCs w:val="20"/>
              </w:rPr>
            </w:pPr>
            <w:r>
              <w:rPr>
                <w:rFonts w:ascii="Times New Roman" w:hAnsi="Times New Roman" w:eastAsia="Times New Roman"/>
                <w:b w:val="0"/>
                <w:color w:val="1D2738"/>
                <w:sz w:val="18"/>
                <w:szCs w:val="20"/>
              </w:rPr>
              <w:t>2</w:t>
            </w:r>
          </w:p>
        </w:tc>
      </w:tr>
      <w:tr w14:paraId="4CED31C8">
        <w:trPr>
          <w:cantSplit/>
          <w:jc w:val="center"/>
        </w:trPr>
        <w:tc>
          <w:tcPr>
            <w:tcW w:w="2500" w:type="pct"/>
            <w:tcBorders>
              <w:top w:val="single" w:color="C9D5E2" w:sz="4" w:space="0"/>
              <w:left w:val="single" w:color="C9D5E2" w:sz="4" w:space="0"/>
              <w:bottom w:val="single" w:color="C9D5E2" w:sz="4" w:space="0"/>
              <w:right w:val="single" w:color="C9D5E2" w:sz="4" w:space="0"/>
            </w:tcBorders>
            <w:vAlign w:val="center"/>
          </w:tcPr>
          <w:p w14:paraId="59B69A9F">
            <w:pPr>
              <w:pStyle w:val="16"/>
              <w:spacing w:before="0" w:after="0"/>
              <w:jc w:val="center"/>
              <w:rPr>
                <w:sz w:val="20"/>
                <w:szCs w:val="20"/>
              </w:rPr>
            </w:pPr>
            <w:r>
              <w:rPr>
                <w:rFonts w:ascii="Times New Roman" w:hAnsi="Times New Roman" w:eastAsia="Times New Roman"/>
                <w:b w:val="0"/>
                <w:color w:val="1D2738"/>
                <w:sz w:val="18"/>
                <w:szCs w:val="20"/>
              </w:rPr>
              <w:t>LIBOR_WARNING</w:t>
            </w:r>
          </w:p>
        </w:tc>
        <w:tc>
          <w:tcPr>
            <w:tcW w:w="2500" w:type="pct"/>
            <w:tcBorders>
              <w:top w:val="single" w:color="C9D5E2" w:sz="4" w:space="0"/>
              <w:left w:val="single" w:color="C9D5E2" w:sz="4" w:space="0"/>
              <w:bottom w:val="single" w:color="C9D5E2" w:sz="4" w:space="0"/>
              <w:right w:val="single" w:color="C9D5E2" w:sz="4" w:space="0"/>
            </w:tcBorders>
            <w:vAlign w:val="center"/>
          </w:tcPr>
          <w:p w14:paraId="2603DB92">
            <w:pPr>
              <w:pStyle w:val="16"/>
              <w:spacing w:before="0" w:after="0"/>
              <w:jc w:val="center"/>
              <w:rPr>
                <w:sz w:val="20"/>
                <w:szCs w:val="20"/>
              </w:rPr>
            </w:pPr>
            <w:r>
              <w:rPr>
                <w:rFonts w:ascii="Times New Roman" w:hAnsi="Times New Roman" w:eastAsia="Times New Roman"/>
                <w:b w:val="0"/>
                <w:color w:val="1D2738"/>
                <w:sz w:val="18"/>
                <w:szCs w:val="20"/>
              </w:rPr>
              <w:t>1</w:t>
            </w:r>
          </w:p>
        </w:tc>
      </w:tr>
      <w:tr w14:paraId="4FF180F0">
        <w:trPr>
          <w:cantSplit/>
          <w:jc w:val="center"/>
        </w:trPr>
        <w:tc>
          <w:tcPr>
            <w:tcW w:w="2500" w:type="pct"/>
            <w:tcBorders>
              <w:top w:val="single" w:color="C9D5E2" w:sz="4" w:space="0"/>
              <w:left w:val="single" w:color="C9D5E2" w:sz="4" w:space="0"/>
              <w:bottom w:val="single" w:color="C9D5E2" w:sz="4" w:space="0"/>
              <w:right w:val="single" w:color="C9D5E2" w:sz="4" w:space="0"/>
            </w:tcBorders>
            <w:shd w:val="clear" w:color="auto" w:fill="F8FAFD"/>
            <w:vAlign w:val="center"/>
          </w:tcPr>
          <w:p w14:paraId="3DD0EB38">
            <w:pPr>
              <w:pStyle w:val="16"/>
              <w:spacing w:before="0" w:after="0"/>
              <w:jc w:val="center"/>
              <w:rPr>
                <w:sz w:val="20"/>
                <w:szCs w:val="20"/>
              </w:rPr>
            </w:pPr>
            <w:r>
              <w:rPr>
                <w:rFonts w:ascii="Times New Roman" w:hAnsi="Times New Roman" w:eastAsia="Times New Roman"/>
                <w:b w:val="0"/>
                <w:color w:val="1D2738"/>
                <w:sz w:val="18"/>
                <w:szCs w:val="20"/>
              </w:rPr>
              <w:t>ACTION_TYPE_ENUM</w:t>
            </w:r>
          </w:p>
        </w:tc>
        <w:tc>
          <w:tcPr>
            <w:tcW w:w="2500" w:type="pct"/>
            <w:tcBorders>
              <w:top w:val="single" w:color="C9D5E2" w:sz="4" w:space="0"/>
              <w:left w:val="single" w:color="C9D5E2" w:sz="4" w:space="0"/>
              <w:bottom w:val="single" w:color="C9D5E2" w:sz="4" w:space="0"/>
              <w:right w:val="single" w:color="C9D5E2" w:sz="4" w:space="0"/>
            </w:tcBorders>
            <w:shd w:val="clear" w:color="auto" w:fill="F8FAFD"/>
            <w:vAlign w:val="center"/>
          </w:tcPr>
          <w:p w14:paraId="0941B139">
            <w:pPr>
              <w:pStyle w:val="16"/>
              <w:spacing w:before="0" w:after="0"/>
              <w:jc w:val="center"/>
              <w:rPr>
                <w:sz w:val="20"/>
                <w:szCs w:val="20"/>
              </w:rPr>
            </w:pPr>
            <w:r>
              <w:rPr>
                <w:rFonts w:ascii="Times New Roman" w:hAnsi="Times New Roman" w:eastAsia="Times New Roman"/>
                <w:b w:val="0"/>
                <w:color w:val="1D2738"/>
                <w:sz w:val="18"/>
                <w:szCs w:val="20"/>
              </w:rPr>
              <w:t>1</w:t>
            </w:r>
          </w:p>
        </w:tc>
      </w:tr>
      <w:tr w14:paraId="32088AEA">
        <w:trPr>
          <w:cantSplit/>
          <w:jc w:val="center"/>
        </w:trPr>
        <w:tc>
          <w:tcPr>
            <w:tcW w:w="2500" w:type="pct"/>
            <w:tcBorders>
              <w:top w:val="single" w:color="C9D5E2" w:sz="4" w:space="0"/>
              <w:left w:val="single" w:color="C9D5E2" w:sz="4" w:space="0"/>
              <w:bottom w:val="single" w:color="C9D5E2" w:sz="4" w:space="0"/>
              <w:right w:val="single" w:color="C9D5E2" w:sz="4" w:space="0"/>
            </w:tcBorders>
            <w:vAlign w:val="center"/>
          </w:tcPr>
          <w:p w14:paraId="620ACB96">
            <w:pPr>
              <w:pStyle w:val="16"/>
              <w:spacing w:before="0" w:after="0"/>
              <w:jc w:val="center"/>
              <w:rPr>
                <w:sz w:val="20"/>
                <w:szCs w:val="20"/>
              </w:rPr>
            </w:pPr>
            <w:r>
              <w:rPr>
                <w:rFonts w:ascii="Times New Roman" w:hAnsi="Times New Roman" w:eastAsia="Times New Roman"/>
                <w:b w:val="0"/>
                <w:color w:val="1D2738"/>
                <w:sz w:val="18"/>
                <w:szCs w:val="20"/>
              </w:rPr>
              <w:t>TIMESTAMP_PARTIAL</w:t>
            </w:r>
          </w:p>
        </w:tc>
        <w:tc>
          <w:tcPr>
            <w:tcW w:w="2500" w:type="pct"/>
            <w:tcBorders>
              <w:top w:val="single" w:color="C9D5E2" w:sz="4" w:space="0"/>
              <w:left w:val="single" w:color="C9D5E2" w:sz="4" w:space="0"/>
              <w:bottom w:val="single" w:color="C9D5E2" w:sz="4" w:space="0"/>
              <w:right w:val="single" w:color="C9D5E2" w:sz="4" w:space="0"/>
            </w:tcBorders>
            <w:vAlign w:val="center"/>
          </w:tcPr>
          <w:p w14:paraId="410C77F2">
            <w:pPr>
              <w:pStyle w:val="16"/>
              <w:spacing w:before="0" w:after="0"/>
              <w:jc w:val="center"/>
              <w:rPr>
                <w:sz w:val="20"/>
                <w:szCs w:val="20"/>
              </w:rPr>
            </w:pPr>
            <w:r>
              <w:rPr>
                <w:rFonts w:ascii="Times New Roman" w:hAnsi="Times New Roman" w:eastAsia="Times New Roman"/>
                <w:b w:val="0"/>
                <w:color w:val="1D2738"/>
                <w:sz w:val="18"/>
                <w:szCs w:val="20"/>
              </w:rPr>
              <w:t>1</w:t>
            </w:r>
          </w:p>
        </w:tc>
      </w:tr>
      <w:tr w14:paraId="6B2AA661">
        <w:trPr>
          <w:cantSplit/>
          <w:jc w:val="center"/>
        </w:trPr>
        <w:tc>
          <w:tcPr>
            <w:tcW w:w="2500" w:type="pct"/>
            <w:tcBorders>
              <w:top w:val="single" w:color="C9D5E2" w:sz="4" w:space="0"/>
              <w:left w:val="single" w:color="C9D5E2" w:sz="4" w:space="0"/>
              <w:bottom w:val="single" w:color="C9D5E2" w:sz="4" w:space="0"/>
              <w:right w:val="single" w:color="C9D5E2" w:sz="4" w:space="0"/>
            </w:tcBorders>
            <w:shd w:val="clear" w:color="auto" w:fill="F8FAFD"/>
            <w:vAlign w:val="center"/>
          </w:tcPr>
          <w:p w14:paraId="65EB1D16">
            <w:pPr>
              <w:pStyle w:val="16"/>
              <w:spacing w:before="0" w:after="0"/>
              <w:jc w:val="center"/>
              <w:rPr>
                <w:sz w:val="20"/>
                <w:szCs w:val="20"/>
              </w:rPr>
            </w:pPr>
            <w:r>
              <w:rPr>
                <w:rFonts w:ascii="Times New Roman" w:hAnsi="Times New Roman" w:eastAsia="Times New Roman"/>
                <w:b w:val="0"/>
                <w:color w:val="1D2738"/>
                <w:sz w:val="18"/>
                <w:szCs w:val="20"/>
              </w:rPr>
              <w:t>CFTC_REQUIRED_FIELD</w:t>
            </w:r>
          </w:p>
        </w:tc>
        <w:tc>
          <w:tcPr>
            <w:tcW w:w="2500" w:type="pct"/>
            <w:tcBorders>
              <w:top w:val="single" w:color="C9D5E2" w:sz="4" w:space="0"/>
              <w:left w:val="single" w:color="C9D5E2" w:sz="4" w:space="0"/>
              <w:bottom w:val="single" w:color="C9D5E2" w:sz="4" w:space="0"/>
              <w:right w:val="single" w:color="C9D5E2" w:sz="4" w:space="0"/>
            </w:tcBorders>
            <w:shd w:val="clear" w:color="auto" w:fill="F8FAFD"/>
            <w:vAlign w:val="center"/>
          </w:tcPr>
          <w:p w14:paraId="54F70F03">
            <w:pPr>
              <w:pStyle w:val="16"/>
              <w:spacing w:before="0" w:after="0"/>
              <w:jc w:val="center"/>
              <w:rPr>
                <w:sz w:val="20"/>
                <w:szCs w:val="20"/>
              </w:rPr>
            </w:pPr>
            <w:r>
              <w:rPr>
                <w:rFonts w:ascii="Times New Roman" w:hAnsi="Times New Roman" w:eastAsia="Times New Roman"/>
                <w:b w:val="0"/>
                <w:color w:val="1D2738"/>
                <w:sz w:val="18"/>
                <w:szCs w:val="20"/>
              </w:rPr>
              <w:t>1</w:t>
            </w:r>
          </w:p>
        </w:tc>
      </w:tr>
    </w:tbl>
    <w:p w14:paraId="460C06A3">
      <w:pPr>
        <w:pStyle w:val="3"/>
        <w:keepNext w:val="0"/>
        <w:keepLines w:val="0"/>
        <w:widowControl w:val="0"/>
        <w:kinsoku/>
        <w:wordWrap w:val="0"/>
        <w:overflowPunct/>
        <w:topLinePunct w:val="0"/>
        <w:autoSpaceDE/>
        <w:autoSpaceDN/>
        <w:bidi w:val="0"/>
        <w:adjustRightInd/>
        <w:snapToGrid/>
        <w:spacing w:before="180" w:after="120" w:line="259" w:lineRule="auto"/>
        <w:ind w:left="0" w:leftChars="0" w:firstLine="0" w:firstLineChars="0"/>
        <w:jc w:val="left"/>
        <w:textAlignment w:val="auto"/>
        <w:rPr>
          <w:rFonts w:hint="default" w:asciiTheme="minorHAnsi" w:hAnsiTheme="minorHAnsi" w:eastAsiaTheme="minorEastAsia" w:cstheme="minorBidi"/>
          <w:b w:val="0"/>
          <w:color w:val="auto"/>
          <w:kern w:val="2"/>
          <w:sz w:val="21"/>
          <w:szCs w:val="24"/>
          <w:lang w:val="en-US" w:eastAsia="zh-CN" w:bidi="ar-SA"/>
        </w:rPr>
      </w:pPr>
      <w:r>
        <w:rPr>
          <w:rFonts w:hint="default" w:asciiTheme="minorHAnsi" w:hAnsiTheme="minorHAnsi" w:eastAsiaTheme="minorEastAsia" w:cstheme="minorBidi"/>
          <w:b w:val="0"/>
          <w:color w:val="1D2738"/>
          <w:kern w:val="2"/>
          <w:sz w:val="22"/>
          <w:szCs w:val="24"/>
          <w:lang w:val="en-US" w:eastAsia="zh-CN" w:bidi="ar-SA"/>
        </w:rPr>
        <w:t>The finding distribution shows that the main hard failures are concentrated in party identifiers, margin reporting, currency validation, and missing product definitions.</w:t>
      </w:r>
    </w:p>
    <w:p w14:paraId="116D17C3">
      <w:pPr>
        <w:pStyle w:val="3"/>
        <w:keepNext w:val="0"/>
        <w:keepLines w:val="0"/>
        <w:widowControl w:val="0"/>
        <w:kinsoku/>
        <w:wordWrap w:val="0"/>
        <w:overflowPunct/>
        <w:topLinePunct w:val="0"/>
        <w:autoSpaceDE/>
        <w:autoSpaceDN/>
        <w:bidi w:val="0"/>
        <w:adjustRightInd/>
        <w:snapToGrid/>
        <w:spacing w:before="180" w:after="120" w:line="259" w:lineRule="auto"/>
        <w:ind w:left="0" w:leftChars="0" w:firstLine="0" w:firstLineChars="0"/>
        <w:jc w:val="left"/>
        <w:textAlignment w:val="auto"/>
        <w:rPr>
          <w:rFonts w:hint="default"/>
          <w:lang w:val="en-US" w:eastAsia="zh-CN"/>
        </w:rPr>
      </w:pPr>
      <w:r>
        <w:rPr>
          <w:rFonts w:hint="default" w:asciiTheme="minorHAnsi" w:hAnsiTheme="minorHAnsi" w:eastAsiaTheme="minorEastAsia" w:cstheme="minorBidi"/>
          <w:b w:val="0"/>
          <w:color w:val="1D2738"/>
          <w:kern w:val="2"/>
          <w:sz w:val="22"/>
          <w:szCs w:val="24"/>
          <w:lang w:val="en-US" w:eastAsia="zh-CN" w:bidi="ar-SA"/>
        </w:rPr>
        <w:t>Scope assessments are tracked separately</w:t>
      </w:r>
      <w:r>
        <w:rPr>
          <w:rFonts w:hint="eastAsia" w:asciiTheme="minorHAnsi" w:hAnsiTheme="minorHAnsi" w:eastAsiaTheme="minorEastAsia" w:cstheme="minorBidi"/>
          <w:b w:val="0"/>
          <w:color w:val="1D2738"/>
          <w:kern w:val="2"/>
          <w:sz w:val="22"/>
          <w:szCs w:val="24"/>
          <w:lang w:val="en-US" w:eastAsia="zh-CN" w:bidi="ar-SA"/>
        </w:rPr>
        <w:t>:</w:t>
      </w:r>
    </w:p>
    <w:p w14:paraId="042AABB6">
      <w:pPr>
        <w:pStyle w:val="15"/>
        <w:keepNext/>
        <w:wordWrap w:val="0"/>
        <w:ind w:left="0" w:leftChars="0" w:firstLine="0" w:firstLineChars="0"/>
        <w:jc w:val="left"/>
        <w:rPr>
          <w:rFonts w:hint="default" w:asciiTheme="minorAscii" w:hAnsiTheme="minorAscii"/>
          <w:color w:val="auto"/>
          <w:lang w:val="en-US"/>
        </w:rPr>
      </w:pPr>
      <w:bookmarkStart w:id="19" w:name="_Toc1416552377"/>
      <w:bookmarkEnd w:id="19"/>
      <w:r>
        <w:rPr>
          <w:rFonts w:ascii="Georgia" w:hAnsi="Georgia" w:eastAsia="Georgia"/>
          <w:b/>
          <w:color w:val="0D2554"/>
          <w:sz w:val="19"/>
        </w:rPr>
        <w:t>Table 7: Event-Contract Scope Assessment Rules</w:t>
      </w:r>
    </w:p>
    <w:tbl>
      <w:tblPr>
        <w:tblStyle w:val="17"/>
        <w:tblW w:w="5000" w:type="pct"/>
        <w:tblInd w:w="0" w:type="dxa"/>
        <w:tblBorders>
          <w:top w:val="single" w:color="D8E1EE" w:sz="4" w:space="0"/>
          <w:left w:val="single" w:color="D8E1EE" w:sz="4" w:space="0"/>
          <w:bottom w:val="single" w:color="D8E1EE" w:sz="4" w:space="0"/>
          <w:right w:val="single" w:color="D8E1EE" w:sz="4" w:space="0"/>
          <w:insideH w:val="single" w:color="D8E1EE" w:sz="4" w:space="0"/>
          <w:insideV w:val="single" w:color="D8E1EE" w:sz="4" w:space="0"/>
        </w:tblBorders>
        <w:tblLayout w:type="autofit"/>
        <w:tblCellMar>
          <w:top w:w="0" w:type="dxa"/>
          <w:left w:w="108" w:type="dxa"/>
          <w:bottom w:w="0" w:type="dxa"/>
          <w:right w:w="108" w:type="dxa"/>
        </w:tblCellMar>
      </w:tblPr>
      <w:tblGrid>
        <w:gridCol w:w="8161"/>
        <w:gridCol w:w="2033"/>
      </w:tblGrid>
      <w:tr w14:paraId="3F96DA41">
        <w:trPr>
          <w:cantSplit/>
          <w:tblHeader/>
        </w:trPr>
        <w:tc>
          <w:tcPr>
            <w:tcW w:w="4003" w:type="pct"/>
            <w:tcBorders>
              <w:top w:val="single" w:color="C9D5E2" w:sz="4" w:space="0"/>
              <w:left w:val="single" w:color="C9D5E2" w:sz="4" w:space="0"/>
              <w:bottom w:val="single" w:color="C9D5E2" w:sz="4" w:space="0"/>
              <w:right w:val="single" w:color="C9D5E2" w:sz="4" w:space="0"/>
              <w:insideH w:val="single" w:sz="0" w:space="0"/>
            </w:tcBorders>
            <w:shd w:val="clear" w:color="auto" w:fill="0D2554"/>
            <w:vAlign w:val="center"/>
          </w:tcPr>
          <w:p w14:paraId="1FD6A485">
            <w:pPr>
              <w:pStyle w:val="16"/>
              <w:spacing w:before="0" w:after="0"/>
              <w:jc w:val="center"/>
              <w:rPr>
                <w:b/>
                <w:bCs/>
                <w:sz w:val="21"/>
                <w:szCs w:val="21"/>
              </w:rPr>
            </w:pPr>
            <w:r>
              <w:rPr>
                <w:rFonts w:ascii="Times New Roman" w:hAnsi="Times New Roman" w:eastAsia="Times New Roman"/>
                <w:b/>
                <w:bCs/>
                <w:color w:val="FFFFFF"/>
                <w:sz w:val="18"/>
                <w:szCs w:val="21"/>
              </w:rPr>
              <w:t>Scope rule</w:t>
            </w:r>
          </w:p>
        </w:tc>
        <w:tc>
          <w:tcPr>
            <w:tcW w:w="997" w:type="pct"/>
            <w:tcBorders>
              <w:top w:val="single" w:color="C9D5E2" w:sz="4" w:space="0"/>
              <w:left w:val="single" w:color="C9D5E2" w:sz="4" w:space="0"/>
              <w:bottom w:val="single" w:color="C9D5E2" w:sz="4" w:space="0"/>
              <w:right w:val="single" w:color="C9D5E2" w:sz="4" w:space="0"/>
              <w:insideH w:val="single" w:sz="0" w:space="0"/>
            </w:tcBorders>
            <w:shd w:val="clear" w:color="auto" w:fill="0D2554"/>
            <w:vAlign w:val="center"/>
          </w:tcPr>
          <w:p w14:paraId="3D5A5832">
            <w:pPr>
              <w:pStyle w:val="16"/>
              <w:spacing w:before="0" w:after="0"/>
              <w:jc w:val="center"/>
              <w:rPr>
                <w:b/>
                <w:bCs/>
                <w:sz w:val="21"/>
                <w:szCs w:val="21"/>
              </w:rPr>
            </w:pPr>
            <w:r>
              <w:rPr>
                <w:rFonts w:ascii="Times New Roman" w:hAnsi="Times New Roman" w:eastAsia="Times New Roman"/>
                <w:b/>
                <w:bCs/>
                <w:color w:val="FFFFFF"/>
                <w:sz w:val="18"/>
                <w:szCs w:val="21"/>
              </w:rPr>
              <w:t>Count</w:t>
            </w:r>
          </w:p>
        </w:tc>
      </w:tr>
      <w:tr w14:paraId="4C430CAA">
        <w:trPr>
          <w:cantSplit/>
        </w:trPr>
        <w:tc>
          <w:tcPr>
            <w:tcW w:w="4003" w:type="pct"/>
            <w:tcBorders>
              <w:top w:val="single" w:color="C9D5E2" w:sz="4" w:space="0"/>
              <w:left w:val="single" w:color="C9D5E2" w:sz="4" w:space="0"/>
              <w:bottom w:val="single" w:color="C9D5E2" w:sz="4" w:space="0"/>
              <w:right w:val="single" w:color="C9D5E2" w:sz="4" w:space="0"/>
            </w:tcBorders>
            <w:vAlign w:val="center"/>
          </w:tcPr>
          <w:p w14:paraId="5A78A4F6">
            <w:pPr>
              <w:pStyle w:val="16"/>
              <w:spacing w:before="0" w:after="0"/>
              <w:jc w:val="center"/>
              <w:rPr>
                <w:sz w:val="20"/>
                <w:szCs w:val="20"/>
              </w:rPr>
            </w:pPr>
            <w:r>
              <w:rPr>
                <w:rFonts w:ascii="Times New Roman" w:hAnsi="Times New Roman" w:eastAsia="Times New Roman"/>
                <w:b w:val="0"/>
                <w:color w:val="1D2738"/>
                <w:sz w:val="18"/>
                <w:szCs w:val="20"/>
              </w:rPr>
              <w:t>EMIR_EVENT_SCOPE</w:t>
            </w:r>
          </w:p>
        </w:tc>
        <w:tc>
          <w:tcPr>
            <w:tcW w:w="997" w:type="pct"/>
            <w:tcBorders>
              <w:top w:val="single" w:color="C9D5E2" w:sz="4" w:space="0"/>
              <w:left w:val="single" w:color="C9D5E2" w:sz="4" w:space="0"/>
              <w:bottom w:val="single" w:color="C9D5E2" w:sz="4" w:space="0"/>
              <w:right w:val="single" w:color="C9D5E2" w:sz="4" w:space="0"/>
            </w:tcBorders>
            <w:vAlign w:val="center"/>
          </w:tcPr>
          <w:p w14:paraId="1762D418">
            <w:pPr>
              <w:pStyle w:val="16"/>
              <w:spacing w:before="0" w:after="0"/>
              <w:jc w:val="center"/>
              <w:rPr>
                <w:sz w:val="20"/>
                <w:szCs w:val="20"/>
              </w:rPr>
            </w:pPr>
            <w:r>
              <w:rPr>
                <w:rFonts w:ascii="Times New Roman" w:hAnsi="Times New Roman" w:eastAsia="Times New Roman"/>
                <w:b w:val="0"/>
                <w:color w:val="1D2738"/>
                <w:sz w:val="18"/>
                <w:szCs w:val="20"/>
              </w:rPr>
              <w:t>3</w:t>
            </w:r>
          </w:p>
        </w:tc>
      </w:tr>
      <w:tr w14:paraId="5CC48D88">
        <w:trPr>
          <w:cantSplit/>
        </w:trPr>
        <w:tc>
          <w:tcPr>
            <w:tcW w:w="4003" w:type="pct"/>
            <w:tcBorders>
              <w:top w:val="single" w:color="C9D5E2" w:sz="4" w:space="0"/>
              <w:left w:val="single" w:color="C9D5E2" w:sz="4" w:space="0"/>
              <w:bottom w:val="single" w:color="C9D5E2" w:sz="4" w:space="0"/>
              <w:right w:val="single" w:color="C9D5E2" w:sz="4" w:space="0"/>
            </w:tcBorders>
            <w:shd w:val="clear" w:color="auto" w:fill="F8FAFD"/>
            <w:vAlign w:val="center"/>
          </w:tcPr>
          <w:p w14:paraId="032D3BFA">
            <w:pPr>
              <w:pStyle w:val="16"/>
              <w:spacing w:before="0" w:after="0"/>
              <w:jc w:val="center"/>
              <w:rPr>
                <w:sz w:val="20"/>
                <w:szCs w:val="20"/>
              </w:rPr>
            </w:pPr>
            <w:r>
              <w:rPr>
                <w:rFonts w:ascii="Times New Roman" w:hAnsi="Times New Roman" w:eastAsia="Times New Roman"/>
                <w:b w:val="0"/>
                <w:color w:val="1D2738"/>
                <w:sz w:val="18"/>
                <w:szCs w:val="20"/>
              </w:rPr>
              <w:t>CFTC_EVENT_CONDITIONAL</w:t>
            </w:r>
          </w:p>
        </w:tc>
        <w:tc>
          <w:tcPr>
            <w:tcW w:w="997" w:type="pct"/>
            <w:tcBorders>
              <w:top w:val="single" w:color="C9D5E2" w:sz="4" w:space="0"/>
              <w:left w:val="single" w:color="C9D5E2" w:sz="4" w:space="0"/>
              <w:bottom w:val="single" w:color="C9D5E2" w:sz="4" w:space="0"/>
              <w:right w:val="single" w:color="C9D5E2" w:sz="4" w:space="0"/>
            </w:tcBorders>
            <w:shd w:val="clear" w:color="auto" w:fill="F8FAFD"/>
            <w:vAlign w:val="center"/>
          </w:tcPr>
          <w:p w14:paraId="273C6532">
            <w:pPr>
              <w:pStyle w:val="16"/>
              <w:spacing w:before="0" w:after="0"/>
              <w:jc w:val="center"/>
              <w:rPr>
                <w:sz w:val="20"/>
                <w:szCs w:val="20"/>
              </w:rPr>
            </w:pPr>
            <w:r>
              <w:rPr>
                <w:rFonts w:ascii="Times New Roman" w:hAnsi="Times New Roman" w:eastAsia="Times New Roman"/>
                <w:b w:val="0"/>
                <w:color w:val="1D2738"/>
                <w:sz w:val="18"/>
                <w:szCs w:val="20"/>
              </w:rPr>
              <w:t>2</w:t>
            </w:r>
          </w:p>
        </w:tc>
      </w:tr>
      <w:tr w14:paraId="0EC85DDE">
        <w:trPr>
          <w:cantSplit/>
        </w:trPr>
        <w:tc>
          <w:tcPr>
            <w:tcW w:w="4003" w:type="pct"/>
            <w:tcBorders>
              <w:top w:val="single" w:color="C9D5E2" w:sz="4" w:space="0"/>
              <w:left w:val="single" w:color="C9D5E2" w:sz="4" w:space="0"/>
              <w:bottom w:val="single" w:color="C9D5E2" w:sz="4" w:space="0"/>
              <w:right w:val="single" w:color="C9D5E2" w:sz="4" w:space="0"/>
            </w:tcBorders>
            <w:vAlign w:val="center"/>
          </w:tcPr>
          <w:p w14:paraId="39CA7CDC">
            <w:pPr>
              <w:pStyle w:val="16"/>
              <w:spacing w:before="0" w:after="0"/>
              <w:jc w:val="center"/>
              <w:rPr>
                <w:sz w:val="20"/>
                <w:szCs w:val="20"/>
              </w:rPr>
            </w:pPr>
            <w:r>
              <w:rPr>
                <w:rFonts w:ascii="Times New Roman" w:hAnsi="Times New Roman" w:eastAsia="Times New Roman"/>
                <w:b w:val="0"/>
                <w:color w:val="1D2738"/>
                <w:sz w:val="18"/>
                <w:szCs w:val="20"/>
              </w:rPr>
              <w:t>CFTC_EVENT_NOT_APPLICABLE</w:t>
            </w:r>
          </w:p>
        </w:tc>
        <w:tc>
          <w:tcPr>
            <w:tcW w:w="997" w:type="pct"/>
            <w:tcBorders>
              <w:top w:val="single" w:color="C9D5E2" w:sz="4" w:space="0"/>
              <w:left w:val="single" w:color="C9D5E2" w:sz="4" w:space="0"/>
              <w:bottom w:val="single" w:color="C9D5E2" w:sz="4" w:space="0"/>
              <w:right w:val="single" w:color="C9D5E2" w:sz="4" w:space="0"/>
            </w:tcBorders>
            <w:vAlign w:val="center"/>
          </w:tcPr>
          <w:p w14:paraId="1F2D7CCC">
            <w:pPr>
              <w:pStyle w:val="16"/>
              <w:spacing w:before="0" w:after="0"/>
              <w:jc w:val="center"/>
              <w:rPr>
                <w:sz w:val="20"/>
                <w:szCs w:val="20"/>
              </w:rPr>
            </w:pPr>
            <w:r>
              <w:rPr>
                <w:rFonts w:ascii="Times New Roman" w:hAnsi="Times New Roman" w:eastAsia="Times New Roman"/>
                <w:b w:val="0"/>
                <w:color w:val="1D2738"/>
                <w:sz w:val="18"/>
                <w:szCs w:val="20"/>
              </w:rPr>
              <w:t>1</w:t>
            </w:r>
          </w:p>
        </w:tc>
      </w:tr>
    </w:tbl>
    <w:p w14:paraId="10B72CDE">
      <w:pPr>
        <w:pStyle w:val="3"/>
        <w:keepNext w:val="0"/>
        <w:keepLines w:val="0"/>
        <w:widowControl w:val="0"/>
        <w:kinsoku/>
        <w:wordWrap w:val="0"/>
        <w:overflowPunct/>
        <w:topLinePunct w:val="0"/>
        <w:autoSpaceDE/>
        <w:autoSpaceDN/>
        <w:bidi w:val="0"/>
        <w:adjustRightInd/>
        <w:snapToGrid/>
        <w:spacing w:before="180" w:after="120" w:line="259" w:lineRule="auto"/>
        <w:ind w:left="0" w:leftChars="0" w:firstLine="0" w:firstLineChars="0"/>
        <w:jc w:val="left"/>
        <w:textAlignment w:val="auto"/>
        <w:rPr>
          <w:rFonts w:hint="default" w:asciiTheme="minorHAnsi" w:hAnsiTheme="minorHAnsi" w:eastAsiaTheme="minorEastAsia" w:cstheme="minorBidi"/>
          <w:b w:val="0"/>
          <w:color w:val="auto"/>
          <w:kern w:val="2"/>
          <w:sz w:val="21"/>
          <w:szCs w:val="24"/>
          <w:lang w:val="en-US" w:eastAsia="zh-CN" w:bidi="ar-SA"/>
        </w:rPr>
      </w:pPr>
      <w:r>
        <w:rPr>
          <w:rFonts w:ascii="Times New Roman" w:hAnsi="Times New Roman" w:eastAsia="Times New Roman"/>
          <w:b w:val="0"/>
          <w:i w:val="0"/>
          <w:color w:val="1D2738"/>
          <w:sz w:val="22"/>
        </w:rPr>
        <w:t>These scope flags relate to T026–T028 and are kept separate because jurisdictional scope is not the same as field-level compliance.</w:t>
      </w:r>
    </w:p>
    <w:p w14:paraId="23FFDA1A">
      <w:pPr>
        <w:pStyle w:val="14"/>
        <w:spacing w:after="120" w:line="259" w:lineRule="auto"/>
        <w:jc w:val="left"/>
      </w:pPr>
      <w:r>
        <w:rPr>
          <w:rFonts w:ascii="Times New Roman" w:hAnsi="Times New Roman" w:eastAsia="Times New Roman"/>
          <w:b w:val="0"/>
          <w:i w:val="0"/>
          <w:color w:val="1D2738"/>
          <w:sz w:val="22"/>
        </w:rPr>
        <w:t>T027 is the clearest split. It remains data-quality non-compliant because it has missing LEIs, missing UTI, USDC settlement, and no product definition, but it is out of scope and not reportable through the ordinary CFTC/EMIR OTC reporting path. T017 illustrates a different hard failure: under the assignment brief, null margin is not equivalent to zero.</w:t>
      </w:r>
    </w:p>
    <w:p w14:paraId="6B0F304B">
      <w:pPr>
        <w:pStyle w:val="3"/>
        <w:keepNext/>
        <w:spacing w:before="0" w:after="120" w:line="259" w:lineRule="auto"/>
        <w:jc w:val="left"/>
      </w:pPr>
      <w:r>
        <w:rPr>
          <w:rFonts w:ascii="Georgia" w:hAnsi="Georgia" w:eastAsia="Georgia"/>
          <w:b/>
          <w:i w:val="0"/>
          <w:color w:val="0D2554"/>
          <w:sz w:val="19"/>
        </w:rPr>
        <w:t>Table 8: Key Trade-Level Findings</w:t>
      </w:r>
    </w:p>
    <w:tbl>
      <w:tblPr>
        <w:tblStyle w:val="10"/>
        <w:tblW w:w="0" w:type="auto"/>
        <w:tblInd w:w="0" w:type="dxa"/>
        <w:tblBorders>
          <w:top w:val="single" w:color="D8E1EE" w:sz="4" w:space="0"/>
          <w:left w:val="single" w:color="D8E1EE" w:sz="4" w:space="0"/>
          <w:bottom w:val="single" w:color="D8E1EE" w:sz="4" w:space="0"/>
          <w:right w:val="single" w:color="D8E1EE" w:sz="4" w:space="0"/>
          <w:insideH w:val="single" w:color="D8E1EE" w:sz="4" w:space="0"/>
          <w:insideV w:val="single" w:color="D8E1EE" w:sz="4" w:space="0"/>
        </w:tblBorders>
        <w:tblLayout w:type="fixed"/>
        <w:tblCellMar>
          <w:top w:w="0" w:type="dxa"/>
          <w:left w:w="108" w:type="dxa"/>
          <w:bottom w:w="0" w:type="dxa"/>
          <w:right w:w="108" w:type="dxa"/>
        </w:tblCellMar>
      </w:tblPr>
      <w:tblGrid>
        <w:gridCol w:w="1996"/>
        <w:gridCol w:w="1996"/>
        <w:gridCol w:w="1996"/>
        <w:gridCol w:w="1996"/>
        <w:gridCol w:w="1996"/>
      </w:tblGrid>
      <w:tr w14:paraId="42F16B5C">
        <w:trPr>
          <w:cantSplit/>
          <w:tblHeader/>
        </w:trPr>
        <w:tc>
          <w:tcPr>
            <w:tcW w:w="648" w:type="dxa"/>
            <w:tcBorders>
              <w:top w:val="single" w:color="C9D5E2" w:sz="4" w:space="0"/>
              <w:left w:val="single" w:color="C9D5E2" w:sz="4" w:space="0"/>
              <w:bottom w:val="single" w:color="C9D5E2" w:sz="4" w:space="0"/>
              <w:right w:val="single" w:color="C9D5E2" w:sz="4" w:space="0"/>
            </w:tcBorders>
            <w:shd w:val="clear" w:color="auto" w:fill="0D2554"/>
            <w:tcMar>
              <w:top w:w="20" w:type="dxa"/>
              <w:left w:w="55" w:type="dxa"/>
              <w:bottom w:w="20" w:type="dxa"/>
              <w:right w:w="55" w:type="dxa"/>
            </w:tcMar>
            <w:vAlign w:val="center"/>
          </w:tcPr>
          <w:p w14:paraId="13BD5FA6">
            <w:pPr>
              <w:spacing w:before="0" w:after="0" w:line="228" w:lineRule="auto"/>
              <w:jc w:val="center"/>
            </w:pPr>
            <w:r>
              <w:rPr>
                <w:rFonts w:ascii="Times New Roman" w:hAnsi="Times New Roman" w:eastAsia="Times New Roman"/>
                <w:b/>
                <w:color w:val="FFFFFF"/>
                <w:sz w:val="18"/>
              </w:rPr>
              <w:t>Trade</w:t>
            </w:r>
          </w:p>
        </w:tc>
        <w:tc>
          <w:tcPr>
            <w:tcW w:w="1987" w:type="dxa"/>
            <w:tcBorders>
              <w:top w:val="single" w:color="C9D5E2" w:sz="4" w:space="0"/>
              <w:left w:val="single" w:color="C9D5E2" w:sz="4" w:space="0"/>
              <w:bottom w:val="single" w:color="C9D5E2" w:sz="4" w:space="0"/>
              <w:right w:val="single" w:color="C9D5E2" w:sz="4" w:space="0"/>
            </w:tcBorders>
            <w:shd w:val="clear" w:color="auto" w:fill="0D2554"/>
            <w:tcMar>
              <w:top w:w="20" w:type="dxa"/>
              <w:left w:w="55" w:type="dxa"/>
              <w:bottom w:w="20" w:type="dxa"/>
              <w:right w:w="55" w:type="dxa"/>
            </w:tcMar>
            <w:vAlign w:val="center"/>
          </w:tcPr>
          <w:p w14:paraId="324B57BC">
            <w:pPr>
              <w:spacing w:before="0" w:after="0" w:line="228" w:lineRule="auto"/>
              <w:jc w:val="center"/>
            </w:pPr>
            <w:r>
              <w:rPr>
                <w:rFonts w:ascii="Times New Roman" w:hAnsi="Times New Roman" w:eastAsia="Times New Roman"/>
                <w:b/>
                <w:color w:val="FFFFFF"/>
                <w:sz w:val="18"/>
              </w:rPr>
              <w:t>Status</w:t>
            </w:r>
          </w:p>
        </w:tc>
        <w:tc>
          <w:tcPr>
            <w:tcW w:w="1037" w:type="dxa"/>
            <w:tcBorders>
              <w:top w:val="single" w:color="C9D5E2" w:sz="4" w:space="0"/>
              <w:left w:val="single" w:color="C9D5E2" w:sz="4" w:space="0"/>
              <w:bottom w:val="single" w:color="C9D5E2" w:sz="4" w:space="0"/>
              <w:right w:val="single" w:color="C9D5E2" w:sz="4" w:space="0"/>
            </w:tcBorders>
            <w:shd w:val="clear" w:color="auto" w:fill="0D2554"/>
            <w:tcMar>
              <w:top w:w="20" w:type="dxa"/>
              <w:left w:w="55" w:type="dxa"/>
              <w:bottom w:w="20" w:type="dxa"/>
              <w:right w:w="55" w:type="dxa"/>
            </w:tcMar>
            <w:vAlign w:val="center"/>
          </w:tcPr>
          <w:p w14:paraId="26CB75D5">
            <w:pPr>
              <w:spacing w:before="0" w:after="0" w:line="228" w:lineRule="auto"/>
              <w:jc w:val="center"/>
            </w:pPr>
            <w:r>
              <w:rPr>
                <w:rFonts w:ascii="Times New Roman" w:hAnsi="Times New Roman" w:eastAsia="Times New Roman"/>
                <w:b/>
                <w:color w:val="FFFFFF"/>
                <w:sz w:val="18"/>
              </w:rPr>
              <w:t>Scope</w:t>
            </w:r>
          </w:p>
        </w:tc>
        <w:tc>
          <w:tcPr>
            <w:tcW w:w="2102" w:type="dxa"/>
            <w:tcBorders>
              <w:top w:val="single" w:color="C9D5E2" w:sz="4" w:space="0"/>
              <w:left w:val="single" w:color="C9D5E2" w:sz="4" w:space="0"/>
              <w:bottom w:val="single" w:color="C9D5E2" w:sz="4" w:space="0"/>
              <w:right w:val="single" w:color="C9D5E2" w:sz="4" w:space="0"/>
            </w:tcBorders>
            <w:shd w:val="clear" w:color="auto" w:fill="0D2554"/>
            <w:tcMar>
              <w:top w:w="20" w:type="dxa"/>
              <w:left w:w="55" w:type="dxa"/>
              <w:bottom w:w="20" w:type="dxa"/>
              <w:right w:w="55" w:type="dxa"/>
            </w:tcMar>
            <w:vAlign w:val="center"/>
          </w:tcPr>
          <w:p w14:paraId="65FF94C0">
            <w:pPr>
              <w:spacing w:before="0" w:after="0" w:line="228" w:lineRule="auto"/>
              <w:jc w:val="center"/>
            </w:pPr>
            <w:r>
              <w:rPr>
                <w:rFonts w:ascii="Times New Roman" w:hAnsi="Times New Roman" w:eastAsia="Times New Roman"/>
                <w:b/>
                <w:color w:val="FFFFFF"/>
                <w:sz w:val="18"/>
              </w:rPr>
              <w:t>Key finding</w:t>
            </w:r>
          </w:p>
        </w:tc>
        <w:tc>
          <w:tcPr>
            <w:tcW w:w="4118" w:type="dxa"/>
            <w:tcBorders>
              <w:top w:val="single" w:color="C9D5E2" w:sz="4" w:space="0"/>
              <w:left w:val="single" w:color="C9D5E2" w:sz="4" w:space="0"/>
              <w:bottom w:val="single" w:color="C9D5E2" w:sz="4" w:space="0"/>
              <w:right w:val="single" w:color="C9D5E2" w:sz="4" w:space="0"/>
            </w:tcBorders>
            <w:shd w:val="clear" w:color="auto" w:fill="0D2554"/>
            <w:tcMar>
              <w:top w:w="20" w:type="dxa"/>
              <w:left w:w="55" w:type="dxa"/>
              <w:bottom w:w="20" w:type="dxa"/>
              <w:right w:w="55" w:type="dxa"/>
            </w:tcMar>
            <w:vAlign w:val="center"/>
          </w:tcPr>
          <w:p w14:paraId="50A07381">
            <w:pPr>
              <w:spacing w:before="0" w:after="0" w:line="228" w:lineRule="auto"/>
              <w:jc w:val="center"/>
            </w:pPr>
            <w:r>
              <w:rPr>
                <w:rFonts w:ascii="Times New Roman" w:hAnsi="Times New Roman" w:eastAsia="Times New Roman"/>
                <w:b/>
                <w:color w:val="FFFFFF"/>
                <w:sz w:val="18"/>
              </w:rPr>
              <w:t>Interpretation</w:t>
            </w:r>
          </w:p>
        </w:tc>
      </w:tr>
      <w:tr w14:paraId="1BF93DE8">
        <w:trPr>
          <w:cantSplit/>
        </w:trPr>
        <w:tc>
          <w:tcPr>
            <w:tcW w:w="648" w:type="dxa"/>
            <w:tcBorders>
              <w:top w:val="single" w:color="C9D5E2" w:sz="4" w:space="0"/>
              <w:left w:val="single" w:color="C9D5E2" w:sz="4" w:space="0"/>
              <w:bottom w:val="single" w:color="C9D5E2" w:sz="4" w:space="0"/>
              <w:right w:val="single" w:color="C9D5E2" w:sz="4" w:space="0"/>
            </w:tcBorders>
            <w:tcMar>
              <w:top w:w="20" w:type="dxa"/>
              <w:left w:w="55" w:type="dxa"/>
              <w:bottom w:w="20" w:type="dxa"/>
              <w:right w:w="55" w:type="dxa"/>
            </w:tcMar>
            <w:vAlign w:val="center"/>
          </w:tcPr>
          <w:p w14:paraId="6C235C0A">
            <w:pPr>
              <w:spacing w:before="0" w:after="0" w:line="228" w:lineRule="auto"/>
              <w:jc w:val="center"/>
            </w:pPr>
            <w:r>
              <w:rPr>
                <w:rFonts w:ascii="Times New Roman" w:hAnsi="Times New Roman" w:eastAsia="Times New Roman"/>
                <w:b w:val="0"/>
                <w:color w:val="1D2738"/>
                <w:sz w:val="18"/>
              </w:rPr>
              <w:t>T005</w:t>
            </w:r>
          </w:p>
        </w:tc>
        <w:tc>
          <w:tcPr>
            <w:tcW w:w="1987" w:type="dxa"/>
            <w:tcBorders>
              <w:top w:val="single" w:color="C9D5E2" w:sz="4" w:space="0"/>
              <w:left w:val="single" w:color="C9D5E2" w:sz="4" w:space="0"/>
              <w:bottom w:val="single" w:color="C9D5E2" w:sz="4" w:space="0"/>
              <w:right w:val="single" w:color="C9D5E2" w:sz="4" w:space="0"/>
            </w:tcBorders>
            <w:tcMar>
              <w:top w:w="20" w:type="dxa"/>
              <w:left w:w="55" w:type="dxa"/>
              <w:bottom w:w="20" w:type="dxa"/>
              <w:right w:w="55" w:type="dxa"/>
            </w:tcMar>
            <w:vAlign w:val="center"/>
          </w:tcPr>
          <w:p w14:paraId="185037C9">
            <w:pPr>
              <w:spacing w:before="0" w:after="0" w:line="228" w:lineRule="auto"/>
            </w:pPr>
            <w:r>
              <w:rPr>
                <w:rFonts w:ascii="Times New Roman" w:hAnsi="Times New Roman" w:eastAsia="Times New Roman"/>
                <w:b/>
                <w:color w:val="1D2738"/>
                <w:sz w:val="18"/>
              </w:rPr>
              <w:t>Warning / Conventional</w:t>
            </w:r>
          </w:p>
        </w:tc>
        <w:tc>
          <w:tcPr>
            <w:tcW w:w="1037" w:type="dxa"/>
            <w:tcBorders>
              <w:top w:val="single" w:color="C9D5E2" w:sz="4" w:space="0"/>
              <w:left w:val="single" w:color="C9D5E2" w:sz="4" w:space="0"/>
              <w:bottom w:val="single" w:color="C9D5E2" w:sz="4" w:space="0"/>
              <w:right w:val="single" w:color="C9D5E2" w:sz="4" w:space="0"/>
            </w:tcBorders>
            <w:tcMar>
              <w:top w:w="20" w:type="dxa"/>
              <w:left w:w="55" w:type="dxa"/>
              <w:bottom w:w="20" w:type="dxa"/>
              <w:right w:w="55" w:type="dxa"/>
            </w:tcMar>
            <w:vAlign w:val="center"/>
          </w:tcPr>
          <w:p w14:paraId="27940AD1">
            <w:pPr>
              <w:spacing w:before="0" w:after="0" w:line="228" w:lineRule="auto"/>
            </w:pPr>
            <w:r>
              <w:rPr>
                <w:rFonts w:ascii="Times New Roman" w:hAnsi="Times New Roman" w:eastAsia="Times New Roman"/>
                <w:b w:val="0"/>
                <w:color w:val="1D2738"/>
                <w:sz w:val="18"/>
              </w:rPr>
              <w:t>In scope</w:t>
            </w:r>
          </w:p>
        </w:tc>
        <w:tc>
          <w:tcPr>
            <w:tcW w:w="2102" w:type="dxa"/>
            <w:tcBorders>
              <w:top w:val="single" w:color="C9D5E2" w:sz="4" w:space="0"/>
              <w:left w:val="single" w:color="C9D5E2" w:sz="4" w:space="0"/>
              <w:bottom w:val="single" w:color="C9D5E2" w:sz="4" w:space="0"/>
              <w:right w:val="single" w:color="C9D5E2" w:sz="4" w:space="0"/>
            </w:tcBorders>
            <w:tcMar>
              <w:top w:w="20" w:type="dxa"/>
              <w:left w:w="55" w:type="dxa"/>
              <w:bottom w:w="20" w:type="dxa"/>
              <w:right w:w="55" w:type="dxa"/>
            </w:tcMar>
            <w:vAlign w:val="center"/>
          </w:tcPr>
          <w:p w14:paraId="63885A2E">
            <w:pPr>
              <w:spacing w:before="0" w:after="0" w:line="228" w:lineRule="auto"/>
            </w:pPr>
            <w:r>
              <w:rPr>
                <w:rFonts w:ascii="Times New Roman" w:hAnsi="Times New Roman" w:eastAsia="Times New Roman"/>
                <w:b w:val="0"/>
                <w:color w:val="1D2738"/>
                <w:sz w:val="18"/>
              </w:rPr>
              <w:t>LIBOR warning</w:t>
            </w:r>
          </w:p>
        </w:tc>
        <w:tc>
          <w:tcPr>
            <w:tcW w:w="4118" w:type="dxa"/>
            <w:tcBorders>
              <w:top w:val="single" w:color="C9D5E2" w:sz="4" w:space="0"/>
              <w:left w:val="single" w:color="C9D5E2" w:sz="4" w:space="0"/>
              <w:bottom w:val="single" w:color="C9D5E2" w:sz="4" w:space="0"/>
              <w:right w:val="single" w:color="C9D5E2" w:sz="4" w:space="0"/>
            </w:tcBorders>
            <w:tcMar>
              <w:top w:w="20" w:type="dxa"/>
              <w:left w:w="55" w:type="dxa"/>
              <w:bottom w:w="20" w:type="dxa"/>
              <w:right w:w="55" w:type="dxa"/>
            </w:tcMar>
            <w:vAlign w:val="center"/>
          </w:tcPr>
          <w:p w14:paraId="6A2CE60A">
            <w:pPr>
              <w:spacing w:before="0" w:after="0" w:line="228" w:lineRule="auto"/>
            </w:pPr>
            <w:r>
              <w:rPr>
                <w:rFonts w:ascii="Times New Roman" w:hAnsi="Times New Roman" w:eastAsia="Times New Roman"/>
                <w:b w:val="0"/>
                <w:color w:val="1D2738"/>
                <w:sz w:val="18"/>
              </w:rPr>
              <w:t>Legacy benchmark warning, not a hard failure.</w:t>
            </w:r>
          </w:p>
        </w:tc>
      </w:tr>
      <w:tr w14:paraId="277A7B7B">
        <w:trPr>
          <w:cantSplit/>
        </w:trPr>
        <w:tc>
          <w:tcPr>
            <w:tcW w:w="648" w:type="dxa"/>
            <w:tcBorders>
              <w:top w:val="single" w:color="C9D5E2" w:sz="4" w:space="0"/>
              <w:left w:val="single" w:color="C9D5E2" w:sz="4" w:space="0"/>
              <w:bottom w:val="single" w:color="C9D5E2" w:sz="4" w:space="0"/>
              <w:right w:val="single" w:color="C9D5E2" w:sz="4" w:space="0"/>
            </w:tcBorders>
            <w:shd w:val="clear" w:color="auto" w:fill="F8FAFD"/>
            <w:tcMar>
              <w:top w:w="20" w:type="dxa"/>
              <w:left w:w="55" w:type="dxa"/>
              <w:bottom w:w="20" w:type="dxa"/>
              <w:right w:w="55" w:type="dxa"/>
            </w:tcMar>
            <w:vAlign w:val="center"/>
          </w:tcPr>
          <w:p w14:paraId="4AC85794">
            <w:pPr>
              <w:spacing w:before="0" w:after="0" w:line="228" w:lineRule="auto"/>
              <w:jc w:val="center"/>
            </w:pPr>
            <w:r>
              <w:rPr>
                <w:rFonts w:ascii="Times New Roman" w:hAnsi="Times New Roman" w:eastAsia="Times New Roman"/>
                <w:b w:val="0"/>
                <w:color w:val="1D2738"/>
                <w:sz w:val="18"/>
              </w:rPr>
              <w:t>T008</w:t>
            </w:r>
          </w:p>
        </w:tc>
        <w:tc>
          <w:tcPr>
            <w:tcW w:w="1987" w:type="dxa"/>
            <w:tcBorders>
              <w:top w:val="single" w:color="C9D5E2" w:sz="4" w:space="0"/>
              <w:left w:val="single" w:color="C9D5E2" w:sz="4" w:space="0"/>
              <w:bottom w:val="single" w:color="C9D5E2" w:sz="4" w:space="0"/>
              <w:right w:val="single" w:color="C9D5E2" w:sz="4" w:space="0"/>
            </w:tcBorders>
            <w:shd w:val="clear" w:color="auto" w:fill="F8FAFD"/>
            <w:tcMar>
              <w:top w:w="20" w:type="dxa"/>
              <w:left w:w="55" w:type="dxa"/>
              <w:bottom w:w="20" w:type="dxa"/>
              <w:right w:w="55" w:type="dxa"/>
            </w:tcMar>
            <w:vAlign w:val="center"/>
          </w:tcPr>
          <w:p w14:paraId="6CA3329F">
            <w:pPr>
              <w:spacing w:before="0" w:after="0" w:line="228" w:lineRule="auto"/>
            </w:pPr>
            <w:r>
              <w:rPr>
                <w:rFonts w:ascii="Times New Roman" w:hAnsi="Times New Roman" w:eastAsia="Times New Roman"/>
                <w:b/>
                <w:color w:val="1D2738"/>
                <w:sz w:val="18"/>
              </w:rPr>
              <w:t>Non-compliant / Conventional</w:t>
            </w:r>
          </w:p>
        </w:tc>
        <w:tc>
          <w:tcPr>
            <w:tcW w:w="1037" w:type="dxa"/>
            <w:tcBorders>
              <w:top w:val="single" w:color="C9D5E2" w:sz="4" w:space="0"/>
              <w:left w:val="single" w:color="C9D5E2" w:sz="4" w:space="0"/>
              <w:bottom w:val="single" w:color="C9D5E2" w:sz="4" w:space="0"/>
              <w:right w:val="single" w:color="C9D5E2" w:sz="4" w:space="0"/>
            </w:tcBorders>
            <w:shd w:val="clear" w:color="auto" w:fill="F8FAFD"/>
            <w:tcMar>
              <w:top w:w="20" w:type="dxa"/>
              <w:left w:w="55" w:type="dxa"/>
              <w:bottom w:w="20" w:type="dxa"/>
              <w:right w:w="55" w:type="dxa"/>
            </w:tcMar>
            <w:vAlign w:val="center"/>
          </w:tcPr>
          <w:p w14:paraId="4159E8B6">
            <w:pPr>
              <w:spacing w:before="0" w:after="0" w:line="228" w:lineRule="auto"/>
            </w:pPr>
            <w:r>
              <w:rPr>
                <w:rFonts w:ascii="Times New Roman" w:hAnsi="Times New Roman" w:eastAsia="Times New Roman"/>
                <w:b w:val="0"/>
                <w:color w:val="1D2738"/>
                <w:sz w:val="18"/>
              </w:rPr>
              <w:t>In scope</w:t>
            </w:r>
          </w:p>
        </w:tc>
        <w:tc>
          <w:tcPr>
            <w:tcW w:w="2102" w:type="dxa"/>
            <w:tcBorders>
              <w:top w:val="single" w:color="C9D5E2" w:sz="4" w:space="0"/>
              <w:left w:val="single" w:color="C9D5E2" w:sz="4" w:space="0"/>
              <w:bottom w:val="single" w:color="C9D5E2" w:sz="4" w:space="0"/>
              <w:right w:val="single" w:color="C9D5E2" w:sz="4" w:space="0"/>
            </w:tcBorders>
            <w:shd w:val="clear" w:color="auto" w:fill="F8FAFD"/>
            <w:tcMar>
              <w:top w:w="20" w:type="dxa"/>
              <w:left w:w="55" w:type="dxa"/>
              <w:bottom w:w="20" w:type="dxa"/>
              <w:right w:w="55" w:type="dxa"/>
            </w:tcMar>
            <w:vAlign w:val="center"/>
          </w:tcPr>
          <w:p w14:paraId="4ECA95DF">
            <w:pPr>
              <w:spacing w:before="0" w:after="0" w:line="228" w:lineRule="auto"/>
            </w:pPr>
            <w:r>
              <w:rPr>
                <w:rFonts w:ascii="Times New Roman" w:hAnsi="Times New Roman" w:eastAsia="Times New Roman"/>
                <w:b w:val="0"/>
                <w:color w:val="1D2738"/>
                <w:sz w:val="18"/>
              </w:rPr>
              <w:t>Invalid LEI</w:t>
            </w:r>
          </w:p>
        </w:tc>
        <w:tc>
          <w:tcPr>
            <w:tcW w:w="4118" w:type="dxa"/>
            <w:tcBorders>
              <w:top w:val="single" w:color="C9D5E2" w:sz="4" w:space="0"/>
              <w:left w:val="single" w:color="C9D5E2" w:sz="4" w:space="0"/>
              <w:bottom w:val="single" w:color="C9D5E2" w:sz="4" w:space="0"/>
              <w:right w:val="single" w:color="C9D5E2" w:sz="4" w:space="0"/>
            </w:tcBorders>
            <w:shd w:val="clear" w:color="auto" w:fill="F8FAFD"/>
            <w:tcMar>
              <w:top w:w="20" w:type="dxa"/>
              <w:left w:w="55" w:type="dxa"/>
              <w:bottom w:w="20" w:type="dxa"/>
              <w:right w:w="55" w:type="dxa"/>
            </w:tcMar>
            <w:vAlign w:val="center"/>
          </w:tcPr>
          <w:p w14:paraId="33C7D428">
            <w:pPr>
              <w:spacing w:before="0" w:after="0" w:line="228" w:lineRule="auto"/>
            </w:pPr>
            <w:r>
              <w:rPr>
                <w:rFonts w:ascii="Times New Roman" w:hAnsi="Times New Roman" w:eastAsia="Times New Roman"/>
                <w:b w:val="0"/>
                <w:color w:val="1D2738"/>
                <w:sz w:val="18"/>
              </w:rPr>
              <w:t>LEI check digit failure.</w:t>
            </w:r>
          </w:p>
        </w:tc>
      </w:tr>
      <w:tr w14:paraId="1FEA7543">
        <w:trPr>
          <w:cantSplit/>
        </w:trPr>
        <w:tc>
          <w:tcPr>
            <w:tcW w:w="648" w:type="dxa"/>
            <w:tcBorders>
              <w:top w:val="single" w:color="C9D5E2" w:sz="4" w:space="0"/>
              <w:left w:val="single" w:color="C9D5E2" w:sz="4" w:space="0"/>
              <w:bottom w:val="single" w:color="C9D5E2" w:sz="4" w:space="0"/>
              <w:right w:val="single" w:color="C9D5E2" w:sz="4" w:space="0"/>
            </w:tcBorders>
            <w:tcMar>
              <w:top w:w="20" w:type="dxa"/>
              <w:left w:w="55" w:type="dxa"/>
              <w:bottom w:w="20" w:type="dxa"/>
              <w:right w:w="55" w:type="dxa"/>
            </w:tcMar>
            <w:vAlign w:val="center"/>
          </w:tcPr>
          <w:p w14:paraId="4E97230B">
            <w:pPr>
              <w:spacing w:before="0" w:after="0" w:line="228" w:lineRule="auto"/>
              <w:jc w:val="center"/>
            </w:pPr>
            <w:r>
              <w:rPr>
                <w:rFonts w:ascii="Times New Roman" w:hAnsi="Times New Roman" w:eastAsia="Times New Roman"/>
                <w:b w:val="0"/>
                <w:color w:val="1D2738"/>
                <w:sz w:val="18"/>
              </w:rPr>
              <w:t>T013</w:t>
            </w:r>
          </w:p>
        </w:tc>
        <w:tc>
          <w:tcPr>
            <w:tcW w:w="1987" w:type="dxa"/>
            <w:tcBorders>
              <w:top w:val="single" w:color="C9D5E2" w:sz="4" w:space="0"/>
              <w:left w:val="single" w:color="C9D5E2" w:sz="4" w:space="0"/>
              <w:bottom w:val="single" w:color="C9D5E2" w:sz="4" w:space="0"/>
              <w:right w:val="single" w:color="C9D5E2" w:sz="4" w:space="0"/>
            </w:tcBorders>
            <w:tcMar>
              <w:top w:w="20" w:type="dxa"/>
              <w:left w:w="55" w:type="dxa"/>
              <w:bottom w:w="20" w:type="dxa"/>
              <w:right w:w="55" w:type="dxa"/>
            </w:tcMar>
            <w:vAlign w:val="center"/>
          </w:tcPr>
          <w:p w14:paraId="46D3DAEF">
            <w:pPr>
              <w:spacing w:before="0" w:after="0" w:line="228" w:lineRule="auto"/>
            </w:pPr>
            <w:r>
              <w:rPr>
                <w:rFonts w:ascii="Times New Roman" w:hAnsi="Times New Roman" w:eastAsia="Times New Roman"/>
                <w:b/>
                <w:color w:val="1D2738"/>
                <w:sz w:val="18"/>
              </w:rPr>
              <w:t>Warning / Conventional</w:t>
            </w:r>
          </w:p>
        </w:tc>
        <w:tc>
          <w:tcPr>
            <w:tcW w:w="1037" w:type="dxa"/>
            <w:tcBorders>
              <w:top w:val="single" w:color="C9D5E2" w:sz="4" w:space="0"/>
              <w:left w:val="single" w:color="C9D5E2" w:sz="4" w:space="0"/>
              <w:bottom w:val="single" w:color="C9D5E2" w:sz="4" w:space="0"/>
              <w:right w:val="single" w:color="C9D5E2" w:sz="4" w:space="0"/>
            </w:tcBorders>
            <w:tcMar>
              <w:top w:w="20" w:type="dxa"/>
              <w:left w:w="55" w:type="dxa"/>
              <w:bottom w:w="20" w:type="dxa"/>
              <w:right w:w="55" w:type="dxa"/>
            </w:tcMar>
            <w:vAlign w:val="center"/>
          </w:tcPr>
          <w:p w14:paraId="01FFAD3F">
            <w:pPr>
              <w:spacing w:before="0" w:after="0" w:line="228" w:lineRule="auto"/>
            </w:pPr>
            <w:r>
              <w:rPr>
                <w:rFonts w:ascii="Times New Roman" w:hAnsi="Times New Roman" w:eastAsia="Times New Roman"/>
                <w:b w:val="0"/>
                <w:color w:val="1D2738"/>
                <w:sz w:val="18"/>
              </w:rPr>
              <w:t>In scope</w:t>
            </w:r>
          </w:p>
        </w:tc>
        <w:tc>
          <w:tcPr>
            <w:tcW w:w="2102" w:type="dxa"/>
            <w:tcBorders>
              <w:top w:val="single" w:color="C9D5E2" w:sz="4" w:space="0"/>
              <w:left w:val="single" w:color="C9D5E2" w:sz="4" w:space="0"/>
              <w:bottom w:val="single" w:color="C9D5E2" w:sz="4" w:space="0"/>
              <w:right w:val="single" w:color="C9D5E2" w:sz="4" w:space="0"/>
            </w:tcBorders>
            <w:tcMar>
              <w:top w:w="20" w:type="dxa"/>
              <w:left w:w="55" w:type="dxa"/>
              <w:bottom w:w="20" w:type="dxa"/>
              <w:right w:w="55" w:type="dxa"/>
            </w:tcMar>
            <w:vAlign w:val="center"/>
          </w:tcPr>
          <w:p w14:paraId="4EBEFD2F">
            <w:pPr>
              <w:spacing w:before="0" w:after="0" w:line="228" w:lineRule="auto"/>
            </w:pPr>
            <w:r>
              <w:rPr>
                <w:rFonts w:ascii="Times New Roman" w:hAnsi="Times New Roman" w:eastAsia="Times New Roman"/>
                <w:b w:val="0"/>
                <w:color w:val="1D2738"/>
                <w:sz w:val="18"/>
              </w:rPr>
              <w:t>Partial timestamp</w:t>
            </w:r>
          </w:p>
        </w:tc>
        <w:tc>
          <w:tcPr>
            <w:tcW w:w="4118" w:type="dxa"/>
            <w:tcBorders>
              <w:top w:val="single" w:color="C9D5E2" w:sz="4" w:space="0"/>
              <w:left w:val="single" w:color="C9D5E2" w:sz="4" w:space="0"/>
              <w:bottom w:val="single" w:color="C9D5E2" w:sz="4" w:space="0"/>
              <w:right w:val="single" w:color="C9D5E2" w:sz="4" w:space="0"/>
            </w:tcBorders>
            <w:tcMar>
              <w:top w:w="20" w:type="dxa"/>
              <w:left w:w="55" w:type="dxa"/>
              <w:bottom w:w="20" w:type="dxa"/>
              <w:right w:w="55" w:type="dxa"/>
            </w:tcMar>
            <w:vAlign w:val="center"/>
          </w:tcPr>
          <w:p w14:paraId="38BC986A">
            <w:pPr>
              <w:spacing w:before="0" w:after="0" w:line="228" w:lineRule="auto"/>
            </w:pPr>
            <w:r>
              <w:rPr>
                <w:rFonts w:ascii="Times New Roman" w:hAnsi="Times New Roman" w:eastAsia="Times New Roman"/>
                <w:b w:val="0"/>
                <w:color w:val="1D2738"/>
                <w:sz w:val="18"/>
              </w:rPr>
              <w:t>Date-only timestamp; identifiable but not fully ISO 8601 UTC compliant.</w:t>
            </w:r>
          </w:p>
        </w:tc>
      </w:tr>
      <w:tr w14:paraId="384FEAB0">
        <w:trPr>
          <w:cantSplit/>
        </w:trPr>
        <w:tc>
          <w:tcPr>
            <w:tcW w:w="648" w:type="dxa"/>
            <w:tcBorders>
              <w:top w:val="single" w:color="C9D5E2" w:sz="4" w:space="0"/>
              <w:left w:val="single" w:color="C9D5E2" w:sz="4" w:space="0"/>
              <w:bottom w:val="single" w:color="C9D5E2" w:sz="4" w:space="0"/>
              <w:right w:val="single" w:color="C9D5E2" w:sz="4" w:space="0"/>
            </w:tcBorders>
            <w:shd w:val="clear" w:color="auto" w:fill="F8FAFD"/>
            <w:tcMar>
              <w:top w:w="20" w:type="dxa"/>
              <w:left w:w="55" w:type="dxa"/>
              <w:bottom w:w="20" w:type="dxa"/>
              <w:right w:w="55" w:type="dxa"/>
            </w:tcMar>
            <w:vAlign w:val="center"/>
          </w:tcPr>
          <w:p w14:paraId="4F5077FB">
            <w:pPr>
              <w:spacing w:before="0" w:after="0" w:line="228" w:lineRule="auto"/>
              <w:jc w:val="center"/>
            </w:pPr>
            <w:r>
              <w:rPr>
                <w:rFonts w:ascii="Times New Roman" w:hAnsi="Times New Roman" w:eastAsia="Times New Roman"/>
                <w:b w:val="0"/>
                <w:color w:val="1D2738"/>
                <w:sz w:val="18"/>
              </w:rPr>
              <w:t>T017</w:t>
            </w:r>
          </w:p>
        </w:tc>
        <w:tc>
          <w:tcPr>
            <w:tcW w:w="1987" w:type="dxa"/>
            <w:tcBorders>
              <w:top w:val="single" w:color="C9D5E2" w:sz="4" w:space="0"/>
              <w:left w:val="single" w:color="C9D5E2" w:sz="4" w:space="0"/>
              <w:bottom w:val="single" w:color="C9D5E2" w:sz="4" w:space="0"/>
              <w:right w:val="single" w:color="C9D5E2" w:sz="4" w:space="0"/>
            </w:tcBorders>
            <w:shd w:val="clear" w:color="auto" w:fill="F8FAFD"/>
            <w:tcMar>
              <w:top w:w="20" w:type="dxa"/>
              <w:left w:w="55" w:type="dxa"/>
              <w:bottom w:w="20" w:type="dxa"/>
              <w:right w:w="55" w:type="dxa"/>
            </w:tcMar>
            <w:vAlign w:val="center"/>
          </w:tcPr>
          <w:p w14:paraId="295AF4C7">
            <w:pPr>
              <w:spacing w:before="0" w:after="0" w:line="228" w:lineRule="auto"/>
            </w:pPr>
            <w:r>
              <w:rPr>
                <w:rFonts w:ascii="Times New Roman" w:hAnsi="Times New Roman" w:eastAsia="Times New Roman"/>
                <w:b/>
                <w:color w:val="1D2738"/>
                <w:sz w:val="18"/>
              </w:rPr>
              <w:t>Non-compliant / Conventional</w:t>
            </w:r>
          </w:p>
        </w:tc>
        <w:tc>
          <w:tcPr>
            <w:tcW w:w="1037" w:type="dxa"/>
            <w:tcBorders>
              <w:top w:val="single" w:color="C9D5E2" w:sz="4" w:space="0"/>
              <w:left w:val="single" w:color="C9D5E2" w:sz="4" w:space="0"/>
              <w:bottom w:val="single" w:color="C9D5E2" w:sz="4" w:space="0"/>
              <w:right w:val="single" w:color="C9D5E2" w:sz="4" w:space="0"/>
            </w:tcBorders>
            <w:shd w:val="clear" w:color="auto" w:fill="F8FAFD"/>
            <w:tcMar>
              <w:top w:w="20" w:type="dxa"/>
              <w:left w:w="55" w:type="dxa"/>
              <w:bottom w:w="20" w:type="dxa"/>
              <w:right w:w="55" w:type="dxa"/>
            </w:tcMar>
            <w:vAlign w:val="center"/>
          </w:tcPr>
          <w:p w14:paraId="4E0D9144">
            <w:pPr>
              <w:spacing w:before="0" w:after="0" w:line="228" w:lineRule="auto"/>
            </w:pPr>
            <w:r>
              <w:rPr>
                <w:rFonts w:ascii="Times New Roman" w:hAnsi="Times New Roman" w:eastAsia="Times New Roman"/>
                <w:b w:val="0"/>
                <w:color w:val="1D2738"/>
                <w:sz w:val="18"/>
              </w:rPr>
              <w:t>In scope</w:t>
            </w:r>
          </w:p>
        </w:tc>
        <w:tc>
          <w:tcPr>
            <w:tcW w:w="2102" w:type="dxa"/>
            <w:tcBorders>
              <w:top w:val="single" w:color="C9D5E2" w:sz="4" w:space="0"/>
              <w:left w:val="single" w:color="C9D5E2" w:sz="4" w:space="0"/>
              <w:bottom w:val="single" w:color="C9D5E2" w:sz="4" w:space="0"/>
              <w:right w:val="single" w:color="C9D5E2" w:sz="4" w:space="0"/>
            </w:tcBorders>
            <w:shd w:val="clear" w:color="auto" w:fill="F8FAFD"/>
            <w:tcMar>
              <w:top w:w="20" w:type="dxa"/>
              <w:left w:w="55" w:type="dxa"/>
              <w:bottom w:w="20" w:type="dxa"/>
              <w:right w:w="55" w:type="dxa"/>
            </w:tcMar>
            <w:vAlign w:val="center"/>
          </w:tcPr>
          <w:p w14:paraId="26805717">
            <w:pPr>
              <w:spacing w:before="0" w:after="0" w:line="228" w:lineRule="auto"/>
            </w:pPr>
            <w:r>
              <w:rPr>
                <w:rFonts w:ascii="Times New Roman" w:hAnsi="Times New Roman" w:eastAsia="Times New Roman"/>
                <w:b w:val="0"/>
                <w:color w:val="1D2738"/>
                <w:sz w:val="18"/>
              </w:rPr>
              <w:t>Null margin</w:t>
            </w:r>
          </w:p>
        </w:tc>
        <w:tc>
          <w:tcPr>
            <w:tcW w:w="4118" w:type="dxa"/>
            <w:tcBorders>
              <w:top w:val="single" w:color="C9D5E2" w:sz="4" w:space="0"/>
              <w:left w:val="single" w:color="C9D5E2" w:sz="4" w:space="0"/>
              <w:bottom w:val="single" w:color="C9D5E2" w:sz="4" w:space="0"/>
              <w:right w:val="single" w:color="C9D5E2" w:sz="4" w:space="0"/>
            </w:tcBorders>
            <w:shd w:val="clear" w:color="auto" w:fill="F8FAFD"/>
            <w:tcMar>
              <w:top w:w="20" w:type="dxa"/>
              <w:left w:w="55" w:type="dxa"/>
              <w:bottom w:w="20" w:type="dxa"/>
              <w:right w:w="55" w:type="dxa"/>
            </w:tcMar>
            <w:vAlign w:val="center"/>
          </w:tcPr>
          <w:p w14:paraId="42A2F82E">
            <w:pPr>
              <w:spacing w:before="0" w:after="0" w:line="228" w:lineRule="auto"/>
            </w:pPr>
            <w:r>
              <w:rPr>
                <w:rFonts w:ascii="Times New Roman" w:hAnsi="Times New Roman" w:eastAsia="Times New Roman"/>
                <w:b w:val="0"/>
                <w:color w:val="1D2738"/>
                <w:sz w:val="18"/>
              </w:rPr>
              <w:t>Null is not equivalent to zero under EMIR margin fields.</w:t>
            </w:r>
          </w:p>
        </w:tc>
      </w:tr>
      <w:tr w14:paraId="38FEA766">
        <w:trPr>
          <w:cantSplit/>
        </w:trPr>
        <w:tc>
          <w:tcPr>
            <w:tcW w:w="648" w:type="dxa"/>
            <w:tcBorders>
              <w:top w:val="single" w:color="C9D5E2" w:sz="4" w:space="0"/>
              <w:left w:val="single" w:color="C9D5E2" w:sz="4" w:space="0"/>
              <w:bottom w:val="single" w:color="C9D5E2" w:sz="4" w:space="0"/>
              <w:right w:val="single" w:color="C9D5E2" w:sz="4" w:space="0"/>
            </w:tcBorders>
            <w:tcMar>
              <w:top w:w="20" w:type="dxa"/>
              <w:left w:w="55" w:type="dxa"/>
              <w:bottom w:w="20" w:type="dxa"/>
              <w:right w:w="55" w:type="dxa"/>
            </w:tcMar>
            <w:vAlign w:val="center"/>
          </w:tcPr>
          <w:p w14:paraId="54BB0192">
            <w:pPr>
              <w:spacing w:before="0" w:after="0" w:line="228" w:lineRule="auto"/>
              <w:jc w:val="center"/>
            </w:pPr>
            <w:r>
              <w:rPr>
                <w:rFonts w:ascii="Times New Roman" w:hAnsi="Times New Roman" w:eastAsia="Times New Roman"/>
                <w:b w:val="0"/>
                <w:color w:val="1D2738"/>
                <w:sz w:val="18"/>
              </w:rPr>
              <w:t>T018</w:t>
            </w:r>
          </w:p>
        </w:tc>
        <w:tc>
          <w:tcPr>
            <w:tcW w:w="1987" w:type="dxa"/>
            <w:tcBorders>
              <w:top w:val="single" w:color="C9D5E2" w:sz="4" w:space="0"/>
              <w:left w:val="single" w:color="C9D5E2" w:sz="4" w:space="0"/>
              <w:bottom w:val="single" w:color="C9D5E2" w:sz="4" w:space="0"/>
              <w:right w:val="single" w:color="C9D5E2" w:sz="4" w:space="0"/>
            </w:tcBorders>
            <w:tcMar>
              <w:top w:w="20" w:type="dxa"/>
              <w:left w:w="55" w:type="dxa"/>
              <w:bottom w:w="20" w:type="dxa"/>
              <w:right w:w="55" w:type="dxa"/>
            </w:tcMar>
            <w:vAlign w:val="center"/>
          </w:tcPr>
          <w:p w14:paraId="464F31ED">
            <w:pPr>
              <w:spacing w:before="0" w:after="0" w:line="228" w:lineRule="auto"/>
            </w:pPr>
            <w:r>
              <w:rPr>
                <w:rFonts w:ascii="Times New Roman" w:hAnsi="Times New Roman" w:eastAsia="Times New Roman"/>
                <w:b/>
                <w:color w:val="1D2738"/>
                <w:sz w:val="18"/>
              </w:rPr>
              <w:t>Non-compliant / Conventional</w:t>
            </w:r>
          </w:p>
        </w:tc>
        <w:tc>
          <w:tcPr>
            <w:tcW w:w="1037" w:type="dxa"/>
            <w:tcBorders>
              <w:top w:val="single" w:color="C9D5E2" w:sz="4" w:space="0"/>
              <w:left w:val="single" w:color="C9D5E2" w:sz="4" w:space="0"/>
              <w:bottom w:val="single" w:color="C9D5E2" w:sz="4" w:space="0"/>
              <w:right w:val="single" w:color="C9D5E2" w:sz="4" w:space="0"/>
            </w:tcBorders>
            <w:tcMar>
              <w:top w:w="20" w:type="dxa"/>
              <w:left w:w="55" w:type="dxa"/>
              <w:bottom w:w="20" w:type="dxa"/>
              <w:right w:w="55" w:type="dxa"/>
            </w:tcMar>
            <w:vAlign w:val="center"/>
          </w:tcPr>
          <w:p w14:paraId="74EF2D79">
            <w:pPr>
              <w:spacing w:before="0" w:after="0" w:line="228" w:lineRule="auto"/>
            </w:pPr>
            <w:r>
              <w:rPr>
                <w:rFonts w:ascii="Times New Roman" w:hAnsi="Times New Roman" w:eastAsia="Times New Roman"/>
                <w:b w:val="0"/>
                <w:color w:val="1D2738"/>
                <w:sz w:val="18"/>
              </w:rPr>
              <w:t>In scope</w:t>
            </w:r>
          </w:p>
        </w:tc>
        <w:tc>
          <w:tcPr>
            <w:tcW w:w="2102" w:type="dxa"/>
            <w:tcBorders>
              <w:top w:val="single" w:color="C9D5E2" w:sz="4" w:space="0"/>
              <w:left w:val="single" w:color="C9D5E2" w:sz="4" w:space="0"/>
              <w:bottom w:val="single" w:color="C9D5E2" w:sz="4" w:space="0"/>
              <w:right w:val="single" w:color="C9D5E2" w:sz="4" w:space="0"/>
            </w:tcBorders>
            <w:tcMar>
              <w:top w:w="20" w:type="dxa"/>
              <w:left w:w="55" w:type="dxa"/>
              <w:bottom w:w="20" w:type="dxa"/>
              <w:right w:w="55" w:type="dxa"/>
            </w:tcMar>
            <w:vAlign w:val="center"/>
          </w:tcPr>
          <w:p w14:paraId="305C9B84">
            <w:pPr>
              <w:spacing w:before="0" w:after="0" w:line="228" w:lineRule="auto"/>
            </w:pPr>
            <w:r>
              <w:rPr>
                <w:rFonts w:ascii="Times New Roman" w:hAnsi="Times New Roman" w:eastAsia="Times New Roman"/>
                <w:b w:val="0"/>
                <w:color w:val="1D2738"/>
                <w:sz w:val="18"/>
              </w:rPr>
              <w:t>Invalid currency</w:t>
            </w:r>
          </w:p>
        </w:tc>
        <w:tc>
          <w:tcPr>
            <w:tcW w:w="4118" w:type="dxa"/>
            <w:tcBorders>
              <w:top w:val="single" w:color="C9D5E2" w:sz="4" w:space="0"/>
              <w:left w:val="single" w:color="C9D5E2" w:sz="4" w:space="0"/>
              <w:bottom w:val="single" w:color="C9D5E2" w:sz="4" w:space="0"/>
              <w:right w:val="single" w:color="C9D5E2" w:sz="4" w:space="0"/>
            </w:tcBorders>
            <w:tcMar>
              <w:top w:w="20" w:type="dxa"/>
              <w:left w:w="55" w:type="dxa"/>
              <w:bottom w:w="20" w:type="dxa"/>
              <w:right w:w="55" w:type="dxa"/>
            </w:tcMar>
            <w:vAlign w:val="center"/>
          </w:tcPr>
          <w:p w14:paraId="592F0019">
            <w:pPr>
              <w:spacing w:before="0" w:after="0" w:line="228" w:lineRule="auto"/>
            </w:pPr>
            <w:r>
              <w:rPr>
                <w:rFonts w:ascii="Times New Roman" w:hAnsi="Times New Roman" w:eastAsia="Times New Roman"/>
                <w:b w:val="0"/>
                <w:color w:val="1D2738"/>
                <w:sz w:val="18"/>
              </w:rPr>
              <w:t>Invalid currency candidate.</w:t>
            </w:r>
          </w:p>
        </w:tc>
      </w:tr>
      <w:tr w14:paraId="47E43899">
        <w:trPr>
          <w:cantSplit/>
        </w:trPr>
        <w:tc>
          <w:tcPr>
            <w:tcW w:w="648" w:type="dxa"/>
            <w:tcBorders>
              <w:top w:val="single" w:color="C9D5E2" w:sz="4" w:space="0"/>
              <w:left w:val="single" w:color="C9D5E2" w:sz="4" w:space="0"/>
              <w:bottom w:val="single" w:color="C9D5E2" w:sz="4" w:space="0"/>
              <w:right w:val="single" w:color="C9D5E2" w:sz="4" w:space="0"/>
            </w:tcBorders>
            <w:shd w:val="clear" w:color="auto" w:fill="F8FAFD"/>
            <w:tcMar>
              <w:top w:w="20" w:type="dxa"/>
              <w:left w:w="55" w:type="dxa"/>
              <w:bottom w:w="20" w:type="dxa"/>
              <w:right w:w="55" w:type="dxa"/>
            </w:tcMar>
            <w:vAlign w:val="center"/>
          </w:tcPr>
          <w:p w14:paraId="2CCCC168">
            <w:pPr>
              <w:spacing w:before="0" w:after="0" w:line="228" w:lineRule="auto"/>
              <w:jc w:val="center"/>
            </w:pPr>
            <w:r>
              <w:rPr>
                <w:rFonts w:ascii="Times New Roman" w:hAnsi="Times New Roman" w:eastAsia="Times New Roman"/>
                <w:b w:val="0"/>
                <w:color w:val="1D2738"/>
                <w:sz w:val="18"/>
              </w:rPr>
              <w:t>T019</w:t>
            </w:r>
          </w:p>
        </w:tc>
        <w:tc>
          <w:tcPr>
            <w:tcW w:w="1987" w:type="dxa"/>
            <w:tcBorders>
              <w:top w:val="single" w:color="C9D5E2" w:sz="4" w:space="0"/>
              <w:left w:val="single" w:color="C9D5E2" w:sz="4" w:space="0"/>
              <w:bottom w:val="single" w:color="C9D5E2" w:sz="4" w:space="0"/>
              <w:right w:val="single" w:color="C9D5E2" w:sz="4" w:space="0"/>
            </w:tcBorders>
            <w:shd w:val="clear" w:color="auto" w:fill="F8FAFD"/>
            <w:tcMar>
              <w:top w:w="20" w:type="dxa"/>
              <w:left w:w="55" w:type="dxa"/>
              <w:bottom w:w="20" w:type="dxa"/>
              <w:right w:w="55" w:type="dxa"/>
            </w:tcMar>
            <w:vAlign w:val="center"/>
          </w:tcPr>
          <w:p w14:paraId="15000021">
            <w:pPr>
              <w:spacing w:before="0" w:after="0" w:line="228" w:lineRule="auto"/>
            </w:pPr>
            <w:r>
              <w:rPr>
                <w:rFonts w:ascii="Times New Roman" w:hAnsi="Times New Roman" w:eastAsia="Times New Roman"/>
                <w:b/>
                <w:color w:val="1D2738"/>
                <w:sz w:val="18"/>
              </w:rPr>
              <w:t>Non-compliant / Conventional</w:t>
            </w:r>
          </w:p>
        </w:tc>
        <w:tc>
          <w:tcPr>
            <w:tcW w:w="1037" w:type="dxa"/>
            <w:tcBorders>
              <w:top w:val="single" w:color="C9D5E2" w:sz="4" w:space="0"/>
              <w:left w:val="single" w:color="C9D5E2" w:sz="4" w:space="0"/>
              <w:bottom w:val="single" w:color="C9D5E2" w:sz="4" w:space="0"/>
              <w:right w:val="single" w:color="C9D5E2" w:sz="4" w:space="0"/>
            </w:tcBorders>
            <w:shd w:val="clear" w:color="auto" w:fill="F8FAFD"/>
            <w:tcMar>
              <w:top w:w="20" w:type="dxa"/>
              <w:left w:w="55" w:type="dxa"/>
              <w:bottom w:w="20" w:type="dxa"/>
              <w:right w:w="55" w:type="dxa"/>
            </w:tcMar>
            <w:vAlign w:val="center"/>
          </w:tcPr>
          <w:p w14:paraId="334A1765">
            <w:pPr>
              <w:spacing w:before="0" w:after="0" w:line="228" w:lineRule="auto"/>
            </w:pPr>
            <w:r>
              <w:rPr>
                <w:rFonts w:ascii="Times New Roman" w:hAnsi="Times New Roman" w:eastAsia="Times New Roman"/>
                <w:b w:val="0"/>
                <w:color w:val="1D2738"/>
                <w:sz w:val="18"/>
              </w:rPr>
              <w:t>In scope</w:t>
            </w:r>
          </w:p>
        </w:tc>
        <w:tc>
          <w:tcPr>
            <w:tcW w:w="2102" w:type="dxa"/>
            <w:tcBorders>
              <w:top w:val="single" w:color="C9D5E2" w:sz="4" w:space="0"/>
              <w:left w:val="single" w:color="C9D5E2" w:sz="4" w:space="0"/>
              <w:bottom w:val="single" w:color="C9D5E2" w:sz="4" w:space="0"/>
              <w:right w:val="single" w:color="C9D5E2" w:sz="4" w:space="0"/>
            </w:tcBorders>
            <w:shd w:val="clear" w:color="auto" w:fill="F8FAFD"/>
            <w:tcMar>
              <w:top w:w="20" w:type="dxa"/>
              <w:left w:w="55" w:type="dxa"/>
              <w:bottom w:w="20" w:type="dxa"/>
              <w:right w:w="55" w:type="dxa"/>
            </w:tcMar>
            <w:vAlign w:val="center"/>
          </w:tcPr>
          <w:p w14:paraId="1B13068F">
            <w:pPr>
              <w:spacing w:before="0" w:after="0" w:line="228" w:lineRule="auto"/>
            </w:pPr>
            <w:r>
              <w:rPr>
                <w:rFonts w:ascii="Times New Roman" w:hAnsi="Times New Roman" w:eastAsia="Times New Roman"/>
                <w:b w:val="0"/>
                <w:color w:val="1D2738"/>
                <w:sz w:val="18"/>
              </w:rPr>
              <w:t>CNH codeset gap</w:t>
            </w:r>
          </w:p>
        </w:tc>
        <w:tc>
          <w:tcPr>
            <w:tcW w:w="4118" w:type="dxa"/>
            <w:tcBorders>
              <w:top w:val="single" w:color="C9D5E2" w:sz="4" w:space="0"/>
              <w:left w:val="single" w:color="C9D5E2" w:sz="4" w:space="0"/>
              <w:bottom w:val="single" w:color="C9D5E2" w:sz="4" w:space="0"/>
              <w:right w:val="single" w:color="C9D5E2" w:sz="4" w:space="0"/>
            </w:tcBorders>
            <w:shd w:val="clear" w:color="auto" w:fill="F8FAFD"/>
            <w:tcMar>
              <w:top w:w="20" w:type="dxa"/>
              <w:left w:w="55" w:type="dxa"/>
              <w:bottom w:w="20" w:type="dxa"/>
              <w:right w:w="55" w:type="dxa"/>
            </w:tcMar>
            <w:vAlign w:val="center"/>
          </w:tcPr>
          <w:p w14:paraId="359A4F10">
            <w:pPr>
              <w:spacing w:before="0" w:after="0" w:line="228" w:lineRule="auto"/>
            </w:pPr>
            <w:r>
              <w:rPr>
                <w:rFonts w:ascii="Times New Roman" w:hAnsi="Times New Roman" w:eastAsia="Times New Roman"/>
                <w:b w:val="0"/>
                <w:color w:val="1D2738"/>
                <w:sz w:val="18"/>
              </w:rPr>
              <w:t>CNH is not in the DSB ISO currency codeset used by this project.</w:t>
            </w:r>
          </w:p>
        </w:tc>
      </w:tr>
      <w:tr w14:paraId="3DCCC630">
        <w:trPr>
          <w:cantSplit/>
        </w:trPr>
        <w:tc>
          <w:tcPr>
            <w:tcW w:w="648" w:type="dxa"/>
            <w:tcBorders>
              <w:top w:val="single" w:color="C9D5E2" w:sz="4" w:space="0"/>
              <w:left w:val="single" w:color="C9D5E2" w:sz="4" w:space="0"/>
              <w:bottom w:val="single" w:color="C9D5E2" w:sz="4" w:space="0"/>
              <w:right w:val="single" w:color="C9D5E2" w:sz="4" w:space="0"/>
            </w:tcBorders>
            <w:tcMar>
              <w:top w:w="20" w:type="dxa"/>
              <w:left w:w="55" w:type="dxa"/>
              <w:bottom w:w="20" w:type="dxa"/>
              <w:right w:w="55" w:type="dxa"/>
            </w:tcMar>
            <w:vAlign w:val="center"/>
          </w:tcPr>
          <w:p w14:paraId="3F9EB5CF">
            <w:pPr>
              <w:spacing w:before="0" w:after="0" w:line="228" w:lineRule="auto"/>
              <w:jc w:val="center"/>
            </w:pPr>
            <w:r>
              <w:rPr>
                <w:rFonts w:ascii="Times New Roman" w:hAnsi="Times New Roman" w:eastAsia="Times New Roman"/>
                <w:b w:val="0"/>
                <w:color w:val="1D2738"/>
                <w:sz w:val="18"/>
              </w:rPr>
              <w:t>T021</w:t>
            </w:r>
          </w:p>
        </w:tc>
        <w:tc>
          <w:tcPr>
            <w:tcW w:w="1987" w:type="dxa"/>
            <w:tcBorders>
              <w:top w:val="single" w:color="C9D5E2" w:sz="4" w:space="0"/>
              <w:left w:val="single" w:color="C9D5E2" w:sz="4" w:space="0"/>
              <w:bottom w:val="single" w:color="C9D5E2" w:sz="4" w:space="0"/>
              <w:right w:val="single" w:color="C9D5E2" w:sz="4" w:space="0"/>
            </w:tcBorders>
            <w:tcMar>
              <w:top w:w="20" w:type="dxa"/>
              <w:left w:w="55" w:type="dxa"/>
              <w:bottom w:w="20" w:type="dxa"/>
              <w:right w:w="55" w:type="dxa"/>
            </w:tcMar>
            <w:vAlign w:val="center"/>
          </w:tcPr>
          <w:p w14:paraId="4B4D0F80">
            <w:pPr>
              <w:spacing w:before="0" w:after="0" w:line="228" w:lineRule="auto"/>
            </w:pPr>
            <w:r>
              <w:rPr>
                <w:rFonts w:ascii="Times New Roman" w:hAnsi="Times New Roman" w:eastAsia="Times New Roman"/>
                <w:b/>
                <w:color w:val="1D2738"/>
                <w:sz w:val="18"/>
              </w:rPr>
              <w:t>Non-compliant / Conventional</w:t>
            </w:r>
          </w:p>
        </w:tc>
        <w:tc>
          <w:tcPr>
            <w:tcW w:w="1037" w:type="dxa"/>
            <w:tcBorders>
              <w:top w:val="single" w:color="C9D5E2" w:sz="4" w:space="0"/>
              <w:left w:val="single" w:color="C9D5E2" w:sz="4" w:space="0"/>
              <w:bottom w:val="single" w:color="C9D5E2" w:sz="4" w:space="0"/>
              <w:right w:val="single" w:color="C9D5E2" w:sz="4" w:space="0"/>
            </w:tcBorders>
            <w:tcMar>
              <w:top w:w="20" w:type="dxa"/>
              <w:left w:w="55" w:type="dxa"/>
              <w:bottom w:w="20" w:type="dxa"/>
              <w:right w:w="55" w:type="dxa"/>
            </w:tcMar>
            <w:vAlign w:val="center"/>
          </w:tcPr>
          <w:p w14:paraId="1656DC56">
            <w:pPr>
              <w:spacing w:before="0" w:after="0" w:line="228" w:lineRule="auto"/>
            </w:pPr>
            <w:r>
              <w:rPr>
                <w:rFonts w:ascii="Times New Roman" w:hAnsi="Times New Roman" w:eastAsia="Times New Roman"/>
                <w:b w:val="0"/>
                <w:color w:val="1D2738"/>
                <w:sz w:val="18"/>
              </w:rPr>
              <w:t>In scope</w:t>
            </w:r>
          </w:p>
        </w:tc>
        <w:tc>
          <w:tcPr>
            <w:tcW w:w="2102" w:type="dxa"/>
            <w:tcBorders>
              <w:top w:val="single" w:color="C9D5E2" w:sz="4" w:space="0"/>
              <w:left w:val="single" w:color="C9D5E2" w:sz="4" w:space="0"/>
              <w:bottom w:val="single" w:color="C9D5E2" w:sz="4" w:space="0"/>
              <w:right w:val="single" w:color="C9D5E2" w:sz="4" w:space="0"/>
            </w:tcBorders>
            <w:tcMar>
              <w:top w:w="20" w:type="dxa"/>
              <w:left w:w="55" w:type="dxa"/>
              <w:bottom w:w="20" w:type="dxa"/>
              <w:right w:w="55" w:type="dxa"/>
            </w:tcMar>
            <w:vAlign w:val="center"/>
          </w:tcPr>
          <w:p w14:paraId="1C7C3256">
            <w:pPr>
              <w:spacing w:before="0" w:after="0" w:line="228" w:lineRule="auto"/>
            </w:pPr>
            <w:r>
              <w:rPr>
                <w:rFonts w:ascii="Times New Roman" w:hAnsi="Times New Roman" w:eastAsia="Times New Roman"/>
                <w:b w:val="0"/>
                <w:color w:val="1D2738"/>
                <w:sz w:val="18"/>
              </w:rPr>
              <w:t>LEI / UTI / required-field failure</w:t>
            </w:r>
          </w:p>
        </w:tc>
        <w:tc>
          <w:tcPr>
            <w:tcW w:w="4118" w:type="dxa"/>
            <w:tcBorders>
              <w:top w:val="single" w:color="C9D5E2" w:sz="4" w:space="0"/>
              <w:left w:val="single" w:color="C9D5E2" w:sz="4" w:space="0"/>
              <w:bottom w:val="single" w:color="C9D5E2" w:sz="4" w:space="0"/>
              <w:right w:val="single" w:color="C9D5E2" w:sz="4" w:space="0"/>
            </w:tcBorders>
            <w:tcMar>
              <w:top w:w="20" w:type="dxa"/>
              <w:left w:w="55" w:type="dxa"/>
              <w:bottom w:w="20" w:type="dxa"/>
              <w:right w:w="55" w:type="dxa"/>
            </w:tcMar>
            <w:vAlign w:val="center"/>
          </w:tcPr>
          <w:p w14:paraId="3EBEA55F">
            <w:pPr>
              <w:spacing w:before="0" w:after="0" w:line="228" w:lineRule="auto"/>
            </w:pPr>
            <w:r>
              <w:rPr>
                <w:rFonts w:ascii="Times New Roman" w:hAnsi="Times New Roman" w:eastAsia="Times New Roman"/>
                <w:b w:val="0"/>
                <w:color w:val="1D2738"/>
                <w:sz w:val="18"/>
              </w:rPr>
              <w:t>Identifier and required-field failure.</w:t>
            </w:r>
          </w:p>
        </w:tc>
      </w:tr>
      <w:tr w14:paraId="01A6257B">
        <w:trPr>
          <w:cantSplit/>
        </w:trPr>
        <w:tc>
          <w:tcPr>
            <w:tcW w:w="648" w:type="dxa"/>
            <w:tcBorders>
              <w:top w:val="single" w:color="C9D5E2" w:sz="4" w:space="0"/>
              <w:left w:val="single" w:color="C9D5E2" w:sz="4" w:space="0"/>
              <w:bottom w:val="single" w:color="C9D5E2" w:sz="4" w:space="0"/>
              <w:right w:val="single" w:color="C9D5E2" w:sz="4" w:space="0"/>
            </w:tcBorders>
            <w:shd w:val="clear" w:color="auto" w:fill="F8FAFD"/>
            <w:tcMar>
              <w:top w:w="20" w:type="dxa"/>
              <w:left w:w="55" w:type="dxa"/>
              <w:bottom w:w="20" w:type="dxa"/>
              <w:right w:w="55" w:type="dxa"/>
            </w:tcMar>
            <w:vAlign w:val="center"/>
          </w:tcPr>
          <w:p w14:paraId="10C7E154">
            <w:pPr>
              <w:spacing w:before="0" w:after="0" w:line="228" w:lineRule="auto"/>
              <w:jc w:val="center"/>
            </w:pPr>
            <w:r>
              <w:rPr>
                <w:rFonts w:ascii="Times New Roman" w:hAnsi="Times New Roman" w:eastAsia="Times New Roman"/>
                <w:b w:val="0"/>
                <w:color w:val="1D2738"/>
                <w:sz w:val="18"/>
              </w:rPr>
              <w:t>T022</w:t>
            </w:r>
          </w:p>
        </w:tc>
        <w:tc>
          <w:tcPr>
            <w:tcW w:w="1987" w:type="dxa"/>
            <w:tcBorders>
              <w:top w:val="single" w:color="C9D5E2" w:sz="4" w:space="0"/>
              <w:left w:val="single" w:color="C9D5E2" w:sz="4" w:space="0"/>
              <w:bottom w:val="single" w:color="C9D5E2" w:sz="4" w:space="0"/>
              <w:right w:val="single" w:color="C9D5E2" w:sz="4" w:space="0"/>
            </w:tcBorders>
            <w:shd w:val="clear" w:color="auto" w:fill="F8FAFD"/>
            <w:tcMar>
              <w:top w:w="20" w:type="dxa"/>
              <w:left w:w="55" w:type="dxa"/>
              <w:bottom w:w="20" w:type="dxa"/>
              <w:right w:w="55" w:type="dxa"/>
            </w:tcMar>
            <w:vAlign w:val="center"/>
          </w:tcPr>
          <w:p w14:paraId="6FB5A5B6">
            <w:pPr>
              <w:spacing w:before="0" w:after="0" w:line="228" w:lineRule="auto"/>
            </w:pPr>
            <w:r>
              <w:rPr>
                <w:rFonts w:ascii="Times New Roman" w:hAnsi="Times New Roman" w:eastAsia="Times New Roman"/>
                <w:b/>
                <w:color w:val="1D2738"/>
                <w:sz w:val="18"/>
              </w:rPr>
              <w:t>Warning / Conventional</w:t>
            </w:r>
          </w:p>
        </w:tc>
        <w:tc>
          <w:tcPr>
            <w:tcW w:w="1037" w:type="dxa"/>
            <w:tcBorders>
              <w:top w:val="single" w:color="C9D5E2" w:sz="4" w:space="0"/>
              <w:left w:val="single" w:color="C9D5E2" w:sz="4" w:space="0"/>
              <w:bottom w:val="single" w:color="C9D5E2" w:sz="4" w:space="0"/>
              <w:right w:val="single" w:color="C9D5E2" w:sz="4" w:space="0"/>
            </w:tcBorders>
            <w:shd w:val="clear" w:color="auto" w:fill="F8FAFD"/>
            <w:tcMar>
              <w:top w:w="20" w:type="dxa"/>
              <w:left w:w="55" w:type="dxa"/>
              <w:bottom w:w="20" w:type="dxa"/>
              <w:right w:w="55" w:type="dxa"/>
            </w:tcMar>
            <w:vAlign w:val="center"/>
          </w:tcPr>
          <w:p w14:paraId="6CFEC4FC">
            <w:pPr>
              <w:spacing w:before="0" w:after="0" w:line="228" w:lineRule="auto"/>
            </w:pPr>
            <w:r>
              <w:rPr>
                <w:rFonts w:ascii="Times New Roman" w:hAnsi="Times New Roman" w:eastAsia="Times New Roman"/>
                <w:b w:val="0"/>
                <w:color w:val="1D2738"/>
                <w:sz w:val="18"/>
              </w:rPr>
              <w:t>In scope</w:t>
            </w:r>
          </w:p>
        </w:tc>
        <w:tc>
          <w:tcPr>
            <w:tcW w:w="2102" w:type="dxa"/>
            <w:tcBorders>
              <w:top w:val="single" w:color="C9D5E2" w:sz="4" w:space="0"/>
              <w:left w:val="single" w:color="C9D5E2" w:sz="4" w:space="0"/>
              <w:bottom w:val="single" w:color="C9D5E2" w:sz="4" w:space="0"/>
              <w:right w:val="single" w:color="C9D5E2" w:sz="4" w:space="0"/>
            </w:tcBorders>
            <w:shd w:val="clear" w:color="auto" w:fill="F8FAFD"/>
            <w:tcMar>
              <w:top w:w="20" w:type="dxa"/>
              <w:left w:w="55" w:type="dxa"/>
              <w:bottom w:w="20" w:type="dxa"/>
              <w:right w:w="55" w:type="dxa"/>
            </w:tcMar>
            <w:vAlign w:val="center"/>
          </w:tcPr>
          <w:p w14:paraId="75352B21">
            <w:pPr>
              <w:spacing w:before="0" w:after="0" w:line="228" w:lineRule="auto"/>
            </w:pPr>
            <w:r>
              <w:rPr>
                <w:rFonts w:ascii="Times New Roman" w:hAnsi="Times New Roman" w:eastAsia="Times New Roman"/>
                <w:b w:val="0"/>
                <w:color w:val="1D2738"/>
                <w:sz w:val="18"/>
              </w:rPr>
              <w:t>Invalid maturity date</w:t>
            </w:r>
          </w:p>
        </w:tc>
        <w:tc>
          <w:tcPr>
            <w:tcW w:w="4118" w:type="dxa"/>
            <w:tcBorders>
              <w:top w:val="single" w:color="C9D5E2" w:sz="4" w:space="0"/>
              <w:left w:val="single" w:color="C9D5E2" w:sz="4" w:space="0"/>
              <w:bottom w:val="single" w:color="C9D5E2" w:sz="4" w:space="0"/>
              <w:right w:val="single" w:color="C9D5E2" w:sz="4" w:space="0"/>
            </w:tcBorders>
            <w:shd w:val="clear" w:color="auto" w:fill="F8FAFD"/>
            <w:tcMar>
              <w:top w:w="20" w:type="dxa"/>
              <w:left w:w="55" w:type="dxa"/>
              <w:bottom w:w="20" w:type="dxa"/>
              <w:right w:w="55" w:type="dxa"/>
            </w:tcMar>
            <w:vAlign w:val="center"/>
          </w:tcPr>
          <w:p w14:paraId="0D5ED21B">
            <w:pPr>
              <w:spacing w:before="0" w:after="0" w:line="228" w:lineRule="auto"/>
            </w:pPr>
            <w:r>
              <w:rPr>
                <w:rFonts w:ascii="Times New Roman" w:hAnsi="Times New Roman" w:eastAsia="Times New Roman"/>
                <w:b w:val="0"/>
                <w:color w:val="1D2738"/>
                <w:sz w:val="18"/>
              </w:rPr>
              <w:t>Parser classifies the record as partial.</w:t>
            </w:r>
          </w:p>
        </w:tc>
      </w:tr>
      <w:tr w14:paraId="5CF46F5E">
        <w:trPr>
          <w:cantSplit/>
        </w:trPr>
        <w:tc>
          <w:tcPr>
            <w:tcW w:w="648" w:type="dxa"/>
            <w:tcBorders>
              <w:top w:val="single" w:color="C9D5E2" w:sz="4" w:space="0"/>
              <w:left w:val="single" w:color="C9D5E2" w:sz="4" w:space="0"/>
              <w:bottom w:val="single" w:color="C9D5E2" w:sz="4" w:space="0"/>
              <w:right w:val="single" w:color="C9D5E2" w:sz="4" w:space="0"/>
            </w:tcBorders>
            <w:tcMar>
              <w:top w:w="20" w:type="dxa"/>
              <w:left w:w="55" w:type="dxa"/>
              <w:bottom w:w="20" w:type="dxa"/>
              <w:right w:w="55" w:type="dxa"/>
            </w:tcMar>
            <w:vAlign w:val="center"/>
          </w:tcPr>
          <w:p w14:paraId="670C4ECF">
            <w:pPr>
              <w:spacing w:before="0" w:after="0" w:line="228" w:lineRule="auto"/>
              <w:jc w:val="center"/>
            </w:pPr>
            <w:r>
              <w:rPr>
                <w:rFonts w:ascii="Times New Roman" w:hAnsi="Times New Roman" w:eastAsia="Times New Roman"/>
                <w:b w:val="0"/>
                <w:color w:val="1D2738"/>
                <w:sz w:val="18"/>
              </w:rPr>
              <w:t>T023</w:t>
            </w:r>
          </w:p>
        </w:tc>
        <w:tc>
          <w:tcPr>
            <w:tcW w:w="1987" w:type="dxa"/>
            <w:tcBorders>
              <w:top w:val="single" w:color="C9D5E2" w:sz="4" w:space="0"/>
              <w:left w:val="single" w:color="C9D5E2" w:sz="4" w:space="0"/>
              <w:bottom w:val="single" w:color="C9D5E2" w:sz="4" w:space="0"/>
              <w:right w:val="single" w:color="C9D5E2" w:sz="4" w:space="0"/>
            </w:tcBorders>
            <w:tcMar>
              <w:top w:w="20" w:type="dxa"/>
              <w:left w:w="55" w:type="dxa"/>
              <w:bottom w:w="20" w:type="dxa"/>
              <w:right w:w="55" w:type="dxa"/>
            </w:tcMar>
            <w:vAlign w:val="center"/>
          </w:tcPr>
          <w:p w14:paraId="341184D8">
            <w:pPr>
              <w:spacing w:before="0" w:after="0" w:line="228" w:lineRule="auto"/>
            </w:pPr>
            <w:r>
              <w:rPr>
                <w:rFonts w:ascii="Times New Roman" w:hAnsi="Times New Roman" w:eastAsia="Times New Roman"/>
                <w:b/>
                <w:color w:val="1D2738"/>
                <w:sz w:val="18"/>
              </w:rPr>
              <w:t>Non-compliant / Conventional</w:t>
            </w:r>
          </w:p>
        </w:tc>
        <w:tc>
          <w:tcPr>
            <w:tcW w:w="1037" w:type="dxa"/>
            <w:tcBorders>
              <w:top w:val="single" w:color="C9D5E2" w:sz="4" w:space="0"/>
              <w:left w:val="single" w:color="C9D5E2" w:sz="4" w:space="0"/>
              <w:bottom w:val="single" w:color="C9D5E2" w:sz="4" w:space="0"/>
              <w:right w:val="single" w:color="C9D5E2" w:sz="4" w:space="0"/>
            </w:tcBorders>
            <w:tcMar>
              <w:top w:w="20" w:type="dxa"/>
              <w:left w:w="55" w:type="dxa"/>
              <w:bottom w:w="20" w:type="dxa"/>
              <w:right w:w="55" w:type="dxa"/>
            </w:tcMar>
            <w:vAlign w:val="center"/>
          </w:tcPr>
          <w:p w14:paraId="4795C024">
            <w:pPr>
              <w:spacing w:before="0" w:after="0" w:line="228" w:lineRule="auto"/>
            </w:pPr>
            <w:r>
              <w:rPr>
                <w:rFonts w:ascii="Times New Roman" w:hAnsi="Times New Roman" w:eastAsia="Times New Roman"/>
                <w:b w:val="0"/>
                <w:color w:val="1D2738"/>
                <w:sz w:val="18"/>
              </w:rPr>
              <w:t>In scope</w:t>
            </w:r>
          </w:p>
        </w:tc>
        <w:tc>
          <w:tcPr>
            <w:tcW w:w="2102" w:type="dxa"/>
            <w:tcBorders>
              <w:top w:val="single" w:color="C9D5E2" w:sz="4" w:space="0"/>
              <w:left w:val="single" w:color="C9D5E2" w:sz="4" w:space="0"/>
              <w:bottom w:val="single" w:color="C9D5E2" w:sz="4" w:space="0"/>
              <w:right w:val="single" w:color="C9D5E2" w:sz="4" w:space="0"/>
            </w:tcBorders>
            <w:tcMar>
              <w:top w:w="20" w:type="dxa"/>
              <w:left w:w="55" w:type="dxa"/>
              <w:bottom w:w="20" w:type="dxa"/>
              <w:right w:w="55" w:type="dxa"/>
            </w:tcMar>
            <w:vAlign w:val="center"/>
          </w:tcPr>
          <w:p w14:paraId="7E74DFEC">
            <w:pPr>
              <w:spacing w:before="0" w:after="0" w:line="228" w:lineRule="auto"/>
            </w:pPr>
            <w:r>
              <w:rPr>
                <w:rFonts w:ascii="Times New Roman" w:hAnsi="Times New Roman" w:eastAsia="Times New Roman"/>
                <w:b w:val="0"/>
                <w:color w:val="1D2738"/>
                <w:sz w:val="18"/>
              </w:rPr>
              <w:t>UTI namespace / suffix defect</w:t>
            </w:r>
          </w:p>
        </w:tc>
        <w:tc>
          <w:tcPr>
            <w:tcW w:w="4118" w:type="dxa"/>
            <w:tcBorders>
              <w:top w:val="single" w:color="C9D5E2" w:sz="4" w:space="0"/>
              <w:left w:val="single" w:color="C9D5E2" w:sz="4" w:space="0"/>
              <w:bottom w:val="single" w:color="C9D5E2" w:sz="4" w:space="0"/>
              <w:right w:val="single" w:color="C9D5E2" w:sz="4" w:space="0"/>
            </w:tcBorders>
            <w:tcMar>
              <w:top w:w="20" w:type="dxa"/>
              <w:left w:w="55" w:type="dxa"/>
              <w:bottom w:w="20" w:type="dxa"/>
              <w:right w:w="55" w:type="dxa"/>
            </w:tcMar>
            <w:vAlign w:val="center"/>
          </w:tcPr>
          <w:p w14:paraId="27F13794">
            <w:pPr>
              <w:spacing w:before="0" w:after="0" w:line="228" w:lineRule="auto"/>
            </w:pPr>
            <w:r>
              <w:rPr>
                <w:rFonts w:ascii="Times New Roman" w:hAnsi="Times New Roman" w:eastAsia="Times New Roman"/>
                <w:b w:val="0"/>
                <w:color w:val="1D2738"/>
                <w:sz w:val="18"/>
              </w:rPr>
              <w:t>UTI namespace and suffix do not satisfy validation rules.</w:t>
            </w:r>
          </w:p>
        </w:tc>
      </w:tr>
      <w:tr w14:paraId="17A3D5BC">
        <w:trPr>
          <w:cantSplit/>
        </w:trPr>
        <w:tc>
          <w:tcPr>
            <w:tcW w:w="648" w:type="dxa"/>
            <w:tcBorders>
              <w:top w:val="single" w:color="C9D5E2" w:sz="4" w:space="0"/>
              <w:left w:val="single" w:color="C9D5E2" w:sz="4" w:space="0"/>
              <w:bottom w:val="single" w:color="C9D5E2" w:sz="4" w:space="0"/>
              <w:right w:val="single" w:color="C9D5E2" w:sz="4" w:space="0"/>
            </w:tcBorders>
            <w:shd w:val="clear" w:color="auto" w:fill="F8FAFD"/>
            <w:tcMar>
              <w:top w:w="20" w:type="dxa"/>
              <w:left w:w="55" w:type="dxa"/>
              <w:bottom w:w="20" w:type="dxa"/>
              <w:right w:w="55" w:type="dxa"/>
            </w:tcMar>
            <w:vAlign w:val="center"/>
          </w:tcPr>
          <w:p w14:paraId="378E0E0D">
            <w:pPr>
              <w:spacing w:before="0" w:after="0" w:line="228" w:lineRule="auto"/>
              <w:jc w:val="center"/>
            </w:pPr>
            <w:r>
              <w:rPr>
                <w:rFonts w:ascii="Times New Roman" w:hAnsi="Times New Roman" w:eastAsia="Times New Roman"/>
                <w:b w:val="0"/>
                <w:color w:val="1D2738"/>
                <w:sz w:val="18"/>
              </w:rPr>
              <w:t>T025</w:t>
            </w:r>
          </w:p>
        </w:tc>
        <w:tc>
          <w:tcPr>
            <w:tcW w:w="1987" w:type="dxa"/>
            <w:tcBorders>
              <w:top w:val="single" w:color="C9D5E2" w:sz="4" w:space="0"/>
              <w:left w:val="single" w:color="C9D5E2" w:sz="4" w:space="0"/>
              <w:bottom w:val="single" w:color="C9D5E2" w:sz="4" w:space="0"/>
              <w:right w:val="single" w:color="C9D5E2" w:sz="4" w:space="0"/>
            </w:tcBorders>
            <w:shd w:val="clear" w:color="auto" w:fill="F8FAFD"/>
            <w:tcMar>
              <w:top w:w="20" w:type="dxa"/>
              <w:left w:w="55" w:type="dxa"/>
              <w:bottom w:w="20" w:type="dxa"/>
              <w:right w:w="55" w:type="dxa"/>
            </w:tcMar>
            <w:vAlign w:val="center"/>
          </w:tcPr>
          <w:p w14:paraId="74DD81EA">
            <w:pPr>
              <w:spacing w:before="0" w:after="0" w:line="228" w:lineRule="auto"/>
            </w:pPr>
            <w:r>
              <w:rPr>
                <w:rFonts w:ascii="Times New Roman" w:hAnsi="Times New Roman" w:eastAsia="Times New Roman"/>
                <w:b/>
                <w:color w:val="1D2738"/>
                <w:sz w:val="18"/>
              </w:rPr>
              <w:t>Non-compliant / Conventional</w:t>
            </w:r>
          </w:p>
        </w:tc>
        <w:tc>
          <w:tcPr>
            <w:tcW w:w="1037" w:type="dxa"/>
            <w:tcBorders>
              <w:top w:val="single" w:color="C9D5E2" w:sz="4" w:space="0"/>
              <w:left w:val="single" w:color="C9D5E2" w:sz="4" w:space="0"/>
              <w:bottom w:val="single" w:color="C9D5E2" w:sz="4" w:space="0"/>
              <w:right w:val="single" w:color="C9D5E2" w:sz="4" w:space="0"/>
            </w:tcBorders>
            <w:shd w:val="clear" w:color="auto" w:fill="F8FAFD"/>
            <w:tcMar>
              <w:top w:w="20" w:type="dxa"/>
              <w:left w:w="55" w:type="dxa"/>
              <w:bottom w:w="20" w:type="dxa"/>
              <w:right w:w="55" w:type="dxa"/>
            </w:tcMar>
            <w:vAlign w:val="center"/>
          </w:tcPr>
          <w:p w14:paraId="28699A8B">
            <w:pPr>
              <w:spacing w:before="0" w:after="0" w:line="228" w:lineRule="auto"/>
            </w:pPr>
            <w:r>
              <w:rPr>
                <w:rFonts w:ascii="Times New Roman" w:hAnsi="Times New Roman" w:eastAsia="Times New Roman"/>
                <w:b w:val="0"/>
                <w:color w:val="1D2738"/>
                <w:sz w:val="18"/>
              </w:rPr>
              <w:t>In scope</w:t>
            </w:r>
          </w:p>
        </w:tc>
        <w:tc>
          <w:tcPr>
            <w:tcW w:w="2102" w:type="dxa"/>
            <w:tcBorders>
              <w:top w:val="single" w:color="C9D5E2" w:sz="4" w:space="0"/>
              <w:left w:val="single" w:color="C9D5E2" w:sz="4" w:space="0"/>
              <w:bottom w:val="single" w:color="C9D5E2" w:sz="4" w:space="0"/>
              <w:right w:val="single" w:color="C9D5E2" w:sz="4" w:space="0"/>
            </w:tcBorders>
            <w:shd w:val="clear" w:color="auto" w:fill="F8FAFD"/>
            <w:tcMar>
              <w:top w:w="20" w:type="dxa"/>
              <w:left w:w="55" w:type="dxa"/>
              <w:bottom w:w="20" w:type="dxa"/>
              <w:right w:w="55" w:type="dxa"/>
            </w:tcMar>
            <w:vAlign w:val="center"/>
          </w:tcPr>
          <w:p w14:paraId="5CF0833B">
            <w:pPr>
              <w:spacing w:before="0" w:after="0" w:line="228" w:lineRule="auto"/>
            </w:pPr>
            <w:r>
              <w:rPr>
                <w:rFonts w:ascii="Times New Roman" w:hAnsi="Times New Roman" w:eastAsia="Times New Roman"/>
                <w:b w:val="0"/>
                <w:color w:val="1D2738"/>
                <w:sz w:val="18"/>
              </w:rPr>
              <w:t>Invalid timestamp</w:t>
            </w:r>
          </w:p>
        </w:tc>
        <w:tc>
          <w:tcPr>
            <w:tcW w:w="4118" w:type="dxa"/>
            <w:tcBorders>
              <w:top w:val="single" w:color="C9D5E2" w:sz="4" w:space="0"/>
              <w:left w:val="single" w:color="C9D5E2" w:sz="4" w:space="0"/>
              <w:bottom w:val="single" w:color="C9D5E2" w:sz="4" w:space="0"/>
              <w:right w:val="single" w:color="C9D5E2" w:sz="4" w:space="0"/>
            </w:tcBorders>
            <w:shd w:val="clear" w:color="auto" w:fill="F8FAFD"/>
            <w:tcMar>
              <w:top w:w="20" w:type="dxa"/>
              <w:left w:w="55" w:type="dxa"/>
              <w:bottom w:w="20" w:type="dxa"/>
              <w:right w:w="55" w:type="dxa"/>
            </w:tcMar>
            <w:vAlign w:val="center"/>
          </w:tcPr>
          <w:p w14:paraId="1AC701EF">
            <w:pPr>
              <w:spacing w:before="0" w:after="0" w:line="228" w:lineRule="auto"/>
            </w:pPr>
            <w:r>
              <w:rPr>
                <w:rFonts w:ascii="Times New Roman" w:hAnsi="Times New Roman" w:eastAsia="Times New Roman"/>
                <w:b w:val="0"/>
                <w:color w:val="1D2738"/>
                <w:sz w:val="18"/>
              </w:rPr>
              <w:t>Timestamp is unparseable.</w:t>
            </w:r>
          </w:p>
        </w:tc>
      </w:tr>
      <w:tr w14:paraId="77ECC2B3">
        <w:trPr>
          <w:cantSplit/>
        </w:trPr>
        <w:tc>
          <w:tcPr>
            <w:tcW w:w="648" w:type="dxa"/>
            <w:tcBorders>
              <w:top w:val="single" w:color="C9D5E2" w:sz="4" w:space="0"/>
              <w:left w:val="single" w:color="C9D5E2" w:sz="4" w:space="0"/>
              <w:bottom w:val="single" w:color="C9D5E2" w:sz="4" w:space="0"/>
              <w:right w:val="single" w:color="C9D5E2" w:sz="4" w:space="0"/>
            </w:tcBorders>
            <w:tcMar>
              <w:top w:w="20" w:type="dxa"/>
              <w:left w:w="55" w:type="dxa"/>
              <w:bottom w:w="20" w:type="dxa"/>
              <w:right w:w="55" w:type="dxa"/>
            </w:tcMar>
            <w:vAlign w:val="center"/>
          </w:tcPr>
          <w:p w14:paraId="2614D927">
            <w:pPr>
              <w:spacing w:before="0" w:after="0" w:line="228" w:lineRule="auto"/>
              <w:jc w:val="center"/>
            </w:pPr>
            <w:r>
              <w:rPr>
                <w:rFonts w:ascii="Times New Roman" w:hAnsi="Times New Roman" w:eastAsia="Times New Roman"/>
                <w:b w:val="0"/>
                <w:color w:val="1D2738"/>
                <w:sz w:val="18"/>
              </w:rPr>
              <w:t>T026</w:t>
            </w:r>
          </w:p>
        </w:tc>
        <w:tc>
          <w:tcPr>
            <w:tcW w:w="1987" w:type="dxa"/>
            <w:tcBorders>
              <w:top w:val="single" w:color="C9D5E2" w:sz="4" w:space="0"/>
              <w:left w:val="single" w:color="C9D5E2" w:sz="4" w:space="0"/>
              <w:bottom w:val="single" w:color="C9D5E2" w:sz="4" w:space="0"/>
              <w:right w:val="single" w:color="C9D5E2" w:sz="4" w:space="0"/>
            </w:tcBorders>
            <w:tcMar>
              <w:top w:w="20" w:type="dxa"/>
              <w:left w:w="55" w:type="dxa"/>
              <w:bottom w:w="20" w:type="dxa"/>
              <w:right w:w="55" w:type="dxa"/>
            </w:tcMar>
            <w:vAlign w:val="center"/>
          </w:tcPr>
          <w:p w14:paraId="4CFECD8C">
            <w:pPr>
              <w:spacing w:before="0" w:after="0" w:line="228" w:lineRule="auto"/>
            </w:pPr>
            <w:r>
              <w:rPr>
                <w:rFonts w:ascii="Times New Roman" w:hAnsi="Times New Roman" w:eastAsia="Times New Roman"/>
                <w:b/>
                <w:color w:val="1D2738"/>
                <w:sz w:val="18"/>
              </w:rPr>
              <w:t>Warning / Conditional EventContract</w:t>
            </w:r>
          </w:p>
        </w:tc>
        <w:tc>
          <w:tcPr>
            <w:tcW w:w="1037" w:type="dxa"/>
            <w:tcBorders>
              <w:top w:val="single" w:color="C9D5E2" w:sz="4" w:space="0"/>
              <w:left w:val="single" w:color="C9D5E2" w:sz="4" w:space="0"/>
              <w:bottom w:val="single" w:color="C9D5E2" w:sz="4" w:space="0"/>
              <w:right w:val="single" w:color="C9D5E2" w:sz="4" w:space="0"/>
            </w:tcBorders>
            <w:tcMar>
              <w:top w:w="20" w:type="dxa"/>
              <w:left w:w="55" w:type="dxa"/>
              <w:bottom w:w="20" w:type="dxa"/>
              <w:right w:w="55" w:type="dxa"/>
            </w:tcMar>
            <w:vAlign w:val="center"/>
          </w:tcPr>
          <w:p w14:paraId="3DDA3F90">
            <w:pPr>
              <w:spacing w:before="0" w:after="0" w:line="228" w:lineRule="auto"/>
            </w:pPr>
            <w:r>
              <w:rPr>
                <w:rFonts w:ascii="Times New Roman" w:hAnsi="Times New Roman" w:eastAsia="Times New Roman"/>
                <w:b w:val="0"/>
                <w:color w:val="1D2738"/>
                <w:sz w:val="18"/>
              </w:rPr>
              <w:t>Conditional</w:t>
            </w:r>
          </w:p>
        </w:tc>
        <w:tc>
          <w:tcPr>
            <w:tcW w:w="2102" w:type="dxa"/>
            <w:tcBorders>
              <w:top w:val="single" w:color="C9D5E2" w:sz="4" w:space="0"/>
              <w:left w:val="single" w:color="C9D5E2" w:sz="4" w:space="0"/>
              <w:bottom w:val="single" w:color="C9D5E2" w:sz="4" w:space="0"/>
              <w:right w:val="single" w:color="C9D5E2" w:sz="4" w:space="0"/>
            </w:tcBorders>
            <w:tcMar>
              <w:top w:w="20" w:type="dxa"/>
              <w:left w:w="55" w:type="dxa"/>
              <w:bottom w:w="20" w:type="dxa"/>
              <w:right w:w="55" w:type="dxa"/>
            </w:tcMar>
            <w:vAlign w:val="center"/>
          </w:tcPr>
          <w:p w14:paraId="4AAEE13E">
            <w:pPr>
              <w:spacing w:before="0" w:after="0" w:line="228" w:lineRule="auto"/>
            </w:pPr>
            <w:r>
              <w:rPr>
                <w:rFonts w:ascii="Times New Roman" w:hAnsi="Times New Roman" w:eastAsia="Times New Roman"/>
                <w:b w:val="0"/>
                <w:color w:val="1D2738"/>
                <w:sz w:val="18"/>
              </w:rPr>
              <w:t>No EventContract UPI taxonomy</w:t>
            </w:r>
          </w:p>
        </w:tc>
        <w:tc>
          <w:tcPr>
            <w:tcW w:w="4118" w:type="dxa"/>
            <w:tcBorders>
              <w:top w:val="single" w:color="C9D5E2" w:sz="4" w:space="0"/>
              <w:left w:val="single" w:color="C9D5E2" w:sz="4" w:space="0"/>
              <w:bottom w:val="single" w:color="C9D5E2" w:sz="4" w:space="0"/>
              <w:right w:val="single" w:color="C9D5E2" w:sz="4" w:space="0"/>
            </w:tcBorders>
            <w:tcMar>
              <w:top w:w="20" w:type="dxa"/>
              <w:left w:w="55" w:type="dxa"/>
              <w:bottom w:w="20" w:type="dxa"/>
              <w:right w:w="55" w:type="dxa"/>
            </w:tcMar>
            <w:vAlign w:val="center"/>
          </w:tcPr>
          <w:p w14:paraId="7FDC5E60">
            <w:pPr>
              <w:spacing w:before="0" w:after="0" w:line="228" w:lineRule="auto"/>
            </w:pPr>
            <w:r>
              <w:rPr>
                <w:rFonts w:ascii="Times New Roman" w:hAnsi="Times New Roman" w:eastAsia="Times New Roman"/>
                <w:b w:val="0"/>
                <w:color w:val="1D2738"/>
                <w:sz w:val="18"/>
              </w:rPr>
              <w:t>EventContract outside ANNA-DSB OTC taxonomy; conditional scope.</w:t>
            </w:r>
          </w:p>
        </w:tc>
      </w:tr>
      <w:tr w14:paraId="799F1DFC">
        <w:trPr>
          <w:cantSplit/>
        </w:trPr>
        <w:tc>
          <w:tcPr>
            <w:tcW w:w="648" w:type="dxa"/>
            <w:tcBorders>
              <w:top w:val="single" w:color="C9D5E2" w:sz="4" w:space="0"/>
              <w:left w:val="single" w:color="C9D5E2" w:sz="4" w:space="0"/>
              <w:bottom w:val="single" w:color="C9D5E2" w:sz="4" w:space="0"/>
              <w:right w:val="single" w:color="C9D5E2" w:sz="4" w:space="0"/>
            </w:tcBorders>
            <w:shd w:val="clear" w:color="auto" w:fill="F8FAFD"/>
            <w:tcMar>
              <w:top w:w="20" w:type="dxa"/>
              <w:left w:w="55" w:type="dxa"/>
              <w:bottom w:w="20" w:type="dxa"/>
              <w:right w:w="55" w:type="dxa"/>
            </w:tcMar>
            <w:vAlign w:val="center"/>
          </w:tcPr>
          <w:p w14:paraId="69BCFDD3">
            <w:pPr>
              <w:spacing w:before="0" w:after="0" w:line="228" w:lineRule="auto"/>
              <w:jc w:val="center"/>
            </w:pPr>
            <w:r>
              <w:rPr>
                <w:rFonts w:ascii="Times New Roman" w:hAnsi="Times New Roman" w:eastAsia="Times New Roman"/>
                <w:b w:val="0"/>
                <w:color w:val="1D2738"/>
                <w:sz w:val="18"/>
              </w:rPr>
              <w:t>T027</w:t>
            </w:r>
          </w:p>
        </w:tc>
        <w:tc>
          <w:tcPr>
            <w:tcW w:w="1987" w:type="dxa"/>
            <w:tcBorders>
              <w:top w:val="single" w:color="C9D5E2" w:sz="4" w:space="0"/>
              <w:left w:val="single" w:color="C9D5E2" w:sz="4" w:space="0"/>
              <w:bottom w:val="single" w:color="C9D5E2" w:sz="4" w:space="0"/>
              <w:right w:val="single" w:color="C9D5E2" w:sz="4" w:space="0"/>
            </w:tcBorders>
            <w:shd w:val="clear" w:color="auto" w:fill="F8FAFD"/>
            <w:tcMar>
              <w:top w:w="20" w:type="dxa"/>
              <w:left w:w="55" w:type="dxa"/>
              <w:bottom w:w="20" w:type="dxa"/>
              <w:right w:w="55" w:type="dxa"/>
            </w:tcMar>
            <w:vAlign w:val="center"/>
          </w:tcPr>
          <w:p w14:paraId="076DE260">
            <w:pPr>
              <w:spacing w:before="0" w:after="0" w:line="228" w:lineRule="auto"/>
            </w:pPr>
            <w:r>
              <w:rPr>
                <w:rFonts w:ascii="Times New Roman" w:hAnsi="Times New Roman" w:eastAsia="Times New Roman"/>
                <w:b/>
                <w:color w:val="1D2738"/>
                <w:sz w:val="18"/>
              </w:rPr>
              <w:t>Non-compliant / Not-reportable EventContract</w:t>
            </w:r>
          </w:p>
        </w:tc>
        <w:tc>
          <w:tcPr>
            <w:tcW w:w="1037" w:type="dxa"/>
            <w:tcBorders>
              <w:top w:val="single" w:color="C9D5E2" w:sz="4" w:space="0"/>
              <w:left w:val="single" w:color="C9D5E2" w:sz="4" w:space="0"/>
              <w:bottom w:val="single" w:color="C9D5E2" w:sz="4" w:space="0"/>
              <w:right w:val="single" w:color="C9D5E2" w:sz="4" w:space="0"/>
            </w:tcBorders>
            <w:shd w:val="clear" w:color="auto" w:fill="F8FAFD"/>
            <w:tcMar>
              <w:top w:w="20" w:type="dxa"/>
              <w:left w:w="55" w:type="dxa"/>
              <w:bottom w:w="20" w:type="dxa"/>
              <w:right w:w="55" w:type="dxa"/>
            </w:tcMar>
            <w:vAlign w:val="center"/>
          </w:tcPr>
          <w:p w14:paraId="4E0F0126">
            <w:pPr>
              <w:spacing w:before="0" w:after="0" w:line="228" w:lineRule="auto"/>
            </w:pPr>
            <w:r>
              <w:rPr>
                <w:rFonts w:ascii="Times New Roman" w:hAnsi="Times New Roman" w:eastAsia="Times New Roman"/>
                <w:b w:val="0"/>
                <w:color w:val="1D2738"/>
                <w:sz w:val="18"/>
              </w:rPr>
              <w:t>Out of scope</w:t>
            </w:r>
          </w:p>
        </w:tc>
        <w:tc>
          <w:tcPr>
            <w:tcW w:w="2102" w:type="dxa"/>
            <w:tcBorders>
              <w:top w:val="single" w:color="C9D5E2" w:sz="4" w:space="0"/>
              <w:left w:val="single" w:color="C9D5E2" w:sz="4" w:space="0"/>
              <w:bottom w:val="single" w:color="C9D5E2" w:sz="4" w:space="0"/>
              <w:right w:val="single" w:color="C9D5E2" w:sz="4" w:space="0"/>
            </w:tcBorders>
            <w:shd w:val="clear" w:color="auto" w:fill="F8FAFD"/>
            <w:tcMar>
              <w:top w:w="20" w:type="dxa"/>
              <w:left w:w="55" w:type="dxa"/>
              <w:bottom w:w="20" w:type="dxa"/>
              <w:right w:w="55" w:type="dxa"/>
            </w:tcMar>
            <w:vAlign w:val="center"/>
          </w:tcPr>
          <w:p w14:paraId="320C7E57">
            <w:pPr>
              <w:spacing w:before="0" w:after="0" w:line="228" w:lineRule="auto"/>
            </w:pPr>
            <w:r>
              <w:rPr>
                <w:rFonts w:ascii="Times New Roman" w:hAnsi="Times New Roman" w:eastAsia="Times New Roman"/>
                <w:b w:val="0"/>
                <w:color w:val="1D2738"/>
                <w:sz w:val="18"/>
              </w:rPr>
              <w:t>No UPI, missing LEIs/UTI, USDC settlement</w:t>
            </w:r>
          </w:p>
        </w:tc>
        <w:tc>
          <w:tcPr>
            <w:tcW w:w="4118" w:type="dxa"/>
            <w:tcBorders>
              <w:top w:val="single" w:color="C9D5E2" w:sz="4" w:space="0"/>
              <w:left w:val="single" w:color="C9D5E2" w:sz="4" w:space="0"/>
              <w:bottom w:val="single" w:color="C9D5E2" w:sz="4" w:space="0"/>
              <w:right w:val="single" w:color="C9D5E2" w:sz="4" w:space="0"/>
            </w:tcBorders>
            <w:shd w:val="clear" w:color="auto" w:fill="F8FAFD"/>
            <w:tcMar>
              <w:top w:w="20" w:type="dxa"/>
              <w:left w:w="55" w:type="dxa"/>
              <w:bottom w:w="20" w:type="dxa"/>
              <w:right w:w="55" w:type="dxa"/>
            </w:tcMar>
            <w:vAlign w:val="center"/>
          </w:tcPr>
          <w:p w14:paraId="3C265EC7">
            <w:pPr>
              <w:spacing w:before="0" w:after="0" w:line="228" w:lineRule="auto"/>
            </w:pPr>
            <w:r>
              <w:rPr>
                <w:rFonts w:ascii="Times New Roman" w:hAnsi="Times New Roman" w:eastAsia="Times New Roman"/>
                <w:b w:val="0"/>
                <w:color w:val="1D2738"/>
                <w:sz w:val="18"/>
              </w:rPr>
              <w:t>Economically hedge-like but not visible through the ordinary CFTC/EMIR OTC reporting path.</w:t>
            </w:r>
          </w:p>
        </w:tc>
      </w:tr>
      <w:tr w14:paraId="5D843C5D">
        <w:trPr>
          <w:cantSplit/>
        </w:trPr>
        <w:tc>
          <w:tcPr>
            <w:tcW w:w="648" w:type="dxa"/>
            <w:tcBorders>
              <w:top w:val="single" w:color="C9D5E2" w:sz="4" w:space="0"/>
              <w:left w:val="single" w:color="C9D5E2" w:sz="4" w:space="0"/>
              <w:bottom w:val="single" w:color="C9D5E2" w:sz="4" w:space="0"/>
              <w:right w:val="single" w:color="C9D5E2" w:sz="4" w:space="0"/>
            </w:tcBorders>
            <w:tcMar>
              <w:top w:w="20" w:type="dxa"/>
              <w:left w:w="55" w:type="dxa"/>
              <w:bottom w:w="20" w:type="dxa"/>
              <w:right w:w="55" w:type="dxa"/>
            </w:tcMar>
            <w:vAlign w:val="center"/>
          </w:tcPr>
          <w:p w14:paraId="59182E93">
            <w:pPr>
              <w:spacing w:before="0" w:after="0" w:line="228" w:lineRule="auto"/>
              <w:jc w:val="center"/>
            </w:pPr>
            <w:r>
              <w:rPr>
                <w:rFonts w:ascii="Times New Roman" w:hAnsi="Times New Roman" w:eastAsia="Times New Roman"/>
                <w:b w:val="0"/>
                <w:color w:val="1D2738"/>
                <w:sz w:val="18"/>
              </w:rPr>
              <w:t>T028</w:t>
            </w:r>
          </w:p>
        </w:tc>
        <w:tc>
          <w:tcPr>
            <w:tcW w:w="1987" w:type="dxa"/>
            <w:tcBorders>
              <w:top w:val="single" w:color="C9D5E2" w:sz="4" w:space="0"/>
              <w:left w:val="single" w:color="C9D5E2" w:sz="4" w:space="0"/>
              <w:bottom w:val="single" w:color="C9D5E2" w:sz="4" w:space="0"/>
              <w:right w:val="single" w:color="C9D5E2" w:sz="4" w:space="0"/>
            </w:tcBorders>
            <w:tcMar>
              <w:top w:w="20" w:type="dxa"/>
              <w:left w:w="55" w:type="dxa"/>
              <w:bottom w:w="20" w:type="dxa"/>
              <w:right w:w="55" w:type="dxa"/>
            </w:tcMar>
            <w:vAlign w:val="center"/>
          </w:tcPr>
          <w:p w14:paraId="62C6A5E0">
            <w:pPr>
              <w:spacing w:before="0" w:after="0" w:line="228" w:lineRule="auto"/>
            </w:pPr>
            <w:r>
              <w:rPr>
                <w:rFonts w:ascii="Times New Roman" w:hAnsi="Times New Roman" w:eastAsia="Times New Roman"/>
                <w:b/>
                <w:color w:val="1D2738"/>
                <w:sz w:val="18"/>
              </w:rPr>
              <w:t>Warning / Conditional EventContract</w:t>
            </w:r>
          </w:p>
        </w:tc>
        <w:tc>
          <w:tcPr>
            <w:tcW w:w="1037" w:type="dxa"/>
            <w:tcBorders>
              <w:top w:val="single" w:color="C9D5E2" w:sz="4" w:space="0"/>
              <w:left w:val="single" w:color="C9D5E2" w:sz="4" w:space="0"/>
              <w:bottom w:val="single" w:color="C9D5E2" w:sz="4" w:space="0"/>
              <w:right w:val="single" w:color="C9D5E2" w:sz="4" w:space="0"/>
            </w:tcBorders>
            <w:tcMar>
              <w:top w:w="20" w:type="dxa"/>
              <w:left w:w="55" w:type="dxa"/>
              <w:bottom w:w="20" w:type="dxa"/>
              <w:right w:w="55" w:type="dxa"/>
            </w:tcMar>
            <w:vAlign w:val="center"/>
          </w:tcPr>
          <w:p w14:paraId="57596360">
            <w:pPr>
              <w:spacing w:before="0" w:after="0" w:line="228" w:lineRule="auto"/>
            </w:pPr>
            <w:r>
              <w:rPr>
                <w:rFonts w:ascii="Times New Roman" w:hAnsi="Times New Roman" w:eastAsia="Times New Roman"/>
                <w:b w:val="0"/>
                <w:color w:val="1D2738"/>
                <w:sz w:val="18"/>
              </w:rPr>
              <w:t>Conditional</w:t>
            </w:r>
          </w:p>
        </w:tc>
        <w:tc>
          <w:tcPr>
            <w:tcW w:w="2102" w:type="dxa"/>
            <w:tcBorders>
              <w:top w:val="single" w:color="C9D5E2" w:sz="4" w:space="0"/>
              <w:left w:val="single" w:color="C9D5E2" w:sz="4" w:space="0"/>
              <w:bottom w:val="single" w:color="C9D5E2" w:sz="4" w:space="0"/>
              <w:right w:val="single" w:color="C9D5E2" w:sz="4" w:space="0"/>
            </w:tcBorders>
            <w:tcMar>
              <w:top w:w="20" w:type="dxa"/>
              <w:left w:w="55" w:type="dxa"/>
              <w:bottom w:w="20" w:type="dxa"/>
              <w:right w:w="55" w:type="dxa"/>
            </w:tcMar>
            <w:vAlign w:val="center"/>
          </w:tcPr>
          <w:p w14:paraId="093E30B8">
            <w:pPr>
              <w:spacing w:before="0" w:after="0" w:line="228" w:lineRule="auto"/>
            </w:pPr>
            <w:r>
              <w:rPr>
                <w:rFonts w:ascii="Times New Roman" w:hAnsi="Times New Roman" w:eastAsia="Times New Roman"/>
                <w:b w:val="0"/>
                <w:color w:val="1D2738"/>
                <w:sz w:val="18"/>
              </w:rPr>
              <w:t>No EventContract UPI taxonomy</w:t>
            </w:r>
          </w:p>
        </w:tc>
        <w:tc>
          <w:tcPr>
            <w:tcW w:w="4118" w:type="dxa"/>
            <w:tcBorders>
              <w:top w:val="single" w:color="C9D5E2" w:sz="4" w:space="0"/>
              <w:left w:val="single" w:color="C9D5E2" w:sz="4" w:space="0"/>
              <w:bottom w:val="single" w:color="C9D5E2" w:sz="4" w:space="0"/>
              <w:right w:val="single" w:color="C9D5E2" w:sz="4" w:space="0"/>
            </w:tcBorders>
            <w:tcMar>
              <w:top w:w="20" w:type="dxa"/>
              <w:left w:w="55" w:type="dxa"/>
              <w:bottom w:w="20" w:type="dxa"/>
              <w:right w:w="55" w:type="dxa"/>
            </w:tcMar>
            <w:vAlign w:val="center"/>
          </w:tcPr>
          <w:p w14:paraId="58214A56">
            <w:pPr>
              <w:spacing w:before="0" w:after="0" w:line="228" w:lineRule="auto"/>
            </w:pPr>
            <w:r>
              <w:rPr>
                <w:rFonts w:ascii="Times New Roman" w:hAnsi="Times New Roman" w:eastAsia="Times New Roman"/>
                <w:b w:val="0"/>
                <w:color w:val="1D2738"/>
                <w:sz w:val="18"/>
              </w:rPr>
              <w:t>Regulatory-event contract outside ordinary OTC taxonomy; conditional scope.</w:t>
            </w:r>
          </w:p>
        </w:tc>
      </w:tr>
    </w:tbl>
    <w:p w14:paraId="5F38A54F">
      <w:pPr>
        <w:pStyle w:val="2"/>
        <w:keepNext/>
        <w:numPr>
          <w:ilvl w:val="0"/>
          <w:numId w:val="1"/>
        </w:numPr>
        <w:spacing w:before="200" w:after="80"/>
        <w:rPr>
          <w:rFonts w:hint="default"/>
          <w:lang w:val="en-US" w:eastAsia="zh-CN"/>
        </w:rPr>
      </w:pPr>
      <w:bookmarkStart w:id="20" w:name="_Toc1245364181"/>
      <w:r>
        <w:rPr>
          <w:rFonts w:hint="default" w:ascii="Georgia" w:hAnsi="Georgia" w:eastAsia="Georgia"/>
          <w:b/>
          <w:color w:val="0D2554"/>
          <w:sz w:val="23"/>
          <w:lang w:val="en-US" w:eastAsia="zh-CN"/>
        </w:rPr>
        <w:t>Prediction Market Classification Frontier</w:t>
      </w:r>
      <w:bookmarkEnd w:id="20"/>
    </w:p>
    <w:p w14:paraId="7E9F2D20">
      <w:pPr>
        <w:pStyle w:val="14"/>
        <w:spacing w:after="120" w:line="259" w:lineRule="auto"/>
        <w:jc w:val="left"/>
      </w:pPr>
      <w:r>
        <w:rPr>
          <w:rFonts w:ascii="Times New Roman" w:hAnsi="Times New Roman" w:eastAsia="Times New Roman"/>
          <w:color w:val="1D2738"/>
          <w:sz w:val="22"/>
        </w:rPr>
        <w:t>The final three trades are the most important part of the written analysis. They are not ordinary bad records; they test whether an economically meaningful hedge still fits the existing OTC reporting perimeter.</w:t>
      </w:r>
    </w:p>
    <w:p w14:paraId="520E3FA9">
      <w:pPr>
        <w:pStyle w:val="15"/>
        <w:keepNext/>
        <w:wordWrap w:val="0"/>
        <w:ind w:left="0" w:leftChars="0" w:firstLine="0" w:firstLineChars="0"/>
        <w:jc w:val="left"/>
        <w:rPr>
          <w:rFonts w:hint="default" w:asciiTheme="minorAscii" w:hAnsiTheme="minorAscii"/>
          <w:color w:val="auto"/>
          <w:lang w:val="en-US"/>
        </w:rPr>
      </w:pPr>
      <w:r>
        <w:rPr>
          <w:rFonts w:ascii="Georgia" w:hAnsi="Georgia" w:eastAsia="Georgia"/>
          <w:b/>
          <w:i w:val="0"/>
          <w:color w:val="0D2554"/>
          <w:sz w:val="19"/>
        </w:rPr>
        <w:t>Table 9: Event-Contract Classification Frontier Summary</w:t>
      </w:r>
    </w:p>
    <w:tbl>
      <w:tblPr>
        <w:tblStyle w:val="17"/>
        <w:tblW w:w="0" w:type="auto"/>
        <w:tblInd w:w="0" w:type="dxa"/>
        <w:tblBorders>
          <w:top w:val="single" w:color="D8E1EE" w:sz="4" w:space="0"/>
          <w:left w:val="single" w:color="D8E1EE" w:sz="4" w:space="0"/>
          <w:bottom w:val="single" w:color="D8E1EE" w:sz="4" w:space="0"/>
          <w:right w:val="single" w:color="D8E1EE" w:sz="4" w:space="0"/>
          <w:insideH w:val="single" w:color="D8E1EE" w:sz="4" w:space="0"/>
          <w:insideV w:val="single" w:color="D8E1EE" w:sz="4" w:space="0"/>
        </w:tblBorders>
        <w:tblLayout w:type="autofit"/>
        <w:tblCellMar>
          <w:top w:w="0" w:type="dxa"/>
          <w:left w:w="108" w:type="dxa"/>
          <w:bottom w:w="0" w:type="dxa"/>
          <w:right w:w="108" w:type="dxa"/>
        </w:tblCellMar>
      </w:tblPr>
      <w:tblGrid>
        <w:gridCol w:w="686"/>
        <w:gridCol w:w="1786"/>
        <w:gridCol w:w="2481"/>
        <w:gridCol w:w="3611"/>
        <w:gridCol w:w="1612"/>
      </w:tblGrid>
      <w:tr w14:paraId="70E8957D">
        <w:trPr>
          <w:cantSplit/>
          <w:tblHeader/>
        </w:trPr>
        <w:tc>
          <w:tcPr>
            <w:tcW w:w="0" w:type="auto"/>
            <w:tcBorders>
              <w:top w:val="single" w:color="C9D5E2" w:sz="4" w:space="0"/>
              <w:left w:val="single" w:color="C9D5E2" w:sz="4" w:space="0"/>
              <w:bottom w:val="single" w:color="C9D5E2" w:sz="4" w:space="0"/>
              <w:right w:val="single" w:color="C9D5E2" w:sz="4" w:space="0"/>
              <w:insideH w:val="single" w:sz="0" w:space="0"/>
            </w:tcBorders>
            <w:shd w:val="clear" w:color="auto" w:fill="0D2554"/>
            <w:vAlign w:val="center"/>
          </w:tcPr>
          <w:p w14:paraId="5981148E">
            <w:pPr>
              <w:pStyle w:val="16"/>
              <w:spacing w:before="0" w:after="0"/>
              <w:jc w:val="center"/>
              <w:rPr>
                <w:b/>
                <w:bCs/>
                <w:sz w:val="21"/>
                <w:szCs w:val="21"/>
              </w:rPr>
            </w:pPr>
            <w:r>
              <w:rPr>
                <w:rFonts w:ascii="Times New Roman" w:hAnsi="Times New Roman" w:eastAsia="Times New Roman"/>
                <w:b/>
                <w:bCs/>
                <w:color w:val="FFFFFF"/>
                <w:sz w:val="18"/>
                <w:szCs w:val="21"/>
              </w:rPr>
              <w:t>Trade</w:t>
            </w:r>
          </w:p>
        </w:tc>
        <w:tc>
          <w:tcPr>
            <w:tcW w:w="0" w:type="auto"/>
            <w:tcBorders>
              <w:top w:val="single" w:color="C9D5E2" w:sz="4" w:space="0"/>
              <w:left w:val="single" w:color="C9D5E2" w:sz="4" w:space="0"/>
              <w:bottom w:val="single" w:color="C9D5E2" w:sz="4" w:space="0"/>
              <w:right w:val="single" w:color="C9D5E2" w:sz="4" w:space="0"/>
              <w:insideH w:val="single" w:sz="0" w:space="0"/>
            </w:tcBorders>
            <w:shd w:val="clear" w:color="auto" w:fill="0D2554"/>
            <w:vAlign w:val="center"/>
          </w:tcPr>
          <w:p w14:paraId="105A9852">
            <w:pPr>
              <w:pStyle w:val="16"/>
              <w:spacing w:before="0" w:after="0"/>
              <w:jc w:val="center"/>
              <w:rPr>
                <w:b/>
                <w:bCs/>
                <w:sz w:val="21"/>
                <w:szCs w:val="21"/>
              </w:rPr>
            </w:pPr>
            <w:r>
              <w:rPr>
                <w:rFonts w:ascii="Times New Roman" w:hAnsi="Times New Roman" w:eastAsia="Times New Roman"/>
                <w:b/>
                <w:bCs/>
                <w:color w:val="FFFFFF"/>
                <w:sz w:val="18"/>
                <w:szCs w:val="21"/>
              </w:rPr>
              <w:t>Platform</w:t>
            </w:r>
          </w:p>
        </w:tc>
        <w:tc>
          <w:tcPr>
            <w:tcW w:w="0" w:type="auto"/>
            <w:tcBorders>
              <w:top w:val="single" w:color="C9D5E2" w:sz="4" w:space="0"/>
              <w:left w:val="single" w:color="C9D5E2" w:sz="4" w:space="0"/>
              <w:bottom w:val="single" w:color="C9D5E2" w:sz="4" w:space="0"/>
              <w:right w:val="single" w:color="C9D5E2" w:sz="4" w:space="0"/>
              <w:insideH w:val="single" w:sz="0" w:space="0"/>
            </w:tcBorders>
            <w:shd w:val="clear" w:color="auto" w:fill="0D2554"/>
            <w:vAlign w:val="center"/>
          </w:tcPr>
          <w:p w14:paraId="03CE52F5">
            <w:pPr>
              <w:pStyle w:val="16"/>
              <w:spacing w:before="0" w:after="0"/>
              <w:jc w:val="center"/>
              <w:rPr>
                <w:b/>
                <w:bCs/>
                <w:sz w:val="21"/>
                <w:szCs w:val="21"/>
              </w:rPr>
            </w:pPr>
            <w:r>
              <w:rPr>
                <w:rFonts w:ascii="Times New Roman" w:hAnsi="Times New Roman" w:eastAsia="Times New Roman"/>
                <w:b/>
                <w:bCs/>
                <w:color w:val="FFFFFF"/>
                <w:sz w:val="18"/>
                <w:szCs w:val="21"/>
              </w:rPr>
              <w:t>Economic function</w:t>
            </w:r>
          </w:p>
        </w:tc>
        <w:tc>
          <w:tcPr>
            <w:tcW w:w="0" w:type="auto"/>
            <w:tcBorders>
              <w:top w:val="single" w:color="C9D5E2" w:sz="4" w:space="0"/>
              <w:left w:val="single" w:color="C9D5E2" w:sz="4" w:space="0"/>
              <w:bottom w:val="single" w:color="C9D5E2" w:sz="4" w:space="0"/>
              <w:right w:val="single" w:color="C9D5E2" w:sz="4" w:space="0"/>
              <w:insideH w:val="single" w:sz="0" w:space="0"/>
            </w:tcBorders>
            <w:shd w:val="clear" w:color="auto" w:fill="0D2554"/>
            <w:vAlign w:val="center"/>
          </w:tcPr>
          <w:p w14:paraId="3B3D2477">
            <w:pPr>
              <w:pStyle w:val="16"/>
              <w:spacing w:before="0" w:after="0"/>
              <w:jc w:val="center"/>
              <w:rPr>
                <w:b/>
                <w:bCs/>
                <w:sz w:val="21"/>
                <w:szCs w:val="21"/>
              </w:rPr>
            </w:pPr>
            <w:r>
              <w:rPr>
                <w:rFonts w:ascii="Times New Roman" w:hAnsi="Times New Roman" w:eastAsia="Times New Roman"/>
                <w:b/>
                <w:bCs/>
                <w:color w:val="FFFFFF"/>
                <w:sz w:val="18"/>
                <w:szCs w:val="21"/>
              </w:rPr>
              <w:t>Legal/reporting issue</w:t>
            </w:r>
          </w:p>
        </w:tc>
        <w:tc>
          <w:tcPr>
            <w:tcW w:w="0" w:type="auto"/>
            <w:tcBorders>
              <w:top w:val="single" w:color="C9D5E2" w:sz="4" w:space="0"/>
              <w:left w:val="single" w:color="C9D5E2" w:sz="4" w:space="0"/>
              <w:bottom w:val="single" w:color="C9D5E2" w:sz="4" w:space="0"/>
              <w:right w:val="single" w:color="C9D5E2" w:sz="4" w:space="0"/>
              <w:insideH w:val="single" w:sz="0" w:space="0"/>
            </w:tcBorders>
            <w:shd w:val="clear" w:color="auto" w:fill="0D2554"/>
            <w:vAlign w:val="center"/>
          </w:tcPr>
          <w:p w14:paraId="420D2801">
            <w:pPr>
              <w:pStyle w:val="16"/>
              <w:spacing w:before="0" w:after="0"/>
              <w:jc w:val="center"/>
              <w:rPr>
                <w:b/>
                <w:bCs/>
                <w:sz w:val="21"/>
                <w:szCs w:val="21"/>
              </w:rPr>
            </w:pPr>
            <w:r>
              <w:rPr>
                <w:rFonts w:ascii="Times New Roman" w:hAnsi="Times New Roman" w:eastAsia="Times New Roman"/>
                <w:b/>
                <w:bCs/>
                <w:color w:val="FFFFFF"/>
                <w:sz w:val="18"/>
                <w:szCs w:val="21"/>
              </w:rPr>
              <w:t>Engine conclusion</w:t>
            </w:r>
          </w:p>
        </w:tc>
      </w:tr>
      <w:tr w14:paraId="1BFFDFDD">
        <w:trPr>
          <w:cantSplit/>
        </w:trPr>
        <w:tc>
          <w:tcPr>
            <w:tcW w:w="0" w:type="auto"/>
            <w:tcBorders>
              <w:top w:val="single" w:color="C9D5E2" w:sz="4" w:space="0"/>
              <w:left w:val="single" w:color="C9D5E2" w:sz="4" w:space="0"/>
              <w:bottom w:val="single" w:color="C9D5E2" w:sz="4" w:space="0"/>
              <w:right w:val="single" w:color="C9D5E2" w:sz="4" w:space="0"/>
            </w:tcBorders>
            <w:vAlign w:val="center"/>
          </w:tcPr>
          <w:p w14:paraId="4D99FD0D">
            <w:pPr>
              <w:pStyle w:val="16"/>
              <w:spacing w:before="0" w:after="0"/>
              <w:jc w:val="center"/>
              <w:rPr>
                <w:sz w:val="20"/>
                <w:szCs w:val="20"/>
              </w:rPr>
            </w:pPr>
            <w:r>
              <w:rPr>
                <w:rFonts w:ascii="Times New Roman" w:hAnsi="Times New Roman" w:eastAsia="Times New Roman"/>
                <w:b w:val="0"/>
                <w:color w:val="1D2738"/>
                <w:sz w:val="18"/>
                <w:szCs w:val="20"/>
              </w:rPr>
              <w:t>T026</w:t>
            </w:r>
          </w:p>
        </w:tc>
        <w:tc>
          <w:tcPr>
            <w:tcW w:w="0" w:type="auto"/>
            <w:tcBorders>
              <w:top w:val="single" w:color="C9D5E2" w:sz="4" w:space="0"/>
              <w:left w:val="single" w:color="C9D5E2" w:sz="4" w:space="0"/>
              <w:bottom w:val="single" w:color="C9D5E2" w:sz="4" w:space="0"/>
              <w:right w:val="single" w:color="C9D5E2" w:sz="4" w:space="0"/>
            </w:tcBorders>
            <w:vAlign w:val="center"/>
          </w:tcPr>
          <w:p w14:paraId="4D348C02">
            <w:pPr>
              <w:pStyle w:val="16"/>
              <w:spacing w:before="0" w:after="0"/>
              <w:jc w:val="center"/>
              <w:rPr>
                <w:sz w:val="20"/>
                <w:szCs w:val="20"/>
              </w:rPr>
            </w:pPr>
            <w:r>
              <w:rPr>
                <w:rFonts w:ascii="Times New Roman" w:hAnsi="Times New Roman" w:eastAsia="Times New Roman"/>
                <w:b w:val="0"/>
                <w:color w:val="1D2738"/>
                <w:sz w:val="18"/>
                <w:szCs w:val="20"/>
              </w:rPr>
              <w:t>Kalshi / CFTC DCM</w:t>
            </w:r>
          </w:p>
        </w:tc>
        <w:tc>
          <w:tcPr>
            <w:tcW w:w="0" w:type="auto"/>
            <w:tcBorders>
              <w:top w:val="single" w:color="C9D5E2" w:sz="4" w:space="0"/>
              <w:left w:val="single" w:color="C9D5E2" w:sz="4" w:space="0"/>
              <w:bottom w:val="single" w:color="C9D5E2" w:sz="4" w:space="0"/>
              <w:right w:val="single" w:color="C9D5E2" w:sz="4" w:space="0"/>
            </w:tcBorders>
            <w:vAlign w:val="center"/>
          </w:tcPr>
          <w:p w14:paraId="02C6DBAC">
            <w:pPr>
              <w:pStyle w:val="16"/>
              <w:spacing w:before="0" w:after="0"/>
              <w:jc w:val="center"/>
              <w:rPr>
                <w:sz w:val="20"/>
                <w:szCs w:val="20"/>
              </w:rPr>
            </w:pPr>
            <w:r>
              <w:rPr>
                <w:rFonts w:ascii="Times New Roman" w:hAnsi="Times New Roman" w:eastAsia="Times New Roman"/>
                <w:b w:val="0"/>
                <w:color w:val="1D2738"/>
                <w:sz w:val="18"/>
                <w:szCs w:val="20"/>
              </w:rPr>
              <w:t>Election subsidy hedge</w:t>
            </w:r>
          </w:p>
        </w:tc>
        <w:tc>
          <w:tcPr>
            <w:tcW w:w="0" w:type="auto"/>
            <w:tcBorders>
              <w:top w:val="single" w:color="C9D5E2" w:sz="4" w:space="0"/>
              <w:left w:val="single" w:color="C9D5E2" w:sz="4" w:space="0"/>
              <w:bottom w:val="single" w:color="C9D5E2" w:sz="4" w:space="0"/>
              <w:right w:val="single" w:color="C9D5E2" w:sz="4" w:space="0"/>
            </w:tcBorders>
            <w:vAlign w:val="center"/>
          </w:tcPr>
          <w:p w14:paraId="0E03A9C0">
            <w:pPr>
              <w:pStyle w:val="16"/>
              <w:spacing w:before="0" w:after="0"/>
              <w:jc w:val="center"/>
              <w:rPr>
                <w:sz w:val="20"/>
                <w:szCs w:val="20"/>
              </w:rPr>
            </w:pPr>
            <w:r>
              <w:rPr>
                <w:rFonts w:ascii="Times New Roman" w:hAnsi="Times New Roman" w:eastAsia="Times New Roman"/>
                <w:b w:val="0"/>
                <w:color w:val="1D2738"/>
                <w:sz w:val="18"/>
                <w:szCs w:val="20"/>
              </w:rPr>
              <w:t>EU gambling/public-policy issue; no OTC UPI</w:t>
            </w:r>
          </w:p>
        </w:tc>
        <w:tc>
          <w:tcPr>
            <w:tcW w:w="0" w:type="auto"/>
            <w:tcBorders>
              <w:top w:val="single" w:color="C9D5E2" w:sz="4" w:space="0"/>
              <w:left w:val="single" w:color="C9D5E2" w:sz="4" w:space="0"/>
              <w:bottom w:val="single" w:color="C9D5E2" w:sz="4" w:space="0"/>
              <w:right w:val="single" w:color="C9D5E2" w:sz="4" w:space="0"/>
            </w:tcBorders>
            <w:vAlign w:val="center"/>
          </w:tcPr>
          <w:p w14:paraId="04B1D01A">
            <w:pPr>
              <w:pStyle w:val="16"/>
              <w:spacing w:before="0" w:after="0"/>
              <w:jc w:val="center"/>
              <w:rPr>
                <w:sz w:val="20"/>
                <w:szCs w:val="20"/>
              </w:rPr>
            </w:pPr>
            <w:r>
              <w:rPr>
                <w:rFonts w:ascii="Times New Roman" w:hAnsi="Times New Roman" w:eastAsia="Times New Roman"/>
                <w:b w:val="0"/>
                <w:color w:val="1D2738"/>
                <w:sz w:val="18"/>
                <w:szCs w:val="20"/>
              </w:rPr>
              <w:t>Ambiguous</w:t>
            </w:r>
          </w:p>
        </w:tc>
      </w:tr>
      <w:tr w14:paraId="5CEAAC70">
        <w:trPr>
          <w:cantSplit/>
        </w:trPr>
        <w:tc>
          <w:tcPr>
            <w:tcW w:w="0" w:type="auto"/>
            <w:tcBorders>
              <w:top w:val="single" w:color="C9D5E2" w:sz="4" w:space="0"/>
              <w:left w:val="single" w:color="C9D5E2" w:sz="4" w:space="0"/>
              <w:bottom w:val="single" w:color="C9D5E2" w:sz="4" w:space="0"/>
              <w:right w:val="single" w:color="C9D5E2" w:sz="4" w:space="0"/>
            </w:tcBorders>
            <w:shd w:val="clear" w:color="auto" w:fill="F8FAFD"/>
            <w:vAlign w:val="center"/>
          </w:tcPr>
          <w:p w14:paraId="26074C8C">
            <w:pPr>
              <w:pStyle w:val="16"/>
              <w:spacing w:before="0" w:after="0"/>
              <w:jc w:val="center"/>
              <w:rPr>
                <w:sz w:val="20"/>
                <w:szCs w:val="20"/>
              </w:rPr>
            </w:pPr>
            <w:r>
              <w:rPr>
                <w:rFonts w:ascii="Times New Roman" w:hAnsi="Times New Roman" w:eastAsia="Times New Roman"/>
                <w:b w:val="0"/>
                <w:color w:val="1D2738"/>
                <w:sz w:val="18"/>
                <w:szCs w:val="20"/>
              </w:rPr>
              <w:t>T027</w:t>
            </w:r>
          </w:p>
        </w:tc>
        <w:tc>
          <w:tcPr>
            <w:tcW w:w="0" w:type="auto"/>
            <w:tcBorders>
              <w:top w:val="single" w:color="C9D5E2" w:sz="4" w:space="0"/>
              <w:left w:val="single" w:color="C9D5E2" w:sz="4" w:space="0"/>
              <w:bottom w:val="single" w:color="C9D5E2" w:sz="4" w:space="0"/>
              <w:right w:val="single" w:color="C9D5E2" w:sz="4" w:space="0"/>
            </w:tcBorders>
            <w:shd w:val="clear" w:color="auto" w:fill="F8FAFD"/>
            <w:vAlign w:val="center"/>
          </w:tcPr>
          <w:p w14:paraId="41BA15FE">
            <w:pPr>
              <w:pStyle w:val="16"/>
              <w:spacing w:before="0" w:after="0"/>
              <w:jc w:val="center"/>
              <w:rPr>
                <w:sz w:val="20"/>
                <w:szCs w:val="20"/>
              </w:rPr>
            </w:pPr>
            <w:r>
              <w:rPr>
                <w:rFonts w:ascii="Times New Roman" w:hAnsi="Times New Roman" w:eastAsia="Times New Roman"/>
                <w:b w:val="0"/>
                <w:color w:val="1D2738"/>
                <w:sz w:val="18"/>
                <w:szCs w:val="20"/>
              </w:rPr>
              <w:t>Polymarket / offshore</w:t>
            </w:r>
          </w:p>
        </w:tc>
        <w:tc>
          <w:tcPr>
            <w:tcW w:w="0" w:type="auto"/>
            <w:tcBorders>
              <w:top w:val="single" w:color="C9D5E2" w:sz="4" w:space="0"/>
              <w:left w:val="single" w:color="C9D5E2" w:sz="4" w:space="0"/>
              <w:bottom w:val="single" w:color="C9D5E2" w:sz="4" w:space="0"/>
              <w:right w:val="single" w:color="C9D5E2" w:sz="4" w:space="0"/>
            </w:tcBorders>
            <w:shd w:val="clear" w:color="auto" w:fill="F8FAFD"/>
            <w:vAlign w:val="center"/>
          </w:tcPr>
          <w:p w14:paraId="08369C59">
            <w:pPr>
              <w:pStyle w:val="16"/>
              <w:spacing w:before="0" w:after="0"/>
              <w:jc w:val="center"/>
              <w:rPr>
                <w:sz w:val="20"/>
                <w:szCs w:val="20"/>
              </w:rPr>
            </w:pPr>
            <w:r>
              <w:rPr>
                <w:rFonts w:ascii="Times New Roman" w:hAnsi="Times New Roman" w:eastAsia="Times New Roman"/>
                <w:b w:val="0"/>
                <w:color w:val="1D2738"/>
                <w:sz w:val="18"/>
                <w:szCs w:val="20"/>
              </w:rPr>
              <w:t>CPI/USD bond exposure hedge</w:t>
            </w:r>
          </w:p>
        </w:tc>
        <w:tc>
          <w:tcPr>
            <w:tcW w:w="0" w:type="auto"/>
            <w:tcBorders>
              <w:top w:val="single" w:color="C9D5E2" w:sz="4" w:space="0"/>
              <w:left w:val="single" w:color="C9D5E2" w:sz="4" w:space="0"/>
              <w:bottom w:val="single" w:color="C9D5E2" w:sz="4" w:space="0"/>
              <w:right w:val="single" w:color="C9D5E2" w:sz="4" w:space="0"/>
            </w:tcBorders>
            <w:shd w:val="clear" w:color="auto" w:fill="F8FAFD"/>
            <w:vAlign w:val="center"/>
          </w:tcPr>
          <w:p w14:paraId="0507FC4E">
            <w:pPr>
              <w:pStyle w:val="16"/>
              <w:spacing w:before="0" w:after="0"/>
              <w:jc w:val="center"/>
              <w:rPr>
                <w:sz w:val="20"/>
                <w:szCs w:val="20"/>
              </w:rPr>
            </w:pPr>
            <w:r>
              <w:rPr>
                <w:rFonts w:ascii="Times New Roman" w:hAnsi="Times New Roman" w:eastAsia="Times New Roman"/>
                <w:b w:val="0"/>
                <w:color w:val="1D2738"/>
                <w:sz w:val="18"/>
                <w:szCs w:val="20"/>
              </w:rPr>
              <w:t>No LEI, USDC settlement, no CFTC DCM</w:t>
            </w:r>
          </w:p>
        </w:tc>
        <w:tc>
          <w:tcPr>
            <w:tcW w:w="0" w:type="auto"/>
            <w:tcBorders>
              <w:top w:val="single" w:color="C9D5E2" w:sz="4" w:space="0"/>
              <w:left w:val="single" w:color="C9D5E2" w:sz="4" w:space="0"/>
              <w:bottom w:val="single" w:color="C9D5E2" w:sz="4" w:space="0"/>
              <w:right w:val="single" w:color="C9D5E2" w:sz="4" w:space="0"/>
            </w:tcBorders>
            <w:shd w:val="clear" w:color="auto" w:fill="F8FAFD"/>
            <w:vAlign w:val="center"/>
          </w:tcPr>
          <w:p w14:paraId="30D89E32">
            <w:pPr>
              <w:pStyle w:val="16"/>
              <w:spacing w:before="0" w:after="0"/>
              <w:jc w:val="center"/>
              <w:rPr>
                <w:sz w:val="20"/>
                <w:szCs w:val="20"/>
              </w:rPr>
            </w:pPr>
            <w:r>
              <w:rPr>
                <w:rFonts w:ascii="Times New Roman" w:hAnsi="Times New Roman" w:eastAsia="Times New Roman"/>
                <w:b w:val="0"/>
                <w:color w:val="1D2738"/>
                <w:sz w:val="18"/>
                <w:szCs w:val="20"/>
              </w:rPr>
              <w:t>Not reportable</w:t>
            </w:r>
          </w:p>
        </w:tc>
      </w:tr>
      <w:tr w14:paraId="7C77F004">
        <w:trPr>
          <w:cantSplit/>
        </w:trPr>
        <w:tc>
          <w:tcPr>
            <w:tcW w:w="0" w:type="auto"/>
            <w:tcBorders>
              <w:top w:val="single" w:color="C9D5E2" w:sz="4" w:space="0"/>
              <w:left w:val="single" w:color="C9D5E2" w:sz="4" w:space="0"/>
              <w:bottom w:val="single" w:color="C9D5E2" w:sz="4" w:space="0"/>
              <w:right w:val="single" w:color="C9D5E2" w:sz="4" w:space="0"/>
            </w:tcBorders>
            <w:vAlign w:val="center"/>
          </w:tcPr>
          <w:p w14:paraId="6C48E2A0">
            <w:pPr>
              <w:pStyle w:val="16"/>
              <w:spacing w:before="0" w:after="0"/>
              <w:jc w:val="center"/>
              <w:rPr>
                <w:sz w:val="20"/>
                <w:szCs w:val="20"/>
              </w:rPr>
            </w:pPr>
            <w:r>
              <w:rPr>
                <w:rFonts w:ascii="Times New Roman" w:hAnsi="Times New Roman" w:eastAsia="Times New Roman"/>
                <w:b w:val="0"/>
                <w:color w:val="1D2738"/>
                <w:sz w:val="18"/>
                <w:szCs w:val="20"/>
              </w:rPr>
              <w:t>T028</w:t>
            </w:r>
          </w:p>
        </w:tc>
        <w:tc>
          <w:tcPr>
            <w:tcW w:w="0" w:type="auto"/>
            <w:tcBorders>
              <w:top w:val="single" w:color="C9D5E2" w:sz="4" w:space="0"/>
              <w:left w:val="single" w:color="C9D5E2" w:sz="4" w:space="0"/>
              <w:bottom w:val="single" w:color="C9D5E2" w:sz="4" w:space="0"/>
              <w:right w:val="single" w:color="C9D5E2" w:sz="4" w:space="0"/>
            </w:tcBorders>
            <w:vAlign w:val="center"/>
          </w:tcPr>
          <w:p w14:paraId="577AD3F8">
            <w:pPr>
              <w:pStyle w:val="16"/>
              <w:spacing w:before="0" w:after="0"/>
              <w:jc w:val="center"/>
              <w:rPr>
                <w:sz w:val="20"/>
                <w:szCs w:val="20"/>
              </w:rPr>
            </w:pPr>
            <w:r>
              <w:rPr>
                <w:rFonts w:ascii="Times New Roman" w:hAnsi="Times New Roman" w:eastAsia="Times New Roman"/>
                <w:b w:val="0"/>
                <w:color w:val="1D2738"/>
                <w:sz w:val="18"/>
                <w:szCs w:val="20"/>
              </w:rPr>
              <w:t>Kalshi / CFTC DCM</w:t>
            </w:r>
          </w:p>
        </w:tc>
        <w:tc>
          <w:tcPr>
            <w:tcW w:w="0" w:type="auto"/>
            <w:tcBorders>
              <w:top w:val="single" w:color="C9D5E2" w:sz="4" w:space="0"/>
              <w:left w:val="single" w:color="C9D5E2" w:sz="4" w:space="0"/>
              <w:bottom w:val="single" w:color="C9D5E2" w:sz="4" w:space="0"/>
              <w:right w:val="single" w:color="C9D5E2" w:sz="4" w:space="0"/>
            </w:tcBorders>
            <w:vAlign w:val="center"/>
          </w:tcPr>
          <w:p w14:paraId="17AE41AE">
            <w:pPr>
              <w:pStyle w:val="16"/>
              <w:spacing w:before="0" w:after="0"/>
              <w:jc w:val="center"/>
              <w:rPr>
                <w:sz w:val="20"/>
                <w:szCs w:val="20"/>
              </w:rPr>
            </w:pPr>
            <w:r>
              <w:rPr>
                <w:rFonts w:ascii="Times New Roman" w:hAnsi="Times New Roman" w:eastAsia="Times New Roman"/>
                <w:b w:val="0"/>
                <w:color w:val="1D2738"/>
                <w:sz w:val="18"/>
                <w:szCs w:val="20"/>
              </w:rPr>
              <w:t>AI Act compliance-cost hedge</w:t>
            </w:r>
          </w:p>
        </w:tc>
        <w:tc>
          <w:tcPr>
            <w:tcW w:w="0" w:type="auto"/>
            <w:tcBorders>
              <w:top w:val="single" w:color="C9D5E2" w:sz="4" w:space="0"/>
              <w:left w:val="single" w:color="C9D5E2" w:sz="4" w:space="0"/>
              <w:bottom w:val="single" w:color="C9D5E2" w:sz="4" w:space="0"/>
              <w:right w:val="single" w:color="C9D5E2" w:sz="4" w:space="0"/>
            </w:tcBorders>
            <w:vAlign w:val="center"/>
          </w:tcPr>
          <w:p w14:paraId="66F39F45">
            <w:pPr>
              <w:pStyle w:val="16"/>
              <w:spacing w:before="0" w:after="0"/>
              <w:jc w:val="center"/>
              <w:rPr>
                <w:sz w:val="20"/>
                <w:szCs w:val="20"/>
              </w:rPr>
            </w:pPr>
            <w:r>
              <w:rPr>
                <w:rFonts w:ascii="Times New Roman" w:hAnsi="Times New Roman" w:eastAsia="Times New Roman"/>
                <w:b w:val="0"/>
                <w:color w:val="1D2738"/>
                <w:sz w:val="18"/>
                <w:szCs w:val="20"/>
              </w:rPr>
              <w:t>Regulatory decision event; no OTC UPI</w:t>
            </w:r>
          </w:p>
        </w:tc>
        <w:tc>
          <w:tcPr>
            <w:tcW w:w="0" w:type="auto"/>
            <w:tcBorders>
              <w:top w:val="single" w:color="C9D5E2" w:sz="4" w:space="0"/>
              <w:left w:val="single" w:color="C9D5E2" w:sz="4" w:space="0"/>
              <w:bottom w:val="single" w:color="C9D5E2" w:sz="4" w:space="0"/>
              <w:right w:val="single" w:color="C9D5E2" w:sz="4" w:space="0"/>
            </w:tcBorders>
            <w:vAlign w:val="center"/>
          </w:tcPr>
          <w:p w14:paraId="3866D899">
            <w:pPr>
              <w:pStyle w:val="16"/>
              <w:spacing w:before="0" w:after="0"/>
              <w:jc w:val="center"/>
              <w:rPr>
                <w:sz w:val="20"/>
                <w:szCs w:val="20"/>
              </w:rPr>
            </w:pPr>
            <w:r>
              <w:rPr>
                <w:rFonts w:ascii="Times New Roman" w:hAnsi="Times New Roman" w:eastAsia="Times New Roman"/>
                <w:b w:val="0"/>
                <w:color w:val="1D2738"/>
                <w:sz w:val="18"/>
                <w:szCs w:val="20"/>
              </w:rPr>
              <w:t>Ambiguous</w:t>
            </w:r>
          </w:p>
        </w:tc>
      </w:tr>
    </w:tbl>
    <w:p w14:paraId="7BDB7A7B">
      <w:pPr>
        <w:pStyle w:val="3"/>
        <w:keepNext w:val="0"/>
        <w:keepLines w:val="0"/>
        <w:widowControl w:val="0"/>
        <w:kinsoku/>
        <w:wordWrap/>
        <w:overflowPunct/>
        <w:topLinePunct w:val="0"/>
        <w:autoSpaceDE/>
        <w:autoSpaceDN/>
        <w:bidi w:val="0"/>
        <w:adjustRightInd/>
        <w:snapToGrid/>
        <w:spacing w:after="120" w:line="259" w:lineRule="auto"/>
        <w:jc w:val="left"/>
        <w:textAlignment w:val="auto"/>
        <w:rPr>
          <w:rFonts w:ascii="Aptos" w:hAnsi="Aptos" w:cs="Times New Roman"/>
          <w:b w:val="0"/>
          <w:bCs w:val="0"/>
          <w:i/>
          <w:iCs/>
          <w:color w:val="000000" w:themeColor="text1"/>
          <w:sz w:val="16"/>
          <w:szCs w:val="16"/>
          <w:highlight w:val="none"/>
          <w:lang w:eastAsia="zh-CN"/>
          <w14:textFill>
            <w14:solidFill>
              <w14:schemeClr w14:val="tx1"/>
            </w14:solidFill>
          </w14:textFill>
        </w:rPr>
      </w:pPr>
      <w:r>
        <w:rPr>
          <w:rFonts w:ascii="Times New Roman" w:hAnsi="Times New Roman" w:eastAsia="Times New Roman" w:cs="Times New Roman"/>
          <w:b/>
          <w:bCs/>
          <w:i/>
          <w:iCs/>
          <w:color w:val="000000" w:themeColor="text1"/>
          <w:sz w:val="22"/>
          <w:szCs w:val="16"/>
          <w:highlight w:val="none"/>
          <w14:textFill>
            <w14:solidFill>
              <w14:schemeClr w14:val="tx1"/>
            </w14:solidFill>
          </w14:textFill>
        </w:rPr>
        <w:t xml:space="preserve">Note: </w:t>
      </w:r>
      <w:r>
        <w:rPr>
          <w:rFonts w:ascii="Times New Roman" w:hAnsi="Times New Roman" w:eastAsia="Times New Roman" w:cs="Times New Roman"/>
          <w:b w:val="0"/>
          <w:bCs w:val="0"/>
          <w:i/>
          <w:iCs/>
          <w:color w:val="000000" w:themeColor="text1"/>
          <w:sz w:val="22"/>
          <w:szCs w:val="16"/>
          <w:highlight w:val="none"/>
          <w14:textFill>
            <w14:solidFill>
              <w14:schemeClr w14:val="tx1"/>
            </w14:solidFill>
          </w14:textFill>
        </w:rPr>
        <w:t>"Ambiguous" in this table corresponds to CONDITIONAL_EVENT_CONTRACT in the engine output (compliance_report.json). The label reflects regulatory uncertainty pending CFTC ANPR resolution.</w:t>
      </w:r>
    </w:p>
    <w:p w14:paraId="67FE207C">
      <w:pPr>
        <w:pStyle w:val="3"/>
        <w:spacing w:after="120" w:line="259" w:lineRule="auto"/>
        <w:jc w:val="left"/>
      </w:pPr>
      <w:r>
        <w:rPr>
          <w:rFonts w:ascii="Times New Roman" w:hAnsi="Times New Roman" w:eastAsia="Times New Roman"/>
          <w:color w:val="1D2738"/>
          <w:sz w:val="22"/>
        </w:rPr>
        <w:t>The event-contract case-file fields are treated as source facts supplied by the homework scenario. The engine separately evaluates taxonomy coverage, identifier availability, settlement-currency visibility, platform type, and reporting scope so that a source label does not become the engine’s only reasoning path.</w:t>
      </w:r>
    </w:p>
    <w:p w14:paraId="52B2D7F1">
      <w:pPr>
        <w:pStyle w:val="3"/>
        <w:spacing w:after="120" w:line="259" w:lineRule="auto"/>
        <w:jc w:val="left"/>
      </w:pPr>
      <w:r>
        <w:rPr>
          <w:rFonts w:ascii="Times New Roman" w:hAnsi="Times New Roman" w:eastAsia="Times New Roman"/>
          <w:color w:val="1D2738"/>
          <w:sz w:val="22"/>
        </w:rPr>
        <w:t>T026 and T028 are Kalshi-style EventContracts on a CFTC DCM. They can perform an economic hedging function, but they remain CONDITIONAL_EVENT_CONTRACT records because the ordinary OTC UPI taxonomy does not yet provide a clean product-definition route for them.</w:t>
      </w:r>
    </w:p>
    <w:p w14:paraId="61F9655D">
      <w:pPr>
        <w:pStyle w:val="3"/>
        <w:spacing w:after="120" w:line="259" w:lineRule="auto"/>
        <w:jc w:val="left"/>
        <w:rPr>
          <w:rFonts w:hint="default"/>
          <w:lang w:val="en-US" w:eastAsia="zh-CN"/>
        </w:rPr>
      </w:pPr>
      <w:r>
        <w:rPr>
          <w:rFonts w:ascii="Times New Roman" w:hAnsi="Times New Roman" w:eastAsia="Times New Roman"/>
          <w:color w:val="1D2738"/>
          <w:sz w:val="22"/>
        </w:rPr>
        <w:t>T027 is different: it is a Polymarket / offshore EventContract with no LEIs, no UTI, USDC settlement, and no CFTC DCM status. It is economically hedge-like, yet the engine classifies it as NOT_REPORTABLE_EVENT_CONTRACT because it is not visible through the ordinary CFTC/EMIR OTC reporting path.</w:t>
      </w:r>
    </w:p>
    <w:p w14:paraId="4D8295ED">
      <w:pPr>
        <w:pStyle w:val="3"/>
        <w:spacing w:after="120" w:line="259" w:lineRule="auto"/>
        <w:jc w:val="left"/>
      </w:pPr>
      <w:r>
        <w:rPr>
          <w:rFonts w:ascii="Times New Roman" w:hAnsi="Times New Roman" w:eastAsia="Times New Roman"/>
          <w:color w:val="1D2738"/>
          <w:sz w:val="22"/>
        </w:rPr>
        <w:t>The economic function test is necessary but not sufficient. A contract can transfer real economic risk and still fall outside the reporting infrastructure because of platform type, jurisdiction, legal classification, and settlement rail.</w:t>
      </w:r>
    </w:p>
    <w:p w14:paraId="69AA43B9">
      <w:pPr>
        <w:pStyle w:val="3"/>
        <w:spacing w:after="120" w:line="259" w:lineRule="auto"/>
        <w:jc w:val="left"/>
      </w:pPr>
      <w:r>
        <w:rPr>
          <w:rFonts w:ascii="Times New Roman" w:hAnsi="Times New Roman" w:eastAsia="Times New Roman"/>
          <w:color w:val="1D2738"/>
          <w:sz w:val="22"/>
        </w:rPr>
        <w:t>The broader regulatory-arbitrage point is that economically similar risk-transfer contracts can move across venue, settlement rail, and legal classification. A licensed DCM EventContract, an offshore crypto-settled market, and a bilateral OTC derivative may hedge related exposures, but only some generate the UPI, UTI, LEI, and trade-repository visibility used by ordinary OTC reporting infrastructure.</w:t>
      </w:r>
    </w:p>
    <w:p w14:paraId="73A3143E">
      <w:pPr>
        <w:jc w:val="center"/>
      </w:pPr>
      <w:r>
        <w:drawing>
          <wp:inline distT="0" distB="0" distL="114300" distR="114300">
            <wp:extent cx="5349240" cy="3249295"/>
            <wp:effectExtent l="0" t="0" r="10160" b="190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9"/>
                    <a:stretch>
                      <a:fillRect/>
                    </a:stretch>
                  </pic:blipFill>
                  <pic:spPr>
                    <a:xfrm>
                      <a:off x="0" y="0"/>
                      <a:ext cx="5349240" cy="3249512"/>
                    </a:xfrm>
                    <a:prstGeom prst="rect">
                      <a:avLst/>
                    </a:prstGeom>
                  </pic:spPr>
                </pic:pic>
              </a:graphicData>
            </a:graphic>
          </wp:inline>
        </w:drawing>
      </w:r>
    </w:p>
    <w:p w14:paraId="26E69B2B">
      <w:pPr>
        <w:pStyle w:val="15"/>
        <w:keepNext/>
      </w:pPr>
      <w:r>
        <w:rPr>
          <w:rFonts w:ascii="Georgia" w:hAnsi="Georgia" w:eastAsia="Georgia"/>
          <w:b/>
          <w:color w:val="0D2554"/>
          <w:sz w:val="19"/>
        </w:rPr>
        <w:t>Figure 3: EventContract Classification Frontier Matrix</w:t>
      </w:r>
    </w:p>
    <w:p w14:paraId="0168E102">
      <w:pPr>
        <w:pStyle w:val="3"/>
        <w:shd w:val="clear" w:fill="EAF2F8"/>
        <w:spacing w:before="120" w:after="160" w:line="259" w:lineRule="auto"/>
        <w:jc w:val="left"/>
      </w:pPr>
      <w:r>
        <w:rPr>
          <w:rFonts w:ascii="Times New Roman" w:hAnsi="Times New Roman" w:eastAsia="Times New Roman"/>
          <w:b/>
          <w:color w:val="1D2738"/>
          <w:sz w:val="22"/>
        </w:rPr>
        <w:t xml:space="preserve">Key interpretation: </w:t>
      </w:r>
      <w:r>
        <w:rPr>
          <w:rFonts w:ascii="Times New Roman" w:hAnsi="Times New Roman" w:eastAsia="Times New Roman"/>
          <w:color w:val="1D2738"/>
          <w:sz w:val="22"/>
        </w:rPr>
        <w:t>T027 is the clearest visibility-risk case because it has plausible economic hedge value but weak UPI / UTI / LEI reporting coverage.</w:t>
      </w:r>
    </w:p>
    <w:p w14:paraId="55361A1A">
      <w:pPr>
        <w:pStyle w:val="3"/>
        <w:spacing w:after="120" w:line="259" w:lineRule="auto"/>
        <w:jc w:val="left"/>
        <w:rPr>
          <w:lang w:eastAsia="zh-CN"/>
        </w:rPr>
      </w:pPr>
      <w:r>
        <w:rPr>
          <w:rFonts w:ascii="Times New Roman" w:hAnsi="Times New Roman" w:eastAsia="Times New Roman"/>
          <w:color w:val="1D2738"/>
          <w:sz w:val="22"/>
          <w:lang w:eastAsia="zh-CN"/>
        </w:rPr>
        <w:t>The three-question economic function test provides a structured basis for distinguishing genuine hedging instruments from speculative contracts or products that fall outside the OTC reporting perimeter. A "Yes" answer to all three questions is necessary but not sufficient for OTC reporting obligations; platform type, legal entity identifier coverage, and taxonomy availability must also be satisfied.</w:t>
      </w:r>
    </w:p>
    <w:p w14:paraId="3C18C863">
      <w:pPr>
        <w:pStyle w:val="15"/>
        <w:keepNext/>
        <w:wordWrap w:val="0"/>
        <w:ind w:left="0" w:leftChars="0" w:firstLine="0" w:firstLineChars="0"/>
        <w:jc w:val="left"/>
        <w:rPr>
          <w:rFonts w:hint="default" w:asciiTheme="minorAscii" w:hAnsiTheme="minorAscii"/>
          <w:color w:val="auto"/>
          <w:lang w:val="en-US"/>
        </w:rPr>
      </w:pPr>
      <w:r>
        <w:rPr>
          <w:rFonts w:ascii="Georgia" w:hAnsi="Georgia" w:eastAsia="Georgia"/>
          <w:b/>
          <w:i w:val="0"/>
          <w:color w:val="0D2554"/>
          <w:sz w:val="19"/>
        </w:rPr>
        <w:t>Table 10: Economic Function Test for Event Contracts</w:t>
      </w:r>
    </w:p>
    <w:tbl>
      <w:tblPr>
        <w:tblStyle w:val="5"/>
        <w:tblW w:w="0" w:type="auto"/>
        <w:tblInd w:w="0" w:type="dxa"/>
        <w:tblBorders>
          <w:top w:val="single" w:color="D8E1EE" w:sz="4" w:space="0"/>
          <w:left w:val="single" w:color="D8E1EE" w:sz="4" w:space="0"/>
          <w:bottom w:val="single" w:color="D8E1EE" w:sz="4" w:space="0"/>
          <w:right w:val="single" w:color="D8E1EE" w:sz="4" w:space="0"/>
          <w:insideH w:val="single" w:color="D8E1EE" w:sz="4" w:space="0"/>
          <w:insideV w:val="single" w:color="D8E1EE" w:sz="4" w:space="0"/>
        </w:tblBorders>
        <w:shd w:val="clear" w:color="auto" w:fill="auto"/>
        <w:tblLayout w:type="autofit"/>
        <w:tblCellMar>
          <w:top w:w="0" w:type="dxa"/>
          <w:left w:w="108" w:type="dxa"/>
          <w:bottom w:w="0" w:type="dxa"/>
          <w:right w:w="108" w:type="dxa"/>
        </w:tblCellMar>
      </w:tblPr>
      <w:tblGrid>
        <w:gridCol w:w="1610"/>
        <w:gridCol w:w="1731"/>
        <w:gridCol w:w="6853"/>
      </w:tblGrid>
      <w:tr w14:paraId="0A9CCB50">
        <w:trPr>
          <w:cantSplit/>
          <w:trHeight w:val="936" w:hRule="atLeast"/>
          <w:tblHeader/>
        </w:trPr>
        <w:tc>
          <w:tcPr>
            <w:tcW w:w="0" w:type="auto"/>
            <w:tcBorders>
              <w:top w:val="single" w:color="C9D5E2" w:sz="4" w:space="0"/>
              <w:left w:val="single" w:color="C9D5E2" w:sz="4" w:space="0"/>
              <w:bottom w:val="single" w:color="C9D5E2" w:sz="4" w:space="0"/>
              <w:right w:val="single" w:color="C9D5E2" w:sz="4" w:space="0"/>
            </w:tcBorders>
            <w:shd w:val="clear" w:color="auto" w:fill="0D2554"/>
            <w:vAlign w:val="center"/>
          </w:tcPr>
          <w:p w14:paraId="4C3D7E84">
            <w:pPr>
              <w:keepNext w:val="0"/>
              <w:keepLines w:val="0"/>
              <w:widowControl/>
              <w:suppressLineNumbers w:val="0"/>
              <w:spacing w:before="0" w:after="0"/>
              <w:jc w:val="center"/>
              <w:textAlignment w:val="center"/>
              <w:rPr>
                <w:rFonts w:hint="default" w:asciiTheme="minorHAnsi" w:hAnsiTheme="minorHAnsi" w:eastAsiaTheme="minorEastAsia" w:cstheme="minorBidi"/>
                <w:b/>
                <w:bCs/>
                <w:kern w:val="2"/>
                <w:sz w:val="22"/>
                <w:szCs w:val="28"/>
                <w:lang w:val="en-US" w:eastAsia="zh-CN" w:bidi="ar-SA"/>
              </w:rPr>
            </w:pPr>
            <w:r>
              <w:rPr>
                <w:rFonts w:hint="default" w:asciiTheme="minorHAnsi" w:hAnsiTheme="minorHAnsi" w:eastAsiaTheme="minorEastAsia" w:cstheme="minorBidi"/>
                <w:b/>
                <w:bCs/>
                <w:color w:val="FFFFFF"/>
                <w:kern w:val="2"/>
                <w:sz w:val="18"/>
                <w:szCs w:val="28"/>
                <w:lang w:val="en-US" w:eastAsia="zh-CN" w:bidi="ar-SA"/>
              </w:rPr>
              <w:t>Trade</w:t>
            </w:r>
          </w:p>
        </w:tc>
        <w:tc>
          <w:tcPr>
            <w:tcW w:w="0" w:type="auto"/>
            <w:tcBorders>
              <w:top w:val="single" w:color="C9D5E2" w:sz="4" w:space="0"/>
              <w:left w:val="single" w:color="C9D5E2" w:sz="4" w:space="0"/>
              <w:bottom w:val="single" w:color="C9D5E2" w:sz="4" w:space="0"/>
              <w:right w:val="single" w:color="C9D5E2" w:sz="4" w:space="0"/>
            </w:tcBorders>
            <w:shd w:val="clear" w:color="auto" w:fill="0D2554"/>
            <w:vAlign w:val="center"/>
          </w:tcPr>
          <w:p w14:paraId="07702BE8">
            <w:pPr>
              <w:keepNext w:val="0"/>
              <w:keepLines w:val="0"/>
              <w:widowControl/>
              <w:suppressLineNumbers w:val="0"/>
              <w:spacing w:before="0" w:after="0"/>
              <w:jc w:val="center"/>
              <w:textAlignment w:val="center"/>
              <w:rPr>
                <w:rFonts w:hint="default" w:asciiTheme="minorHAnsi" w:hAnsiTheme="minorHAnsi" w:eastAsiaTheme="minorEastAsia" w:cstheme="minorBidi"/>
                <w:b/>
                <w:bCs/>
                <w:kern w:val="2"/>
                <w:sz w:val="22"/>
                <w:szCs w:val="28"/>
                <w:lang w:val="en-US" w:eastAsia="zh-CN" w:bidi="ar-SA"/>
              </w:rPr>
            </w:pPr>
            <w:r>
              <w:rPr>
                <w:rFonts w:hint="default" w:asciiTheme="minorHAnsi" w:hAnsiTheme="minorHAnsi" w:eastAsiaTheme="minorEastAsia" w:cstheme="minorBidi"/>
                <w:b/>
                <w:bCs/>
                <w:color w:val="FFFFFF"/>
                <w:kern w:val="2"/>
                <w:sz w:val="18"/>
                <w:szCs w:val="28"/>
                <w:lang w:val="en-US" w:eastAsia="zh-CN" w:bidi="ar-SA"/>
              </w:rPr>
              <w:t>Test item</w:t>
            </w:r>
          </w:p>
        </w:tc>
        <w:tc>
          <w:tcPr>
            <w:tcW w:w="0" w:type="auto"/>
            <w:tcBorders>
              <w:top w:val="single" w:color="C9D5E2" w:sz="4" w:space="0"/>
              <w:left w:val="single" w:color="C9D5E2" w:sz="4" w:space="0"/>
              <w:bottom w:val="single" w:color="C9D5E2" w:sz="4" w:space="0"/>
              <w:right w:val="single" w:color="C9D5E2" w:sz="4" w:space="0"/>
            </w:tcBorders>
            <w:shd w:val="clear" w:color="auto" w:fill="0D2554"/>
            <w:vAlign w:val="center"/>
          </w:tcPr>
          <w:p w14:paraId="436B2576">
            <w:pPr>
              <w:keepNext w:val="0"/>
              <w:keepLines w:val="0"/>
              <w:widowControl/>
              <w:suppressLineNumbers w:val="0"/>
              <w:spacing w:before="0" w:after="0"/>
              <w:jc w:val="center"/>
              <w:textAlignment w:val="center"/>
              <w:rPr>
                <w:rFonts w:hint="default" w:asciiTheme="minorHAnsi" w:hAnsiTheme="minorHAnsi" w:eastAsiaTheme="minorEastAsia" w:cstheme="minorBidi"/>
                <w:b/>
                <w:bCs/>
                <w:kern w:val="2"/>
                <w:sz w:val="22"/>
                <w:szCs w:val="28"/>
                <w:lang w:val="en-US" w:eastAsia="zh-CN" w:bidi="ar-SA"/>
              </w:rPr>
            </w:pPr>
            <w:r>
              <w:rPr>
                <w:rFonts w:hint="default" w:asciiTheme="minorHAnsi" w:hAnsiTheme="minorHAnsi" w:eastAsiaTheme="minorEastAsia" w:cstheme="minorBidi"/>
                <w:b/>
                <w:bCs/>
                <w:color w:val="FFFFFF"/>
                <w:kern w:val="2"/>
                <w:sz w:val="18"/>
                <w:szCs w:val="28"/>
                <w:lang w:val="en-US" w:eastAsia="zh-CN" w:bidi="ar-SA"/>
              </w:rPr>
              <w:t>Assessment</w:t>
            </w:r>
          </w:p>
        </w:tc>
      </w:tr>
      <w:tr w14:paraId="241E96FF">
        <w:trPr>
          <w:cantSplit/>
          <w:trHeight w:val="936" w:hRule="atLeast"/>
        </w:trPr>
        <w:tc>
          <w:tcPr>
            <w:tcW w:w="0" w:type="auto"/>
            <w:vMerge w:val="restart"/>
            <w:tcBorders>
              <w:top w:val="single" w:color="C9D5E2" w:sz="4" w:space="0"/>
              <w:left w:val="single" w:color="C9D5E2" w:sz="4" w:space="0"/>
              <w:bottom w:val="single" w:color="C9D5E2" w:sz="4" w:space="0"/>
              <w:right w:val="single" w:color="C9D5E2" w:sz="4" w:space="0"/>
            </w:tcBorders>
            <w:shd w:val="clear" w:color="auto" w:fill="F8FAFD"/>
            <w:vAlign w:val="center"/>
          </w:tcPr>
          <w:p w14:paraId="1E4D3E8C">
            <w:pPr>
              <w:keepNext w:val="0"/>
              <w:keepLines w:val="0"/>
              <w:widowControl/>
              <w:suppressLineNumbers w:val="0"/>
              <w:spacing w:before="0" w:after="0"/>
              <w:jc w:val="center"/>
              <w:textAlignment w:val="center"/>
              <w:rPr>
                <w:rFonts w:hint="eastAsia" w:asciiTheme="minorHAnsi" w:hAnsiTheme="minorHAnsi" w:eastAsiaTheme="minorEastAsia" w:cstheme="minorBidi"/>
                <w:kern w:val="2"/>
                <w:sz w:val="18"/>
                <w:szCs w:val="21"/>
                <w:lang w:val="en-US" w:eastAsia="zh-CN" w:bidi="ar-SA"/>
              </w:rPr>
            </w:pPr>
            <w:r>
              <w:rPr>
                <w:rFonts w:hint="eastAsia" w:asciiTheme="minorHAnsi" w:hAnsiTheme="minorHAnsi" w:eastAsiaTheme="minorEastAsia" w:cstheme="minorBidi"/>
                <w:b/>
                <w:color w:val="1D2738"/>
                <w:kern w:val="2"/>
                <w:sz w:val="18"/>
                <w:szCs w:val="21"/>
                <w:lang w:val="en-US" w:eastAsia="zh-CN" w:bidi="ar-SA"/>
              </w:rPr>
              <w:t>T026 Kalshi / German election</w:t>
            </w:r>
          </w:p>
        </w:tc>
        <w:tc>
          <w:tcPr>
            <w:tcW w:w="0" w:type="auto"/>
            <w:tcBorders>
              <w:top w:val="single" w:color="C9D5E2" w:sz="4" w:space="0"/>
              <w:left w:val="single" w:color="C9D5E2" w:sz="4" w:space="0"/>
              <w:bottom w:val="single" w:color="C9D5E2" w:sz="4" w:space="0"/>
              <w:right w:val="single" w:color="C9D5E2" w:sz="4" w:space="0"/>
            </w:tcBorders>
            <w:shd w:val="clear" w:color="auto" w:fill="auto"/>
            <w:vAlign w:val="center"/>
          </w:tcPr>
          <w:p w14:paraId="7EFB378D">
            <w:pPr>
              <w:keepNext w:val="0"/>
              <w:keepLines w:val="0"/>
              <w:widowControl/>
              <w:suppressLineNumbers w:val="0"/>
              <w:spacing w:before="0" w:after="0"/>
              <w:jc w:val="left"/>
              <w:textAlignment w:val="center"/>
              <w:rPr>
                <w:rFonts w:hint="eastAsia" w:asciiTheme="minorHAnsi" w:hAnsiTheme="minorHAnsi" w:eastAsiaTheme="minorEastAsia" w:cstheme="minorBidi"/>
                <w:kern w:val="2"/>
                <w:sz w:val="20"/>
                <w:szCs w:val="22"/>
                <w:lang w:val="en-US" w:eastAsia="zh-CN" w:bidi="ar-SA"/>
              </w:rPr>
            </w:pPr>
            <w:r>
              <w:rPr>
                <w:rFonts w:hint="eastAsia" w:asciiTheme="minorHAnsi" w:hAnsiTheme="minorHAnsi" w:eastAsiaTheme="minorEastAsia" w:cstheme="minorBidi"/>
                <w:b w:val="0"/>
                <w:color w:val="1D2738"/>
                <w:kern w:val="2"/>
                <w:sz w:val="18"/>
                <w:szCs w:val="22"/>
                <w:lang w:val="en-US" w:eastAsia="zh-CN" w:bidi="ar-SA"/>
              </w:rPr>
              <w:t>Q1: Quantifiable exposure?</w:t>
            </w:r>
          </w:p>
        </w:tc>
        <w:tc>
          <w:tcPr>
            <w:tcW w:w="0" w:type="auto"/>
            <w:tcBorders>
              <w:top w:val="single" w:color="C9D5E2" w:sz="4" w:space="0"/>
              <w:left w:val="single" w:color="C9D5E2" w:sz="4" w:space="0"/>
              <w:bottom w:val="single" w:color="C9D5E2" w:sz="4" w:space="0"/>
              <w:right w:val="single" w:color="C9D5E2" w:sz="4" w:space="0"/>
            </w:tcBorders>
            <w:shd w:val="clear" w:color="auto" w:fill="auto"/>
            <w:vAlign w:val="center"/>
          </w:tcPr>
          <w:p w14:paraId="19CEEF96">
            <w:pPr>
              <w:keepNext w:val="0"/>
              <w:keepLines w:val="0"/>
              <w:widowControl/>
              <w:suppressLineNumbers w:val="0"/>
              <w:spacing w:before="0" w:after="0"/>
              <w:jc w:val="left"/>
              <w:textAlignment w:val="center"/>
              <w:rPr>
                <w:rFonts w:hint="eastAsia" w:asciiTheme="minorHAnsi" w:hAnsiTheme="minorHAnsi" w:eastAsiaTheme="minorEastAsia" w:cstheme="minorBidi"/>
                <w:kern w:val="2"/>
                <w:sz w:val="18"/>
                <w:szCs w:val="21"/>
                <w:lang w:val="en-US" w:eastAsia="zh-CN" w:bidi="ar-SA"/>
              </w:rPr>
            </w:pPr>
            <w:r>
              <w:rPr>
                <w:rFonts w:hint="eastAsia" w:asciiTheme="minorHAnsi" w:hAnsiTheme="minorHAnsi" w:eastAsiaTheme="minorEastAsia" w:cstheme="minorBidi"/>
                <w:b w:val="0"/>
                <w:color w:val="1D2738"/>
                <w:kern w:val="2"/>
                <w:sz w:val="18"/>
                <w:szCs w:val="21"/>
                <w:lang w:val="en-US" w:eastAsia="zh-CN" w:bidi="ar-SA"/>
              </w:rPr>
              <w:t>YES — A renewable-energy firm with German government feed-in tariffs faces quantifiable revenue exposure if the winning coalition cuts subsidies.</w:t>
            </w:r>
          </w:p>
        </w:tc>
      </w:tr>
      <w:tr w14:paraId="6D2AA9B7">
        <w:trPr>
          <w:cantSplit/>
          <w:trHeight w:val="936" w:hRule="atLeast"/>
        </w:trPr>
        <w:tc>
          <w:tcPr>
            <w:tcW w:w="0" w:type="auto"/>
            <w:vMerge w:val="continue"/>
            <w:tcBorders>
              <w:top w:val="nil"/>
              <w:left w:val="nil"/>
              <w:bottom w:val="nil"/>
              <w:right w:val="nil"/>
            </w:tcBorders>
            <w:shd w:val="clear" w:color="auto" w:fill="auto"/>
            <w:vAlign w:val="center"/>
          </w:tcPr>
          <w:p w14:paraId="57F18D92">
            <w:pPr>
              <w:jc w:val="center"/>
              <w:rPr>
                <w:rFonts w:hint="eastAsia" w:asciiTheme="minorHAnsi" w:hAnsiTheme="minorHAnsi" w:eastAsiaTheme="minorEastAsia" w:cstheme="minorBidi"/>
                <w:kern w:val="2"/>
                <w:sz w:val="18"/>
                <w:szCs w:val="21"/>
                <w:lang w:val="en-US" w:eastAsia="zh-CN" w:bidi="ar-SA"/>
              </w:rPr>
            </w:pPr>
          </w:p>
        </w:tc>
        <w:tc>
          <w:tcPr>
            <w:tcW w:w="0" w:type="auto"/>
            <w:tcBorders>
              <w:top w:val="single" w:color="C9D5E2" w:sz="4" w:space="0"/>
              <w:left w:val="single" w:color="C9D5E2" w:sz="4" w:space="0"/>
              <w:bottom w:val="single" w:color="C9D5E2" w:sz="4" w:space="0"/>
              <w:right w:val="single" w:color="C9D5E2" w:sz="4" w:space="0"/>
            </w:tcBorders>
            <w:shd w:val="clear" w:color="auto" w:fill="F8FAFD"/>
            <w:vAlign w:val="center"/>
          </w:tcPr>
          <w:p w14:paraId="22453D41">
            <w:pPr>
              <w:keepNext w:val="0"/>
              <w:keepLines w:val="0"/>
              <w:widowControl/>
              <w:suppressLineNumbers w:val="0"/>
              <w:spacing w:before="0" w:after="0"/>
              <w:jc w:val="left"/>
              <w:textAlignment w:val="center"/>
              <w:rPr>
                <w:rFonts w:hint="eastAsia" w:asciiTheme="minorHAnsi" w:hAnsiTheme="minorHAnsi" w:eastAsiaTheme="minorEastAsia" w:cstheme="minorBidi"/>
                <w:kern w:val="2"/>
                <w:sz w:val="20"/>
                <w:szCs w:val="22"/>
                <w:lang w:val="en-US" w:eastAsia="zh-CN" w:bidi="ar-SA"/>
              </w:rPr>
            </w:pPr>
            <w:r>
              <w:rPr>
                <w:rFonts w:hint="eastAsia" w:asciiTheme="minorHAnsi" w:hAnsiTheme="minorHAnsi" w:eastAsiaTheme="minorEastAsia" w:cstheme="minorBidi"/>
                <w:b w:val="0"/>
                <w:color w:val="1D2738"/>
                <w:kern w:val="2"/>
                <w:sz w:val="18"/>
                <w:szCs w:val="22"/>
                <w:lang w:val="en-US" w:eastAsia="zh-CN" w:bidi="ar-SA"/>
              </w:rPr>
              <w:t>Q2: Viable hedge substitute?</w:t>
            </w:r>
          </w:p>
        </w:tc>
        <w:tc>
          <w:tcPr>
            <w:tcW w:w="0" w:type="auto"/>
            <w:tcBorders>
              <w:top w:val="single" w:color="C9D5E2" w:sz="4" w:space="0"/>
              <w:left w:val="single" w:color="C9D5E2" w:sz="4" w:space="0"/>
              <w:bottom w:val="single" w:color="C9D5E2" w:sz="4" w:space="0"/>
              <w:right w:val="single" w:color="C9D5E2" w:sz="4" w:space="0"/>
            </w:tcBorders>
            <w:shd w:val="clear" w:color="auto" w:fill="F8FAFD"/>
            <w:vAlign w:val="center"/>
          </w:tcPr>
          <w:p w14:paraId="01DD446B">
            <w:pPr>
              <w:keepNext w:val="0"/>
              <w:keepLines w:val="0"/>
              <w:widowControl/>
              <w:suppressLineNumbers w:val="0"/>
              <w:spacing w:before="0" w:after="0"/>
              <w:jc w:val="left"/>
              <w:textAlignment w:val="center"/>
              <w:rPr>
                <w:rFonts w:hint="eastAsia" w:asciiTheme="minorHAnsi" w:hAnsiTheme="minorHAnsi" w:eastAsiaTheme="minorEastAsia" w:cstheme="minorBidi"/>
                <w:kern w:val="2"/>
                <w:sz w:val="18"/>
                <w:szCs w:val="21"/>
                <w:lang w:val="en-US" w:eastAsia="zh-CN" w:bidi="ar-SA"/>
              </w:rPr>
            </w:pPr>
            <w:r>
              <w:rPr>
                <w:rFonts w:hint="eastAsia" w:asciiTheme="minorHAnsi" w:hAnsiTheme="minorHAnsi" w:eastAsiaTheme="minorEastAsia" w:cstheme="minorBidi"/>
                <w:b w:val="0"/>
                <w:color w:val="1D2738"/>
                <w:kern w:val="2"/>
                <w:sz w:val="18"/>
                <w:szCs w:val="21"/>
                <w:lang w:val="en-US" w:eastAsia="zh-CN" w:bidi="ar-SA"/>
              </w:rPr>
              <w:t>PARTIAL — Conventional EUR interest-rate or FX hedges partially cover policy-linked cash flows but do not target the binary election trigger directly.</w:t>
            </w:r>
          </w:p>
        </w:tc>
      </w:tr>
      <w:tr w14:paraId="1900BDFB">
        <w:trPr>
          <w:cantSplit/>
          <w:trHeight w:val="936" w:hRule="atLeast"/>
        </w:trPr>
        <w:tc>
          <w:tcPr>
            <w:tcW w:w="0" w:type="auto"/>
            <w:vMerge w:val="continue"/>
            <w:tcBorders>
              <w:top w:val="nil"/>
              <w:left w:val="nil"/>
              <w:bottom w:val="nil"/>
              <w:right w:val="nil"/>
            </w:tcBorders>
            <w:shd w:val="clear" w:color="auto" w:fill="auto"/>
            <w:vAlign w:val="center"/>
          </w:tcPr>
          <w:p w14:paraId="799D2FDA">
            <w:pPr>
              <w:jc w:val="center"/>
              <w:rPr>
                <w:rFonts w:hint="eastAsia" w:asciiTheme="minorHAnsi" w:hAnsiTheme="minorHAnsi" w:eastAsiaTheme="minorEastAsia" w:cstheme="minorBidi"/>
                <w:kern w:val="2"/>
                <w:sz w:val="18"/>
                <w:szCs w:val="21"/>
                <w:lang w:val="en-US" w:eastAsia="zh-CN" w:bidi="ar-SA"/>
              </w:rPr>
            </w:pPr>
          </w:p>
        </w:tc>
        <w:tc>
          <w:tcPr>
            <w:tcW w:w="0" w:type="auto"/>
            <w:tcBorders>
              <w:top w:val="single" w:color="C9D5E2" w:sz="4" w:space="0"/>
              <w:left w:val="single" w:color="C9D5E2" w:sz="4" w:space="0"/>
              <w:bottom w:val="single" w:color="C9D5E2" w:sz="4" w:space="0"/>
              <w:right w:val="single" w:color="C9D5E2" w:sz="4" w:space="0"/>
            </w:tcBorders>
            <w:shd w:val="clear" w:color="auto" w:fill="auto"/>
            <w:vAlign w:val="center"/>
          </w:tcPr>
          <w:p w14:paraId="4BC9DB9C">
            <w:pPr>
              <w:keepNext w:val="0"/>
              <w:keepLines w:val="0"/>
              <w:widowControl/>
              <w:suppressLineNumbers w:val="0"/>
              <w:spacing w:before="0" w:after="0"/>
              <w:jc w:val="left"/>
              <w:textAlignment w:val="center"/>
              <w:rPr>
                <w:rFonts w:hint="eastAsia" w:asciiTheme="minorHAnsi" w:hAnsiTheme="minorHAnsi" w:eastAsiaTheme="minorEastAsia" w:cstheme="minorBidi"/>
                <w:kern w:val="2"/>
                <w:sz w:val="20"/>
                <w:szCs w:val="22"/>
                <w:lang w:val="en-US" w:eastAsia="zh-CN" w:bidi="ar-SA"/>
              </w:rPr>
            </w:pPr>
            <w:r>
              <w:rPr>
                <w:rFonts w:hint="eastAsia" w:asciiTheme="minorHAnsi" w:hAnsiTheme="minorHAnsi" w:eastAsiaTheme="minorEastAsia" w:cstheme="minorBidi"/>
                <w:b w:val="0"/>
                <w:color w:val="1D2738"/>
                <w:kern w:val="2"/>
                <w:sz w:val="18"/>
                <w:szCs w:val="22"/>
                <w:lang w:val="en-US" w:eastAsia="zh-CN" w:bidi="ar-SA"/>
              </w:rPr>
              <w:t>Q3: Price discovery beyond public data?</w:t>
            </w:r>
          </w:p>
        </w:tc>
        <w:tc>
          <w:tcPr>
            <w:tcW w:w="0" w:type="auto"/>
            <w:tcBorders>
              <w:top w:val="single" w:color="C9D5E2" w:sz="4" w:space="0"/>
              <w:left w:val="single" w:color="C9D5E2" w:sz="4" w:space="0"/>
              <w:bottom w:val="single" w:color="C9D5E2" w:sz="4" w:space="0"/>
              <w:right w:val="single" w:color="C9D5E2" w:sz="4" w:space="0"/>
            </w:tcBorders>
            <w:shd w:val="clear" w:color="auto" w:fill="auto"/>
            <w:vAlign w:val="center"/>
          </w:tcPr>
          <w:p w14:paraId="01EEA1F3">
            <w:pPr>
              <w:keepNext w:val="0"/>
              <w:keepLines w:val="0"/>
              <w:widowControl/>
              <w:suppressLineNumbers w:val="0"/>
              <w:spacing w:before="0" w:after="0"/>
              <w:jc w:val="left"/>
              <w:textAlignment w:val="center"/>
              <w:rPr>
                <w:rFonts w:hint="eastAsia" w:asciiTheme="minorHAnsi" w:hAnsiTheme="minorHAnsi" w:eastAsiaTheme="minorEastAsia" w:cstheme="minorBidi"/>
                <w:kern w:val="2"/>
                <w:sz w:val="18"/>
                <w:szCs w:val="21"/>
                <w:lang w:val="en-US" w:eastAsia="zh-CN" w:bidi="ar-SA"/>
              </w:rPr>
            </w:pPr>
            <w:r>
              <w:rPr>
                <w:rFonts w:hint="eastAsia" w:asciiTheme="minorHAnsi" w:hAnsiTheme="minorHAnsi" w:eastAsiaTheme="minorEastAsia" w:cstheme="minorBidi"/>
                <w:b w:val="0"/>
                <w:color w:val="1D2738"/>
                <w:kern w:val="2"/>
                <w:sz w:val="18"/>
                <w:szCs w:val="21"/>
                <w:lang w:val="en-US" w:eastAsia="zh-CN" w:bidi="ar-SA"/>
              </w:rPr>
              <w:t>YES — Real-money prediction markets consistently dominate polling averages in forecast accuracy (Wolfers and Zitzewitz 2004); Kalshi prices provide continuously updated probability signals.</w:t>
            </w:r>
          </w:p>
        </w:tc>
      </w:tr>
      <w:tr w14:paraId="2423FEFC">
        <w:trPr>
          <w:cantSplit/>
          <w:trHeight w:val="936" w:hRule="atLeast"/>
        </w:trPr>
        <w:tc>
          <w:tcPr>
            <w:tcW w:w="0" w:type="auto"/>
            <w:vMerge w:val="continue"/>
            <w:tcBorders>
              <w:top w:val="nil"/>
              <w:left w:val="nil"/>
              <w:bottom w:val="nil"/>
              <w:right w:val="nil"/>
            </w:tcBorders>
            <w:shd w:val="clear" w:color="auto" w:fill="auto"/>
            <w:vAlign w:val="center"/>
          </w:tcPr>
          <w:p w14:paraId="447AC2B1">
            <w:pPr>
              <w:jc w:val="center"/>
              <w:rPr>
                <w:rFonts w:hint="eastAsia" w:asciiTheme="minorHAnsi" w:hAnsiTheme="minorHAnsi" w:eastAsiaTheme="minorEastAsia" w:cstheme="minorBidi"/>
                <w:kern w:val="2"/>
                <w:sz w:val="18"/>
                <w:szCs w:val="21"/>
                <w:lang w:val="en-US" w:eastAsia="zh-CN" w:bidi="ar-SA"/>
              </w:rPr>
            </w:pPr>
          </w:p>
        </w:tc>
        <w:tc>
          <w:tcPr>
            <w:tcW w:w="0" w:type="auto"/>
            <w:tcBorders>
              <w:top w:val="single" w:color="C9D5E2" w:sz="4" w:space="0"/>
              <w:left w:val="single" w:color="C9D5E2" w:sz="4" w:space="0"/>
              <w:bottom w:val="single" w:color="C9D5E2" w:sz="4" w:space="0"/>
              <w:right w:val="single" w:color="C9D5E2" w:sz="4" w:space="0"/>
            </w:tcBorders>
            <w:shd w:val="clear" w:color="auto" w:fill="F8FAFD"/>
            <w:vAlign w:val="center"/>
          </w:tcPr>
          <w:p w14:paraId="75BCD12F">
            <w:pPr>
              <w:keepNext w:val="0"/>
              <w:keepLines w:val="0"/>
              <w:widowControl/>
              <w:suppressLineNumbers w:val="0"/>
              <w:spacing w:before="0" w:after="0"/>
              <w:jc w:val="left"/>
              <w:textAlignment w:val="center"/>
              <w:rPr>
                <w:rFonts w:hint="eastAsia" w:asciiTheme="minorHAnsi" w:hAnsiTheme="minorHAnsi" w:eastAsiaTheme="minorEastAsia" w:cstheme="minorBidi"/>
                <w:kern w:val="2"/>
                <w:sz w:val="20"/>
                <w:szCs w:val="22"/>
                <w:lang w:val="en-US" w:eastAsia="zh-CN" w:bidi="ar-SA"/>
              </w:rPr>
            </w:pPr>
            <w:r>
              <w:rPr>
                <w:rFonts w:hint="eastAsia" w:asciiTheme="minorHAnsi" w:hAnsiTheme="minorHAnsi" w:eastAsiaTheme="minorEastAsia" w:cstheme="minorBidi"/>
                <w:b/>
                <w:color w:val="1D2738"/>
                <w:kern w:val="2"/>
                <w:sz w:val="18"/>
                <w:szCs w:val="22"/>
                <w:lang w:val="en-US" w:eastAsia="zh-CN" w:bidi="ar-SA"/>
              </w:rPr>
              <w:t>Engine conclusion</w:t>
            </w:r>
          </w:p>
        </w:tc>
        <w:tc>
          <w:tcPr>
            <w:tcW w:w="0" w:type="auto"/>
            <w:tcBorders>
              <w:top w:val="single" w:color="C9D5E2" w:sz="4" w:space="0"/>
              <w:left w:val="single" w:color="C9D5E2" w:sz="4" w:space="0"/>
              <w:bottom w:val="single" w:color="C9D5E2" w:sz="4" w:space="0"/>
              <w:right w:val="single" w:color="C9D5E2" w:sz="4" w:space="0"/>
            </w:tcBorders>
            <w:shd w:val="clear" w:color="auto" w:fill="F8FAFD"/>
            <w:vAlign w:val="center"/>
          </w:tcPr>
          <w:p w14:paraId="362E95C9">
            <w:pPr>
              <w:keepNext w:val="0"/>
              <w:keepLines w:val="0"/>
              <w:widowControl/>
              <w:suppressLineNumbers w:val="0"/>
              <w:spacing w:before="0" w:after="0"/>
              <w:jc w:val="left"/>
              <w:textAlignment w:val="center"/>
              <w:rPr>
                <w:rFonts w:hint="eastAsia" w:asciiTheme="minorHAnsi" w:hAnsiTheme="minorHAnsi" w:eastAsiaTheme="minorEastAsia" w:cstheme="minorBidi"/>
                <w:kern w:val="2"/>
                <w:sz w:val="18"/>
                <w:szCs w:val="21"/>
                <w:lang w:val="en-US" w:eastAsia="zh-CN" w:bidi="ar-SA"/>
              </w:rPr>
            </w:pPr>
            <w:r>
              <w:rPr>
                <w:rFonts w:hint="eastAsia" w:asciiTheme="minorHAnsi" w:hAnsiTheme="minorHAnsi" w:eastAsiaTheme="minorEastAsia" w:cstheme="minorBidi"/>
                <w:b/>
                <w:color w:val="1D2738"/>
                <w:kern w:val="2"/>
                <w:sz w:val="18"/>
                <w:szCs w:val="21"/>
                <w:lang w:val="en-US" w:eastAsia="zh-CN" w:bidi="ar-SA"/>
              </w:rPr>
              <w:t>CONDITIONAL_EVENT_CONTRACT</w:t>
            </w:r>
          </w:p>
        </w:tc>
      </w:tr>
      <w:tr w14:paraId="4CC04207">
        <w:trPr>
          <w:cantSplit/>
          <w:trHeight w:val="936" w:hRule="atLeast"/>
        </w:trPr>
        <w:tc>
          <w:tcPr>
            <w:tcW w:w="0" w:type="auto"/>
            <w:vMerge w:val="restart"/>
            <w:tcBorders>
              <w:top w:val="single" w:color="C9D5E2" w:sz="4" w:space="0"/>
              <w:left w:val="single" w:color="C9D5E2" w:sz="4" w:space="0"/>
              <w:bottom w:val="single" w:color="C9D5E2" w:sz="4" w:space="0"/>
              <w:right w:val="single" w:color="C9D5E2" w:sz="4" w:space="0"/>
            </w:tcBorders>
            <w:shd w:val="clear" w:color="auto" w:fill="F8FAFD"/>
            <w:vAlign w:val="center"/>
          </w:tcPr>
          <w:p w14:paraId="0CCDB032">
            <w:pPr>
              <w:keepNext w:val="0"/>
              <w:keepLines w:val="0"/>
              <w:widowControl/>
              <w:suppressLineNumbers w:val="0"/>
              <w:spacing w:before="0" w:after="0"/>
              <w:jc w:val="center"/>
              <w:textAlignment w:val="center"/>
              <w:rPr>
                <w:rFonts w:hint="eastAsia" w:asciiTheme="minorHAnsi" w:hAnsiTheme="minorHAnsi" w:eastAsiaTheme="minorEastAsia" w:cstheme="minorBidi"/>
                <w:kern w:val="2"/>
                <w:sz w:val="18"/>
                <w:szCs w:val="21"/>
                <w:lang w:val="en-US" w:eastAsia="zh-CN" w:bidi="ar-SA"/>
              </w:rPr>
            </w:pPr>
            <w:r>
              <w:rPr>
                <w:rFonts w:hint="eastAsia" w:asciiTheme="minorHAnsi" w:hAnsiTheme="minorHAnsi" w:eastAsiaTheme="minorEastAsia" w:cstheme="minorBidi"/>
                <w:b/>
                <w:color w:val="1D2738"/>
                <w:kern w:val="2"/>
                <w:sz w:val="18"/>
                <w:szCs w:val="21"/>
                <w:lang w:val="en-US" w:eastAsia="zh-CN" w:bidi="ar-SA"/>
              </w:rPr>
              <w:t>T027 Polymarket / CPI, offshore</w:t>
            </w:r>
          </w:p>
        </w:tc>
        <w:tc>
          <w:tcPr>
            <w:tcW w:w="0" w:type="auto"/>
            <w:tcBorders>
              <w:top w:val="single" w:color="C9D5E2" w:sz="4" w:space="0"/>
              <w:left w:val="single" w:color="C9D5E2" w:sz="4" w:space="0"/>
              <w:bottom w:val="single" w:color="C9D5E2" w:sz="4" w:space="0"/>
              <w:right w:val="single" w:color="C9D5E2" w:sz="4" w:space="0"/>
            </w:tcBorders>
            <w:shd w:val="clear" w:color="auto" w:fill="auto"/>
            <w:vAlign w:val="center"/>
          </w:tcPr>
          <w:p w14:paraId="3BA5FCEB">
            <w:pPr>
              <w:keepNext w:val="0"/>
              <w:keepLines w:val="0"/>
              <w:widowControl/>
              <w:suppressLineNumbers w:val="0"/>
              <w:spacing w:before="0" w:after="0"/>
              <w:jc w:val="left"/>
              <w:textAlignment w:val="center"/>
              <w:rPr>
                <w:rFonts w:hint="eastAsia" w:asciiTheme="minorHAnsi" w:hAnsiTheme="minorHAnsi" w:eastAsiaTheme="minorEastAsia" w:cstheme="minorBidi"/>
                <w:kern w:val="2"/>
                <w:sz w:val="20"/>
                <w:szCs w:val="22"/>
                <w:lang w:val="en-US" w:eastAsia="zh-CN" w:bidi="ar-SA"/>
              </w:rPr>
            </w:pPr>
            <w:r>
              <w:rPr>
                <w:rFonts w:hint="eastAsia" w:asciiTheme="minorHAnsi" w:hAnsiTheme="minorHAnsi" w:eastAsiaTheme="minorEastAsia" w:cstheme="minorBidi"/>
                <w:b w:val="0"/>
                <w:color w:val="1D2738"/>
                <w:kern w:val="2"/>
                <w:sz w:val="18"/>
                <w:szCs w:val="22"/>
                <w:lang w:val="en-US" w:eastAsia="zh-CN" w:bidi="ar-SA"/>
              </w:rPr>
              <w:t>Q1: Quantifiable exposure?</w:t>
            </w:r>
          </w:p>
        </w:tc>
        <w:tc>
          <w:tcPr>
            <w:tcW w:w="0" w:type="auto"/>
            <w:tcBorders>
              <w:top w:val="single" w:color="C9D5E2" w:sz="4" w:space="0"/>
              <w:left w:val="single" w:color="C9D5E2" w:sz="4" w:space="0"/>
              <w:bottom w:val="single" w:color="C9D5E2" w:sz="4" w:space="0"/>
              <w:right w:val="single" w:color="C9D5E2" w:sz="4" w:space="0"/>
            </w:tcBorders>
            <w:shd w:val="clear" w:color="auto" w:fill="auto"/>
            <w:vAlign w:val="center"/>
          </w:tcPr>
          <w:p w14:paraId="416506B5">
            <w:pPr>
              <w:keepNext w:val="0"/>
              <w:keepLines w:val="0"/>
              <w:widowControl/>
              <w:suppressLineNumbers w:val="0"/>
              <w:spacing w:before="0" w:after="0"/>
              <w:jc w:val="left"/>
              <w:textAlignment w:val="center"/>
              <w:rPr>
                <w:rFonts w:hint="eastAsia" w:asciiTheme="minorHAnsi" w:hAnsiTheme="minorHAnsi" w:eastAsiaTheme="minorEastAsia" w:cstheme="minorBidi"/>
                <w:kern w:val="2"/>
                <w:sz w:val="18"/>
                <w:szCs w:val="21"/>
                <w:lang w:val="en-US" w:eastAsia="zh-CN" w:bidi="ar-SA"/>
              </w:rPr>
            </w:pPr>
            <w:r>
              <w:rPr>
                <w:rFonts w:hint="eastAsia" w:asciiTheme="minorHAnsi" w:hAnsiTheme="minorHAnsi" w:eastAsiaTheme="minorEastAsia" w:cstheme="minorBidi"/>
                <w:b w:val="0"/>
                <w:color w:val="1D2738"/>
                <w:kern w:val="2"/>
                <w:sz w:val="18"/>
                <w:szCs w:val="21"/>
                <w:lang w:val="en-US" w:eastAsia="zh-CN" w:bidi="ar-SA"/>
              </w:rPr>
              <w:t>YES — A fixed-income portfolio manager holding USD Treasuries faces quantifiable mark-to-market losses if CPI exceeds threshold and the Fed tightens.</w:t>
            </w:r>
          </w:p>
        </w:tc>
      </w:tr>
      <w:tr w14:paraId="2DB40A99">
        <w:trPr>
          <w:cantSplit/>
          <w:trHeight w:val="936" w:hRule="atLeast"/>
        </w:trPr>
        <w:tc>
          <w:tcPr>
            <w:tcW w:w="0" w:type="auto"/>
            <w:vMerge w:val="continue"/>
            <w:tcBorders>
              <w:top w:val="nil"/>
              <w:left w:val="nil"/>
              <w:bottom w:val="nil"/>
              <w:right w:val="nil"/>
            </w:tcBorders>
            <w:shd w:val="clear" w:color="auto" w:fill="auto"/>
            <w:vAlign w:val="center"/>
          </w:tcPr>
          <w:p w14:paraId="6501E24C">
            <w:pPr>
              <w:jc w:val="center"/>
              <w:rPr>
                <w:rFonts w:hint="eastAsia" w:asciiTheme="minorHAnsi" w:hAnsiTheme="minorHAnsi" w:eastAsiaTheme="minorEastAsia" w:cstheme="minorBidi"/>
                <w:kern w:val="2"/>
                <w:sz w:val="18"/>
                <w:szCs w:val="21"/>
                <w:lang w:val="en-US" w:eastAsia="zh-CN" w:bidi="ar-SA"/>
              </w:rPr>
            </w:pPr>
          </w:p>
        </w:tc>
        <w:tc>
          <w:tcPr>
            <w:tcW w:w="0" w:type="auto"/>
            <w:tcBorders>
              <w:top w:val="single" w:color="C9D5E2" w:sz="4" w:space="0"/>
              <w:left w:val="single" w:color="C9D5E2" w:sz="4" w:space="0"/>
              <w:bottom w:val="single" w:color="C9D5E2" w:sz="4" w:space="0"/>
              <w:right w:val="single" w:color="C9D5E2" w:sz="4" w:space="0"/>
            </w:tcBorders>
            <w:shd w:val="clear" w:color="auto" w:fill="F8FAFD"/>
            <w:vAlign w:val="center"/>
          </w:tcPr>
          <w:p w14:paraId="1C70C1E8">
            <w:pPr>
              <w:keepNext w:val="0"/>
              <w:keepLines w:val="0"/>
              <w:widowControl/>
              <w:suppressLineNumbers w:val="0"/>
              <w:spacing w:before="0" w:after="0"/>
              <w:jc w:val="left"/>
              <w:textAlignment w:val="center"/>
              <w:rPr>
                <w:rFonts w:hint="eastAsia" w:asciiTheme="minorHAnsi" w:hAnsiTheme="minorHAnsi" w:eastAsiaTheme="minorEastAsia" w:cstheme="minorBidi"/>
                <w:kern w:val="2"/>
                <w:sz w:val="20"/>
                <w:szCs w:val="22"/>
                <w:lang w:val="en-US" w:eastAsia="zh-CN" w:bidi="ar-SA"/>
              </w:rPr>
            </w:pPr>
            <w:r>
              <w:rPr>
                <w:rFonts w:hint="eastAsia" w:asciiTheme="minorHAnsi" w:hAnsiTheme="minorHAnsi" w:eastAsiaTheme="minorEastAsia" w:cstheme="minorBidi"/>
                <w:b w:val="0"/>
                <w:color w:val="1D2738"/>
                <w:kern w:val="2"/>
                <w:sz w:val="18"/>
                <w:szCs w:val="22"/>
                <w:lang w:val="en-US" w:eastAsia="zh-CN" w:bidi="ar-SA"/>
              </w:rPr>
              <w:t>Q2: Viable hedge substitute?</w:t>
            </w:r>
          </w:p>
        </w:tc>
        <w:tc>
          <w:tcPr>
            <w:tcW w:w="0" w:type="auto"/>
            <w:tcBorders>
              <w:top w:val="single" w:color="C9D5E2" w:sz="4" w:space="0"/>
              <w:left w:val="single" w:color="C9D5E2" w:sz="4" w:space="0"/>
              <w:bottom w:val="single" w:color="C9D5E2" w:sz="4" w:space="0"/>
              <w:right w:val="single" w:color="C9D5E2" w:sz="4" w:space="0"/>
            </w:tcBorders>
            <w:shd w:val="clear" w:color="auto" w:fill="F8FAFD"/>
            <w:vAlign w:val="center"/>
          </w:tcPr>
          <w:p w14:paraId="7A193B10">
            <w:pPr>
              <w:keepNext w:val="0"/>
              <w:keepLines w:val="0"/>
              <w:widowControl/>
              <w:suppressLineNumbers w:val="0"/>
              <w:spacing w:before="0" w:after="0"/>
              <w:jc w:val="left"/>
              <w:textAlignment w:val="center"/>
              <w:rPr>
                <w:rFonts w:hint="eastAsia" w:asciiTheme="minorHAnsi" w:hAnsiTheme="minorHAnsi" w:eastAsiaTheme="minorEastAsia" w:cstheme="minorBidi"/>
                <w:kern w:val="2"/>
                <w:sz w:val="18"/>
                <w:szCs w:val="21"/>
                <w:lang w:val="en-US" w:eastAsia="zh-CN" w:bidi="ar-SA"/>
              </w:rPr>
            </w:pPr>
            <w:r>
              <w:rPr>
                <w:rFonts w:hint="eastAsia" w:asciiTheme="minorHAnsi" w:hAnsiTheme="minorHAnsi" w:eastAsiaTheme="minorEastAsia" w:cstheme="minorBidi"/>
                <w:b w:val="0"/>
                <w:color w:val="1D2738"/>
                <w:kern w:val="2"/>
                <w:sz w:val="18"/>
                <w:szCs w:val="21"/>
                <w:lang w:val="en-US" w:eastAsia="zh-CN" w:bidi="ar-SA"/>
              </w:rPr>
              <w:t>YES (functional, not legal) — Economically analogous to a CPI cap or inflation swaption; however, T027 settles in USDC, has no LEIs, is offshore, and cannot be cleared or novated under CFTC or EMIR rules.</w:t>
            </w:r>
          </w:p>
        </w:tc>
      </w:tr>
      <w:tr w14:paraId="2E03A74E">
        <w:trPr>
          <w:cantSplit/>
          <w:trHeight w:val="936" w:hRule="atLeast"/>
        </w:trPr>
        <w:tc>
          <w:tcPr>
            <w:tcW w:w="0" w:type="auto"/>
            <w:vMerge w:val="continue"/>
            <w:tcBorders>
              <w:top w:val="nil"/>
              <w:left w:val="nil"/>
              <w:bottom w:val="nil"/>
              <w:right w:val="nil"/>
            </w:tcBorders>
            <w:shd w:val="clear" w:color="auto" w:fill="auto"/>
            <w:vAlign w:val="center"/>
          </w:tcPr>
          <w:p w14:paraId="0E6B7DAD">
            <w:pPr>
              <w:jc w:val="center"/>
              <w:rPr>
                <w:rFonts w:hint="eastAsia" w:asciiTheme="minorHAnsi" w:hAnsiTheme="minorHAnsi" w:eastAsiaTheme="minorEastAsia" w:cstheme="minorBidi"/>
                <w:kern w:val="2"/>
                <w:sz w:val="18"/>
                <w:szCs w:val="21"/>
                <w:lang w:val="en-US" w:eastAsia="zh-CN" w:bidi="ar-SA"/>
              </w:rPr>
            </w:pPr>
          </w:p>
        </w:tc>
        <w:tc>
          <w:tcPr>
            <w:tcW w:w="0" w:type="auto"/>
            <w:tcBorders>
              <w:top w:val="single" w:color="C9D5E2" w:sz="4" w:space="0"/>
              <w:left w:val="single" w:color="C9D5E2" w:sz="4" w:space="0"/>
              <w:bottom w:val="single" w:color="C9D5E2" w:sz="4" w:space="0"/>
              <w:right w:val="single" w:color="C9D5E2" w:sz="4" w:space="0"/>
            </w:tcBorders>
            <w:shd w:val="clear" w:color="auto" w:fill="auto"/>
            <w:vAlign w:val="center"/>
          </w:tcPr>
          <w:p w14:paraId="4323ADD5">
            <w:pPr>
              <w:keepNext w:val="0"/>
              <w:keepLines w:val="0"/>
              <w:widowControl/>
              <w:suppressLineNumbers w:val="0"/>
              <w:spacing w:before="0" w:after="0"/>
              <w:jc w:val="left"/>
              <w:textAlignment w:val="center"/>
              <w:rPr>
                <w:rFonts w:hint="eastAsia" w:asciiTheme="minorHAnsi" w:hAnsiTheme="minorHAnsi" w:eastAsiaTheme="minorEastAsia" w:cstheme="minorBidi"/>
                <w:kern w:val="2"/>
                <w:sz w:val="20"/>
                <w:szCs w:val="22"/>
                <w:lang w:val="en-US" w:eastAsia="zh-CN" w:bidi="ar-SA"/>
              </w:rPr>
            </w:pPr>
            <w:r>
              <w:rPr>
                <w:rFonts w:hint="eastAsia" w:asciiTheme="minorHAnsi" w:hAnsiTheme="minorHAnsi" w:eastAsiaTheme="minorEastAsia" w:cstheme="minorBidi"/>
                <w:b w:val="0"/>
                <w:color w:val="1D2738"/>
                <w:kern w:val="2"/>
                <w:sz w:val="18"/>
                <w:szCs w:val="22"/>
                <w:lang w:val="en-US" w:eastAsia="zh-CN" w:bidi="ar-SA"/>
              </w:rPr>
              <w:t>Q3: Price discovery beyond public data?</w:t>
            </w:r>
          </w:p>
        </w:tc>
        <w:tc>
          <w:tcPr>
            <w:tcW w:w="0" w:type="auto"/>
            <w:tcBorders>
              <w:top w:val="single" w:color="C9D5E2" w:sz="4" w:space="0"/>
              <w:left w:val="single" w:color="C9D5E2" w:sz="4" w:space="0"/>
              <w:bottom w:val="single" w:color="C9D5E2" w:sz="4" w:space="0"/>
              <w:right w:val="single" w:color="C9D5E2" w:sz="4" w:space="0"/>
            </w:tcBorders>
            <w:shd w:val="clear" w:color="auto" w:fill="auto"/>
            <w:vAlign w:val="center"/>
          </w:tcPr>
          <w:p w14:paraId="22CE3021">
            <w:pPr>
              <w:keepNext w:val="0"/>
              <w:keepLines w:val="0"/>
              <w:widowControl/>
              <w:suppressLineNumbers w:val="0"/>
              <w:spacing w:before="0" w:after="0"/>
              <w:jc w:val="left"/>
              <w:textAlignment w:val="center"/>
              <w:rPr>
                <w:rFonts w:hint="eastAsia" w:asciiTheme="minorHAnsi" w:hAnsiTheme="minorHAnsi" w:eastAsiaTheme="minorEastAsia" w:cstheme="minorBidi"/>
                <w:kern w:val="2"/>
                <w:sz w:val="18"/>
                <w:szCs w:val="21"/>
                <w:lang w:val="en-US" w:eastAsia="zh-CN" w:bidi="ar-SA"/>
              </w:rPr>
            </w:pPr>
            <w:r>
              <w:rPr>
                <w:rFonts w:hint="eastAsia" w:asciiTheme="minorHAnsi" w:hAnsiTheme="minorHAnsi" w:eastAsiaTheme="minorEastAsia" w:cstheme="minorBidi"/>
                <w:b w:val="0"/>
                <w:color w:val="1D2738"/>
                <w:kern w:val="2"/>
                <w:sz w:val="18"/>
                <w:szCs w:val="21"/>
                <w:lang w:val="en-US" w:eastAsia="zh-CN" w:bidi="ar-SA"/>
              </w:rPr>
              <w:t>YES — Polymarket CPI prices track CPI swap breakevens and provide binary probability signals not directly observable in fixed-income markets (Diercks, Katz and Wright 2026).</w:t>
            </w:r>
          </w:p>
        </w:tc>
      </w:tr>
      <w:tr w14:paraId="59F4B653">
        <w:trPr>
          <w:cantSplit/>
          <w:trHeight w:val="936" w:hRule="atLeast"/>
        </w:trPr>
        <w:tc>
          <w:tcPr>
            <w:tcW w:w="0" w:type="auto"/>
            <w:vMerge w:val="continue"/>
            <w:tcBorders>
              <w:top w:val="nil"/>
              <w:left w:val="nil"/>
              <w:bottom w:val="nil"/>
              <w:right w:val="nil"/>
            </w:tcBorders>
            <w:shd w:val="clear" w:color="auto" w:fill="auto"/>
            <w:vAlign w:val="center"/>
          </w:tcPr>
          <w:p w14:paraId="11FF7AB9">
            <w:pPr>
              <w:jc w:val="center"/>
              <w:rPr>
                <w:rFonts w:hint="eastAsia" w:asciiTheme="minorHAnsi" w:hAnsiTheme="minorHAnsi" w:eastAsiaTheme="minorEastAsia" w:cstheme="minorBidi"/>
                <w:kern w:val="2"/>
                <w:sz w:val="18"/>
                <w:szCs w:val="21"/>
                <w:lang w:val="en-US" w:eastAsia="zh-CN" w:bidi="ar-SA"/>
              </w:rPr>
            </w:pPr>
          </w:p>
        </w:tc>
        <w:tc>
          <w:tcPr>
            <w:tcW w:w="0" w:type="auto"/>
            <w:tcBorders>
              <w:top w:val="single" w:color="C9D5E2" w:sz="4" w:space="0"/>
              <w:left w:val="single" w:color="C9D5E2" w:sz="4" w:space="0"/>
              <w:bottom w:val="single" w:color="C9D5E2" w:sz="4" w:space="0"/>
              <w:right w:val="single" w:color="C9D5E2" w:sz="4" w:space="0"/>
            </w:tcBorders>
            <w:shd w:val="clear" w:color="auto" w:fill="F8FAFD"/>
            <w:vAlign w:val="center"/>
          </w:tcPr>
          <w:p w14:paraId="74889182">
            <w:pPr>
              <w:keepNext w:val="0"/>
              <w:keepLines w:val="0"/>
              <w:widowControl/>
              <w:suppressLineNumbers w:val="0"/>
              <w:spacing w:before="0" w:after="0"/>
              <w:jc w:val="left"/>
              <w:textAlignment w:val="center"/>
              <w:rPr>
                <w:rFonts w:hint="eastAsia" w:asciiTheme="minorHAnsi" w:hAnsiTheme="minorHAnsi" w:eastAsiaTheme="minorEastAsia" w:cstheme="minorBidi"/>
                <w:kern w:val="2"/>
                <w:sz w:val="20"/>
                <w:szCs w:val="22"/>
                <w:lang w:val="en-US" w:eastAsia="zh-CN" w:bidi="ar-SA"/>
              </w:rPr>
            </w:pPr>
            <w:r>
              <w:rPr>
                <w:rFonts w:hint="eastAsia" w:asciiTheme="minorHAnsi" w:hAnsiTheme="minorHAnsi" w:eastAsiaTheme="minorEastAsia" w:cstheme="minorBidi"/>
                <w:b/>
                <w:color w:val="1D2738"/>
                <w:kern w:val="2"/>
                <w:sz w:val="18"/>
                <w:szCs w:val="22"/>
                <w:lang w:val="en-US" w:eastAsia="zh-CN" w:bidi="ar-SA"/>
              </w:rPr>
              <w:t>Engine conclusion</w:t>
            </w:r>
          </w:p>
        </w:tc>
        <w:tc>
          <w:tcPr>
            <w:tcW w:w="0" w:type="auto"/>
            <w:tcBorders>
              <w:top w:val="single" w:color="C9D5E2" w:sz="4" w:space="0"/>
              <w:left w:val="single" w:color="C9D5E2" w:sz="4" w:space="0"/>
              <w:bottom w:val="single" w:color="C9D5E2" w:sz="4" w:space="0"/>
              <w:right w:val="single" w:color="C9D5E2" w:sz="4" w:space="0"/>
            </w:tcBorders>
            <w:shd w:val="clear" w:color="auto" w:fill="F8FAFD"/>
            <w:vAlign w:val="center"/>
          </w:tcPr>
          <w:p w14:paraId="419A1419">
            <w:pPr>
              <w:keepNext w:val="0"/>
              <w:keepLines w:val="0"/>
              <w:widowControl/>
              <w:suppressLineNumbers w:val="0"/>
              <w:spacing w:before="0" w:after="0"/>
              <w:jc w:val="left"/>
              <w:textAlignment w:val="center"/>
              <w:rPr>
                <w:rFonts w:hint="eastAsia" w:asciiTheme="minorHAnsi" w:hAnsiTheme="minorHAnsi" w:eastAsiaTheme="minorEastAsia" w:cstheme="minorBidi"/>
                <w:kern w:val="2"/>
                <w:sz w:val="18"/>
                <w:szCs w:val="21"/>
                <w:lang w:val="en-US" w:eastAsia="zh-CN" w:bidi="ar-SA"/>
              </w:rPr>
            </w:pPr>
            <w:r>
              <w:rPr>
                <w:rFonts w:hint="eastAsia" w:asciiTheme="minorHAnsi" w:hAnsiTheme="minorHAnsi" w:eastAsiaTheme="minorEastAsia" w:cstheme="minorBidi"/>
                <w:b/>
                <w:color w:val="1D2738"/>
                <w:kern w:val="2"/>
                <w:sz w:val="18"/>
                <w:szCs w:val="21"/>
                <w:lang w:val="en-US" w:eastAsia="zh-CN" w:bidi="ar-SA"/>
              </w:rPr>
              <w:t>NOT_REPORTABLE_EVENT_CONTRACT</w:t>
            </w:r>
          </w:p>
        </w:tc>
      </w:tr>
      <w:tr w14:paraId="07835227">
        <w:trPr>
          <w:cantSplit/>
          <w:trHeight w:val="936" w:hRule="atLeast"/>
        </w:trPr>
        <w:tc>
          <w:tcPr>
            <w:tcW w:w="0" w:type="auto"/>
            <w:vMerge w:val="restart"/>
            <w:tcBorders>
              <w:top w:val="single" w:color="C9D5E2" w:sz="4" w:space="0"/>
              <w:left w:val="single" w:color="C9D5E2" w:sz="4" w:space="0"/>
              <w:bottom w:val="single" w:color="C9D5E2" w:sz="4" w:space="0"/>
              <w:right w:val="single" w:color="C9D5E2" w:sz="4" w:space="0"/>
            </w:tcBorders>
            <w:shd w:val="clear" w:color="auto" w:fill="F8FAFD"/>
            <w:vAlign w:val="center"/>
          </w:tcPr>
          <w:p w14:paraId="0B3B10BD">
            <w:pPr>
              <w:keepNext w:val="0"/>
              <w:keepLines w:val="0"/>
              <w:widowControl/>
              <w:suppressLineNumbers w:val="0"/>
              <w:spacing w:before="0" w:after="0"/>
              <w:jc w:val="center"/>
              <w:textAlignment w:val="center"/>
              <w:rPr>
                <w:rFonts w:hint="eastAsia" w:asciiTheme="minorHAnsi" w:hAnsiTheme="minorHAnsi" w:eastAsiaTheme="minorEastAsia" w:cstheme="minorBidi"/>
                <w:kern w:val="2"/>
                <w:sz w:val="18"/>
                <w:szCs w:val="21"/>
                <w:lang w:val="en-US" w:eastAsia="zh-CN" w:bidi="ar-SA"/>
              </w:rPr>
            </w:pPr>
            <w:r>
              <w:rPr>
                <w:rFonts w:hint="eastAsia" w:asciiTheme="minorHAnsi" w:hAnsiTheme="minorHAnsi" w:eastAsiaTheme="minorEastAsia" w:cstheme="minorBidi"/>
                <w:b/>
                <w:color w:val="1D2738"/>
                <w:kern w:val="2"/>
                <w:sz w:val="18"/>
                <w:szCs w:val="21"/>
                <w:lang w:val="en-US" w:eastAsia="zh-CN" w:bidi="ar-SA"/>
              </w:rPr>
              <w:t>T028 Kalshi / ESMA AI Act</w:t>
            </w:r>
          </w:p>
        </w:tc>
        <w:tc>
          <w:tcPr>
            <w:tcW w:w="0" w:type="auto"/>
            <w:tcBorders>
              <w:top w:val="single" w:color="C9D5E2" w:sz="4" w:space="0"/>
              <w:left w:val="single" w:color="C9D5E2" w:sz="4" w:space="0"/>
              <w:bottom w:val="single" w:color="C9D5E2" w:sz="4" w:space="0"/>
              <w:right w:val="single" w:color="C9D5E2" w:sz="4" w:space="0"/>
            </w:tcBorders>
            <w:shd w:val="clear" w:color="auto" w:fill="auto"/>
            <w:vAlign w:val="center"/>
          </w:tcPr>
          <w:p w14:paraId="471980DC">
            <w:pPr>
              <w:keepNext w:val="0"/>
              <w:keepLines w:val="0"/>
              <w:widowControl/>
              <w:suppressLineNumbers w:val="0"/>
              <w:spacing w:before="0" w:after="0"/>
              <w:jc w:val="left"/>
              <w:textAlignment w:val="center"/>
              <w:rPr>
                <w:rFonts w:hint="eastAsia" w:asciiTheme="minorHAnsi" w:hAnsiTheme="minorHAnsi" w:eastAsiaTheme="minorEastAsia" w:cstheme="minorBidi"/>
                <w:kern w:val="2"/>
                <w:sz w:val="20"/>
                <w:szCs w:val="22"/>
                <w:lang w:val="en-US" w:eastAsia="zh-CN" w:bidi="ar-SA"/>
              </w:rPr>
            </w:pPr>
            <w:r>
              <w:rPr>
                <w:rFonts w:hint="eastAsia" w:asciiTheme="minorHAnsi" w:hAnsiTheme="minorHAnsi" w:eastAsiaTheme="minorEastAsia" w:cstheme="minorBidi"/>
                <w:b w:val="0"/>
                <w:color w:val="1D2738"/>
                <w:kern w:val="2"/>
                <w:sz w:val="18"/>
                <w:szCs w:val="22"/>
                <w:lang w:val="en-US" w:eastAsia="zh-CN" w:bidi="ar-SA"/>
              </w:rPr>
              <w:t>Q1: Quantifiable exposure?</w:t>
            </w:r>
          </w:p>
        </w:tc>
        <w:tc>
          <w:tcPr>
            <w:tcW w:w="0" w:type="auto"/>
            <w:tcBorders>
              <w:top w:val="single" w:color="C9D5E2" w:sz="4" w:space="0"/>
              <w:left w:val="single" w:color="C9D5E2" w:sz="4" w:space="0"/>
              <w:bottom w:val="single" w:color="C9D5E2" w:sz="4" w:space="0"/>
              <w:right w:val="single" w:color="C9D5E2" w:sz="4" w:space="0"/>
            </w:tcBorders>
            <w:shd w:val="clear" w:color="auto" w:fill="auto"/>
            <w:vAlign w:val="center"/>
          </w:tcPr>
          <w:p w14:paraId="6BC8A8F6">
            <w:pPr>
              <w:keepNext w:val="0"/>
              <w:keepLines w:val="0"/>
              <w:widowControl/>
              <w:suppressLineNumbers w:val="0"/>
              <w:spacing w:before="0" w:after="0"/>
              <w:jc w:val="left"/>
              <w:textAlignment w:val="center"/>
              <w:rPr>
                <w:rFonts w:hint="eastAsia" w:asciiTheme="minorHAnsi" w:hAnsiTheme="minorHAnsi" w:eastAsiaTheme="minorEastAsia" w:cstheme="minorBidi"/>
                <w:kern w:val="2"/>
                <w:sz w:val="18"/>
                <w:szCs w:val="21"/>
                <w:lang w:val="en-US" w:eastAsia="zh-CN" w:bidi="ar-SA"/>
              </w:rPr>
            </w:pPr>
            <w:r>
              <w:rPr>
                <w:rFonts w:hint="eastAsia" w:asciiTheme="minorHAnsi" w:hAnsiTheme="minorHAnsi" w:eastAsiaTheme="minorEastAsia" w:cstheme="minorBidi"/>
                <w:b w:val="0"/>
                <w:color w:val="1D2738"/>
                <w:kern w:val="2"/>
                <w:sz w:val="18"/>
                <w:szCs w:val="21"/>
                <w:lang w:val="en-US" w:eastAsia="zh-CN" w:bidi="ar-SA"/>
              </w:rPr>
              <w:t>YES — A fintech firm subject to the ESMA AI Act has budgeted EUR capital for compliance; if the deadline extends the cost defers, making the regulatory event a quantifiable binary exposure.</w:t>
            </w:r>
          </w:p>
        </w:tc>
      </w:tr>
      <w:tr w14:paraId="5050B9C4">
        <w:trPr>
          <w:cantSplit/>
          <w:trHeight w:val="936" w:hRule="atLeast"/>
        </w:trPr>
        <w:tc>
          <w:tcPr>
            <w:tcW w:w="0" w:type="auto"/>
            <w:vMerge w:val="continue"/>
            <w:tcBorders>
              <w:top w:val="nil"/>
              <w:left w:val="nil"/>
              <w:bottom w:val="nil"/>
              <w:right w:val="nil"/>
            </w:tcBorders>
            <w:shd w:val="clear" w:color="auto" w:fill="auto"/>
            <w:vAlign w:val="center"/>
          </w:tcPr>
          <w:p w14:paraId="3AE5E6D0">
            <w:pPr>
              <w:jc w:val="center"/>
              <w:rPr>
                <w:rFonts w:hint="eastAsia" w:asciiTheme="minorHAnsi" w:hAnsiTheme="minorHAnsi" w:eastAsiaTheme="minorEastAsia" w:cstheme="minorBidi"/>
                <w:kern w:val="2"/>
                <w:sz w:val="21"/>
                <w:szCs w:val="24"/>
                <w:lang w:val="en-US" w:eastAsia="zh-CN" w:bidi="ar-SA"/>
              </w:rPr>
            </w:pPr>
          </w:p>
        </w:tc>
        <w:tc>
          <w:tcPr>
            <w:tcW w:w="0" w:type="auto"/>
            <w:tcBorders>
              <w:top w:val="single" w:color="C9D5E2" w:sz="4" w:space="0"/>
              <w:left w:val="single" w:color="C9D5E2" w:sz="4" w:space="0"/>
              <w:bottom w:val="single" w:color="C9D5E2" w:sz="4" w:space="0"/>
              <w:right w:val="single" w:color="C9D5E2" w:sz="4" w:space="0"/>
            </w:tcBorders>
            <w:shd w:val="clear" w:color="auto" w:fill="F8FAFD"/>
            <w:vAlign w:val="center"/>
          </w:tcPr>
          <w:p w14:paraId="5C95F79B">
            <w:pPr>
              <w:keepNext w:val="0"/>
              <w:keepLines w:val="0"/>
              <w:widowControl/>
              <w:suppressLineNumbers w:val="0"/>
              <w:spacing w:before="0" w:after="0"/>
              <w:jc w:val="left"/>
              <w:textAlignment w:val="center"/>
              <w:rPr>
                <w:rFonts w:hint="eastAsia" w:asciiTheme="minorHAnsi" w:hAnsiTheme="minorHAnsi" w:eastAsiaTheme="minorEastAsia" w:cstheme="minorBidi"/>
                <w:kern w:val="2"/>
                <w:sz w:val="20"/>
                <w:szCs w:val="22"/>
                <w:lang w:val="en-US" w:eastAsia="zh-CN" w:bidi="ar-SA"/>
              </w:rPr>
            </w:pPr>
            <w:r>
              <w:rPr>
                <w:rFonts w:hint="eastAsia" w:asciiTheme="minorHAnsi" w:hAnsiTheme="minorHAnsi" w:eastAsiaTheme="minorEastAsia" w:cstheme="minorBidi"/>
                <w:b w:val="0"/>
                <w:color w:val="1D2738"/>
                <w:kern w:val="2"/>
                <w:sz w:val="18"/>
                <w:szCs w:val="22"/>
                <w:lang w:val="en-US" w:eastAsia="zh-CN" w:bidi="ar-SA"/>
              </w:rPr>
              <w:t>Q2: Viable hedge substitute?</w:t>
            </w:r>
          </w:p>
        </w:tc>
        <w:tc>
          <w:tcPr>
            <w:tcW w:w="0" w:type="auto"/>
            <w:tcBorders>
              <w:top w:val="single" w:color="C9D5E2" w:sz="4" w:space="0"/>
              <w:left w:val="single" w:color="C9D5E2" w:sz="4" w:space="0"/>
              <w:bottom w:val="single" w:color="C9D5E2" w:sz="4" w:space="0"/>
              <w:right w:val="single" w:color="C9D5E2" w:sz="4" w:space="0"/>
            </w:tcBorders>
            <w:shd w:val="clear" w:color="auto" w:fill="F8FAFD"/>
            <w:vAlign w:val="center"/>
          </w:tcPr>
          <w:p w14:paraId="5ED53134">
            <w:pPr>
              <w:keepNext w:val="0"/>
              <w:keepLines w:val="0"/>
              <w:widowControl/>
              <w:suppressLineNumbers w:val="0"/>
              <w:spacing w:before="0" w:after="0"/>
              <w:jc w:val="left"/>
              <w:textAlignment w:val="center"/>
              <w:rPr>
                <w:rFonts w:hint="eastAsia" w:asciiTheme="minorHAnsi" w:hAnsiTheme="minorHAnsi" w:eastAsiaTheme="minorEastAsia" w:cstheme="minorBidi"/>
                <w:kern w:val="2"/>
                <w:sz w:val="18"/>
                <w:szCs w:val="21"/>
                <w:lang w:val="en-US" w:eastAsia="zh-CN" w:bidi="ar-SA"/>
              </w:rPr>
            </w:pPr>
            <w:r>
              <w:rPr>
                <w:rFonts w:hint="eastAsia" w:asciiTheme="minorHAnsi" w:hAnsiTheme="minorHAnsi" w:eastAsiaTheme="minorEastAsia" w:cstheme="minorBidi"/>
                <w:b w:val="0"/>
                <w:color w:val="1D2738"/>
                <w:kern w:val="2"/>
                <w:sz w:val="18"/>
                <w:szCs w:val="21"/>
                <w:lang w:val="en-US" w:eastAsia="zh-CN" w:bidi="ar-SA"/>
              </w:rPr>
              <w:t>NO — No standard OTC instrument references the ESMA AI Act deadline as its underlier; EUR/FX hedges address the financing cost but not the regulatory binary directly.</w:t>
            </w:r>
          </w:p>
        </w:tc>
      </w:tr>
      <w:tr w14:paraId="1A6F952C">
        <w:trPr>
          <w:cantSplit/>
          <w:trHeight w:val="936" w:hRule="atLeast"/>
        </w:trPr>
        <w:tc>
          <w:tcPr>
            <w:tcW w:w="0" w:type="auto"/>
            <w:vMerge w:val="continue"/>
            <w:tcBorders>
              <w:top w:val="nil"/>
              <w:left w:val="nil"/>
              <w:bottom w:val="nil"/>
              <w:right w:val="nil"/>
            </w:tcBorders>
            <w:shd w:val="clear" w:color="auto" w:fill="auto"/>
            <w:vAlign w:val="center"/>
          </w:tcPr>
          <w:p w14:paraId="1F1FE75E">
            <w:pPr>
              <w:jc w:val="center"/>
              <w:rPr>
                <w:rFonts w:hint="eastAsia" w:asciiTheme="minorHAnsi" w:hAnsiTheme="minorHAnsi" w:eastAsiaTheme="minorEastAsia" w:cstheme="minorBidi"/>
                <w:kern w:val="2"/>
                <w:sz w:val="21"/>
                <w:szCs w:val="24"/>
                <w:lang w:val="en-US" w:eastAsia="zh-CN" w:bidi="ar-SA"/>
              </w:rPr>
            </w:pPr>
          </w:p>
        </w:tc>
        <w:tc>
          <w:tcPr>
            <w:tcW w:w="0" w:type="auto"/>
            <w:tcBorders>
              <w:top w:val="single" w:color="C9D5E2" w:sz="4" w:space="0"/>
              <w:left w:val="single" w:color="C9D5E2" w:sz="4" w:space="0"/>
              <w:bottom w:val="single" w:color="C9D5E2" w:sz="4" w:space="0"/>
              <w:right w:val="single" w:color="C9D5E2" w:sz="4" w:space="0"/>
            </w:tcBorders>
            <w:shd w:val="clear" w:color="auto" w:fill="auto"/>
            <w:vAlign w:val="center"/>
          </w:tcPr>
          <w:p w14:paraId="47906471">
            <w:pPr>
              <w:keepNext w:val="0"/>
              <w:keepLines w:val="0"/>
              <w:widowControl/>
              <w:suppressLineNumbers w:val="0"/>
              <w:spacing w:before="0" w:after="0"/>
              <w:jc w:val="left"/>
              <w:textAlignment w:val="center"/>
              <w:rPr>
                <w:rFonts w:hint="eastAsia" w:asciiTheme="minorHAnsi" w:hAnsiTheme="minorHAnsi" w:eastAsiaTheme="minorEastAsia" w:cstheme="minorBidi"/>
                <w:kern w:val="2"/>
                <w:sz w:val="20"/>
                <w:szCs w:val="22"/>
                <w:lang w:val="en-US" w:eastAsia="zh-CN" w:bidi="ar-SA"/>
              </w:rPr>
            </w:pPr>
            <w:r>
              <w:rPr>
                <w:rFonts w:hint="eastAsia" w:asciiTheme="minorHAnsi" w:hAnsiTheme="minorHAnsi" w:eastAsiaTheme="minorEastAsia" w:cstheme="minorBidi"/>
                <w:b w:val="0"/>
                <w:color w:val="1D2738"/>
                <w:kern w:val="2"/>
                <w:sz w:val="18"/>
                <w:szCs w:val="22"/>
                <w:lang w:val="en-US" w:eastAsia="zh-CN" w:bidi="ar-SA"/>
              </w:rPr>
              <w:t>Q3: Price discovery beyond public data?</w:t>
            </w:r>
          </w:p>
        </w:tc>
        <w:tc>
          <w:tcPr>
            <w:tcW w:w="0" w:type="auto"/>
            <w:tcBorders>
              <w:top w:val="single" w:color="C9D5E2" w:sz="4" w:space="0"/>
              <w:left w:val="single" w:color="C9D5E2" w:sz="4" w:space="0"/>
              <w:bottom w:val="single" w:color="C9D5E2" w:sz="4" w:space="0"/>
              <w:right w:val="single" w:color="C9D5E2" w:sz="4" w:space="0"/>
            </w:tcBorders>
            <w:shd w:val="clear" w:color="auto" w:fill="auto"/>
            <w:vAlign w:val="center"/>
          </w:tcPr>
          <w:p w14:paraId="36B611F7">
            <w:pPr>
              <w:keepNext w:val="0"/>
              <w:keepLines w:val="0"/>
              <w:widowControl/>
              <w:suppressLineNumbers w:val="0"/>
              <w:spacing w:before="0" w:after="0"/>
              <w:jc w:val="left"/>
              <w:textAlignment w:val="center"/>
              <w:rPr>
                <w:rFonts w:hint="eastAsia" w:asciiTheme="minorHAnsi" w:hAnsiTheme="minorHAnsi" w:eastAsiaTheme="minorEastAsia" w:cstheme="minorBidi"/>
                <w:kern w:val="2"/>
                <w:sz w:val="18"/>
                <w:szCs w:val="21"/>
                <w:lang w:val="en-US" w:eastAsia="zh-CN" w:bidi="ar-SA"/>
              </w:rPr>
            </w:pPr>
            <w:r>
              <w:rPr>
                <w:rFonts w:hint="eastAsia" w:asciiTheme="minorHAnsi" w:hAnsiTheme="minorHAnsi" w:eastAsiaTheme="minorEastAsia" w:cstheme="minorBidi"/>
                <w:b w:val="0"/>
                <w:color w:val="1D2738"/>
                <w:kern w:val="2"/>
                <w:sz w:val="18"/>
                <w:szCs w:val="21"/>
                <w:lang w:val="en-US" w:eastAsia="zh-CN" w:bidi="ar-SA"/>
              </w:rPr>
              <w:t>PARTIAL — Volume on this contract is thin; non-public information asymmetries (ESMA internal deliberations) reduce informational efficiency relative to election or macro contracts.</w:t>
            </w:r>
          </w:p>
        </w:tc>
      </w:tr>
      <w:tr w14:paraId="2BC19A79">
        <w:trPr>
          <w:cantSplit/>
          <w:trHeight w:val="936" w:hRule="atLeast"/>
        </w:trPr>
        <w:tc>
          <w:tcPr>
            <w:tcW w:w="0" w:type="auto"/>
            <w:vMerge w:val="continue"/>
            <w:tcBorders>
              <w:top w:val="nil"/>
              <w:left w:val="nil"/>
              <w:bottom w:val="single" w:color="auto" w:sz="4" w:space="0"/>
              <w:right w:val="nil"/>
            </w:tcBorders>
            <w:shd w:val="clear" w:color="auto" w:fill="auto"/>
            <w:vAlign w:val="center"/>
          </w:tcPr>
          <w:p w14:paraId="130FFE16">
            <w:pPr>
              <w:jc w:val="center"/>
              <w:rPr>
                <w:rFonts w:hint="eastAsia" w:asciiTheme="minorHAnsi" w:hAnsiTheme="minorHAnsi" w:eastAsiaTheme="minorEastAsia" w:cstheme="minorBidi"/>
                <w:kern w:val="2"/>
                <w:sz w:val="21"/>
                <w:szCs w:val="24"/>
                <w:lang w:val="en-US" w:eastAsia="zh-CN" w:bidi="ar-SA"/>
              </w:rPr>
            </w:pPr>
          </w:p>
        </w:tc>
        <w:tc>
          <w:tcPr>
            <w:tcW w:w="0" w:type="auto"/>
            <w:tcBorders>
              <w:top w:val="single" w:color="C9D5E2" w:sz="4" w:space="0"/>
              <w:left w:val="single" w:color="C9D5E2" w:sz="4" w:space="0"/>
              <w:bottom w:val="single" w:color="C9D5E2" w:sz="4" w:space="0"/>
              <w:right w:val="single" w:color="C9D5E2" w:sz="4" w:space="0"/>
            </w:tcBorders>
            <w:shd w:val="clear" w:color="auto" w:fill="F8FAFD"/>
            <w:vAlign w:val="center"/>
          </w:tcPr>
          <w:p w14:paraId="155D0B32">
            <w:pPr>
              <w:keepNext w:val="0"/>
              <w:keepLines w:val="0"/>
              <w:widowControl/>
              <w:suppressLineNumbers w:val="0"/>
              <w:spacing w:before="0" w:after="0"/>
              <w:jc w:val="left"/>
              <w:textAlignment w:val="center"/>
              <w:rPr>
                <w:rFonts w:hint="eastAsia" w:asciiTheme="minorHAnsi" w:hAnsiTheme="minorHAnsi" w:eastAsiaTheme="minorEastAsia" w:cstheme="minorBidi"/>
                <w:kern w:val="2"/>
                <w:sz w:val="20"/>
                <w:szCs w:val="22"/>
                <w:lang w:val="en-US" w:eastAsia="zh-CN" w:bidi="ar-SA"/>
              </w:rPr>
            </w:pPr>
            <w:r>
              <w:rPr>
                <w:rFonts w:hint="eastAsia" w:asciiTheme="minorHAnsi" w:hAnsiTheme="minorHAnsi" w:eastAsiaTheme="minorEastAsia" w:cstheme="minorBidi"/>
                <w:b/>
                <w:color w:val="1D2738"/>
                <w:kern w:val="2"/>
                <w:sz w:val="18"/>
                <w:szCs w:val="22"/>
                <w:lang w:val="en-US" w:eastAsia="zh-CN" w:bidi="ar-SA"/>
              </w:rPr>
              <w:t>Engine conclusion</w:t>
            </w:r>
          </w:p>
        </w:tc>
        <w:tc>
          <w:tcPr>
            <w:tcW w:w="0" w:type="auto"/>
            <w:tcBorders>
              <w:top w:val="single" w:color="C9D5E2" w:sz="4" w:space="0"/>
              <w:left w:val="single" w:color="C9D5E2" w:sz="4" w:space="0"/>
              <w:bottom w:val="single" w:color="C9D5E2" w:sz="4" w:space="0"/>
              <w:right w:val="single" w:color="C9D5E2" w:sz="4" w:space="0"/>
            </w:tcBorders>
            <w:shd w:val="clear" w:color="auto" w:fill="F8FAFD"/>
            <w:vAlign w:val="center"/>
          </w:tcPr>
          <w:p w14:paraId="6626D358">
            <w:pPr>
              <w:keepNext w:val="0"/>
              <w:keepLines w:val="0"/>
              <w:widowControl/>
              <w:suppressLineNumbers w:val="0"/>
              <w:spacing w:before="0" w:after="0"/>
              <w:jc w:val="left"/>
              <w:textAlignment w:val="center"/>
              <w:rPr>
                <w:rFonts w:hint="eastAsia" w:asciiTheme="minorHAnsi" w:hAnsiTheme="minorHAnsi" w:eastAsiaTheme="minorEastAsia" w:cstheme="minorBidi"/>
                <w:kern w:val="2"/>
                <w:sz w:val="18"/>
                <w:szCs w:val="21"/>
                <w:lang w:val="en-US" w:eastAsia="zh-CN" w:bidi="ar-SA"/>
              </w:rPr>
            </w:pPr>
            <w:r>
              <w:rPr>
                <w:rFonts w:hint="eastAsia" w:asciiTheme="minorHAnsi" w:hAnsiTheme="minorHAnsi" w:eastAsiaTheme="minorEastAsia" w:cstheme="minorBidi"/>
                <w:b/>
                <w:color w:val="1D2738"/>
                <w:kern w:val="2"/>
                <w:sz w:val="18"/>
                <w:szCs w:val="21"/>
                <w:lang w:val="en-US" w:eastAsia="zh-CN" w:bidi="ar-SA"/>
              </w:rPr>
              <w:t>CONDITIONAL_EVENT_CONTRACT</w:t>
            </w:r>
          </w:p>
        </w:tc>
      </w:tr>
    </w:tbl>
    <w:p w14:paraId="69C70994">
      <w:pPr>
        <w:pStyle w:val="3"/>
        <w:spacing w:after="120" w:line="259" w:lineRule="auto"/>
        <w:jc w:val="left"/>
        <w:rPr>
          <w:lang w:eastAsia="zh-CN"/>
        </w:rPr>
      </w:pPr>
      <w:r>
        <w:rPr>
          <w:rFonts w:ascii="Times New Roman" w:hAnsi="Times New Roman" w:eastAsia="Times New Roman"/>
          <w:color w:val="1D2738"/>
          <w:sz w:val="22"/>
          <w:lang w:eastAsia="zh-CN"/>
        </w:rPr>
        <w:t xml:space="preserve">The key insight from this analysis is that T027 satisfies all three economic function criteria yet is classified </w:t>
      </w:r>
      <w:r>
        <w:rPr>
          <w:rStyle w:val="18"/>
          <w:rFonts w:ascii="Times New Roman" w:hAnsi="Times New Roman" w:eastAsia="Times New Roman"/>
          <w:color w:val="1D2738"/>
          <w:sz w:val="22"/>
        </w:rPr>
        <w:t>NOT_REPORTABLE_EVENT_CONTRACT</w:t>
      </w:r>
      <w:r>
        <w:rPr>
          <w:rFonts w:ascii="Times New Roman" w:hAnsi="Times New Roman" w:eastAsia="Times New Roman"/>
          <w:color w:val="1D2738"/>
          <w:sz w:val="22"/>
          <w:lang w:eastAsia="zh-CN"/>
        </w:rPr>
        <w:t xml:space="preserve"> because the regulatory infrastructure requirements — LEI, UTI, ISO currency, regulated venue — are entirely absent. Economic hedging intent does not create reporting infrastructure.</w:t>
      </w:r>
    </w:p>
    <w:p w14:paraId="0ED0EA1F">
      <w:pPr>
        <w:pStyle w:val="2"/>
        <w:keepNext/>
        <w:numPr>
          <w:ilvl w:val="0"/>
          <w:numId w:val="1"/>
        </w:numPr>
        <w:spacing w:before="200" w:after="80"/>
        <w:rPr>
          <w:rFonts w:hint="default"/>
          <w:lang w:val="en-US" w:eastAsia="zh-CN"/>
        </w:rPr>
      </w:pPr>
      <w:bookmarkStart w:id="21" w:name="_Toc1460166405"/>
      <w:r>
        <w:rPr>
          <w:rFonts w:hint="default" w:ascii="Georgia" w:hAnsi="Georgia" w:eastAsia="Georgia"/>
          <w:b/>
          <w:color w:val="0D2554"/>
          <w:sz w:val="23"/>
          <w:lang w:val="en-US" w:eastAsia="zh-CN"/>
        </w:rPr>
        <w:t>Proposed EventContract UPI Schema</w:t>
      </w:r>
      <w:bookmarkEnd w:id="21"/>
    </w:p>
    <w:p w14:paraId="360631A3">
      <w:pPr>
        <w:pStyle w:val="14"/>
        <w:spacing w:after="120" w:line="259" w:lineRule="auto"/>
        <w:jc w:val="left"/>
      </w:pPr>
      <w:r>
        <w:rPr>
          <w:rFonts w:ascii="Times New Roman" w:hAnsi="Times New Roman" w:eastAsia="Times New Roman"/>
          <w:color w:val="1D2738"/>
          <w:sz w:val="22"/>
        </w:rPr>
        <w:t>If event contracts were brought into the reporting taxonomy, the schema should not simply copy rates, FX, or equity templates. The defining attributes should be event-specific:</w:t>
      </w:r>
    </w:p>
    <w:p w14:paraId="2ED4C637">
      <w:pPr>
        <w:pStyle w:val="16"/>
        <w:numPr>
          <w:ilvl w:val="0"/>
          <w:numId w:val="2"/>
        </w:numPr>
        <w:spacing w:after="120" w:line="259" w:lineRule="auto"/>
        <w:jc w:val="left"/>
      </w:pPr>
      <w:r>
        <w:rPr>
          <w:rFonts w:ascii="Times New Roman" w:hAnsi="Times New Roman" w:eastAsia="Times New Roman"/>
          <w:b/>
          <w:bCs/>
          <w:color w:val="1D2738"/>
          <w:sz w:val="22"/>
        </w:rPr>
        <w:t>EventCategory</w:t>
      </w:r>
      <w:r>
        <w:rPr>
          <w:rFonts w:ascii="Times New Roman" w:hAnsi="Times New Roman" w:eastAsia="Times New Roman"/>
          <w:color w:val="1D2738"/>
          <w:sz w:val="22"/>
        </w:rPr>
        <w:t>: political outcome, economic indicator, regulatory decision, weather, litigation, or similar.</w:t>
      </w:r>
    </w:p>
    <w:p w14:paraId="7F7AA0DE">
      <w:pPr>
        <w:pStyle w:val="16"/>
        <w:numPr>
          <w:ilvl w:val="0"/>
          <w:numId w:val="2"/>
        </w:numPr>
        <w:spacing w:after="120" w:line="259" w:lineRule="auto"/>
        <w:jc w:val="left"/>
      </w:pPr>
      <w:r>
        <w:rPr>
          <w:rFonts w:ascii="Times New Roman" w:hAnsi="Times New Roman" w:eastAsia="Times New Roman"/>
          <w:b/>
          <w:bCs/>
          <w:color w:val="1D2738"/>
          <w:sz w:val="22"/>
        </w:rPr>
        <w:t>ReferenceEntity</w:t>
      </w:r>
      <w:r>
        <w:rPr>
          <w:rFonts w:ascii="Times New Roman" w:hAnsi="Times New Roman" w:eastAsia="Times New Roman"/>
          <w:color w:val="1D2738"/>
          <w:sz w:val="22"/>
        </w:rPr>
        <w:t>: election, regulator, index, official source, court, or other body defining the event.</w:t>
      </w:r>
    </w:p>
    <w:p w14:paraId="662BE4BE">
      <w:pPr>
        <w:pStyle w:val="16"/>
        <w:numPr>
          <w:ilvl w:val="0"/>
          <w:numId w:val="2"/>
        </w:numPr>
        <w:spacing w:after="120" w:line="259" w:lineRule="auto"/>
        <w:jc w:val="left"/>
      </w:pPr>
      <w:r>
        <w:rPr>
          <w:rFonts w:ascii="Times New Roman" w:hAnsi="Times New Roman" w:eastAsia="Times New Roman"/>
          <w:b/>
          <w:bCs/>
          <w:color w:val="1D2738"/>
          <w:sz w:val="22"/>
        </w:rPr>
        <w:t>EventJurisdiction</w:t>
      </w:r>
      <w:r>
        <w:rPr>
          <w:rFonts w:ascii="Times New Roman" w:hAnsi="Times New Roman" w:eastAsia="Times New Roman"/>
          <w:color w:val="1D2738"/>
          <w:sz w:val="22"/>
        </w:rPr>
        <w:t xml:space="preserve"> and </w:t>
      </w:r>
      <w:r>
        <w:rPr>
          <w:rFonts w:ascii="Times New Roman" w:hAnsi="Times New Roman" w:eastAsia="Times New Roman"/>
          <w:b/>
          <w:bCs/>
          <w:color w:val="1D2738"/>
          <w:sz w:val="22"/>
        </w:rPr>
        <w:t>EventDate</w:t>
      </w:r>
      <w:r>
        <w:rPr>
          <w:rFonts w:ascii="Times New Roman" w:hAnsi="Times New Roman" w:eastAsia="Times New Roman"/>
          <w:color w:val="1D2738"/>
          <w:sz w:val="22"/>
        </w:rPr>
        <w:t>: where and when the event is determined.</w:t>
      </w:r>
    </w:p>
    <w:p w14:paraId="69D55AC3">
      <w:pPr>
        <w:pStyle w:val="16"/>
        <w:numPr>
          <w:ilvl w:val="0"/>
          <w:numId w:val="2"/>
        </w:numPr>
        <w:spacing w:after="120" w:line="259" w:lineRule="auto"/>
        <w:jc w:val="left"/>
      </w:pPr>
      <w:r>
        <w:rPr>
          <w:rFonts w:ascii="Times New Roman" w:hAnsi="Times New Roman" w:eastAsia="Times New Roman"/>
          <w:b/>
          <w:bCs/>
          <w:color w:val="1D2738"/>
          <w:sz w:val="22"/>
        </w:rPr>
        <w:t>ResolutionSource</w:t>
      </w:r>
      <w:r>
        <w:rPr>
          <w:rFonts w:ascii="Times New Roman" w:hAnsi="Times New Roman" w:eastAsia="Times New Roman"/>
          <w:color w:val="1D2738"/>
          <w:sz w:val="22"/>
        </w:rPr>
        <w:t>: official source used to settle the contract.</w:t>
      </w:r>
    </w:p>
    <w:p w14:paraId="6117BE5E">
      <w:pPr>
        <w:pStyle w:val="16"/>
        <w:numPr>
          <w:ilvl w:val="0"/>
          <w:numId w:val="2"/>
        </w:numPr>
        <w:spacing w:after="120" w:line="259" w:lineRule="auto"/>
        <w:jc w:val="left"/>
      </w:pPr>
      <w:r>
        <w:rPr>
          <w:rFonts w:ascii="Times New Roman" w:hAnsi="Times New Roman" w:eastAsia="Times New Roman"/>
          <w:b/>
          <w:bCs/>
          <w:color w:val="1D2738"/>
          <w:sz w:val="22"/>
        </w:rPr>
        <w:t>PayoutType</w:t>
      </w:r>
      <w:r>
        <w:rPr>
          <w:rFonts w:ascii="Times New Roman" w:hAnsi="Times New Roman" w:eastAsia="Times New Roman"/>
          <w:color w:val="1D2738"/>
          <w:sz w:val="22"/>
        </w:rPr>
        <w:t>: binary, scalar, capped, floor, or multi-outcome.</w:t>
      </w:r>
    </w:p>
    <w:p w14:paraId="2F7E8403">
      <w:pPr>
        <w:pStyle w:val="16"/>
        <w:numPr>
          <w:ilvl w:val="0"/>
          <w:numId w:val="2"/>
        </w:numPr>
        <w:spacing w:after="120" w:line="259" w:lineRule="auto"/>
        <w:jc w:val="left"/>
      </w:pPr>
      <w:r>
        <w:rPr>
          <w:rFonts w:ascii="Times New Roman" w:hAnsi="Times New Roman" w:eastAsia="Times New Roman"/>
          <w:b/>
          <w:bCs/>
          <w:color w:val="1D2738"/>
          <w:sz w:val="22"/>
        </w:rPr>
        <w:t>SettlementCurrency</w:t>
      </w:r>
      <w:r>
        <w:rPr>
          <w:rFonts w:ascii="Times New Roman" w:hAnsi="Times New Roman" w:eastAsia="Times New Roman"/>
          <w:color w:val="1D2738"/>
          <w:sz w:val="22"/>
        </w:rPr>
        <w:t>: fiat or crypto/stablecoin settlement asset.</w:t>
      </w:r>
    </w:p>
    <w:p w14:paraId="66E8E415">
      <w:pPr>
        <w:pStyle w:val="16"/>
        <w:numPr>
          <w:ilvl w:val="0"/>
          <w:numId w:val="2"/>
        </w:numPr>
        <w:spacing w:after="120" w:line="259" w:lineRule="auto"/>
        <w:jc w:val="left"/>
      </w:pPr>
      <w:r>
        <w:rPr>
          <w:rFonts w:ascii="Times New Roman" w:hAnsi="Times New Roman" w:eastAsia="Times New Roman"/>
          <w:b/>
          <w:bCs/>
          <w:color w:val="1D2738"/>
          <w:sz w:val="22"/>
        </w:rPr>
        <w:t>PlatformType</w:t>
      </w:r>
      <w:r>
        <w:rPr>
          <w:rFonts w:ascii="Times New Roman" w:hAnsi="Times New Roman" w:eastAsia="Times New Roman"/>
          <w:color w:val="1D2738"/>
          <w:sz w:val="22"/>
        </w:rPr>
        <w:t>: CFTC DCM, offshore exchange, decentralized protocol, bilateral OTC, or other.</w:t>
      </w:r>
    </w:p>
    <w:p w14:paraId="241629E2">
      <w:pPr>
        <w:pStyle w:val="16"/>
        <w:numPr>
          <w:ilvl w:val="0"/>
          <w:numId w:val="2"/>
        </w:numPr>
        <w:spacing w:after="120" w:line="259" w:lineRule="auto"/>
        <w:jc w:val="left"/>
      </w:pPr>
      <w:r>
        <w:rPr>
          <w:rFonts w:ascii="Times New Roman" w:hAnsi="Times New Roman" w:eastAsia="Times New Roman"/>
          <w:b/>
          <w:bCs/>
          <w:color w:val="1D2738"/>
          <w:sz w:val="22"/>
        </w:rPr>
        <w:t>RegulatoryStatus</w:t>
      </w:r>
      <w:r>
        <w:rPr>
          <w:rFonts w:ascii="Times New Roman" w:hAnsi="Times New Roman" w:eastAsia="Times New Roman"/>
          <w:color w:val="1D2738"/>
          <w:sz w:val="22"/>
        </w:rPr>
        <w:t>: approved, gambling/prohibited, not applicable, conditional, or uncertain.</w:t>
      </w:r>
    </w:p>
    <w:p w14:paraId="1874B287">
      <w:pPr>
        <w:pStyle w:val="14"/>
        <w:spacing w:after="120" w:line="259" w:lineRule="auto"/>
        <w:jc w:val="left"/>
        <w:rPr>
          <w:rFonts w:hint="eastAsia"/>
        </w:rPr>
      </w:pPr>
      <w:r>
        <w:rPr>
          <w:rFonts w:ascii="Times New Roman" w:hAnsi="Times New Roman" w:eastAsia="Times New Roman"/>
          <w:b w:val="0"/>
          <w:i w:val="0"/>
          <w:color w:val="1D2738"/>
          <w:sz w:val="22"/>
        </w:rPr>
        <w:t>The ANNA-DSB OTC UPI taxonomy currently covers five conventional asset classes: Rates, Credit, FX, Equity, and Commodities. EventContracts are absent, so the main body keeps the schema discussion concise.</w:t>
      </w:r>
    </w:p>
    <w:p w14:paraId="040AFEE1">
      <w:pPr>
        <w:pStyle w:val="14"/>
        <w:spacing w:after="120" w:line="259" w:lineRule="auto"/>
        <w:jc w:val="left"/>
        <w:rPr>
          <w:lang w:eastAsia="zh-CN"/>
        </w:rPr>
      </w:pPr>
      <w:r>
        <w:rPr>
          <w:rFonts w:ascii="Times New Roman" w:hAnsi="Times New Roman" w:eastAsia="Times New Roman"/>
          <w:color w:val="1D2738"/>
          <w:sz w:val="22"/>
        </w:rPr>
        <w:t>Three design decisions matter. PlatformType separates CFTC DCM contracts from offshore or decentralized venues. RegulatoryStatus captures gambling or public-policy restrictions. SettlementCurrency captures fiat and stablecoin settlement while flagging non-ISO codes.</w:t>
      </w:r>
    </w:p>
    <w:p w14:paraId="21749EB8">
      <w:pPr>
        <w:pStyle w:val="14"/>
        <w:spacing w:after="120" w:line="259" w:lineRule="auto"/>
        <w:jc w:val="left"/>
        <w:rPr>
          <w:lang w:eastAsia="zh-CN"/>
        </w:rPr>
      </w:pPr>
      <w:r>
        <w:rPr>
          <w:rFonts w:ascii="Times New Roman" w:hAnsi="Times New Roman" w:eastAsia="Times New Roman"/>
          <w:color w:val="1D2738"/>
          <w:sz w:val="22"/>
        </w:rPr>
        <w:t>Together, those attributes help distinguish a licensed exchange-traded political EventContract from an offshore crypto-settled contract even when both have similar economic payoff structures.</w:t>
      </w:r>
    </w:p>
    <w:p w14:paraId="6CBACBF4">
      <w:pPr>
        <w:pStyle w:val="3"/>
        <w:spacing w:after="120" w:line="259" w:lineRule="auto"/>
        <w:jc w:val="left"/>
        <w:rPr>
          <w:lang w:eastAsia="zh-CN"/>
        </w:rPr>
      </w:pPr>
      <w:r>
        <w:rPr>
          <w:rFonts w:ascii="Times New Roman" w:hAnsi="Times New Roman" w:eastAsia="Times New Roman"/>
          <w:b w:val="0"/>
          <w:i w:val="0"/>
          <w:color w:val="1D2738"/>
          <w:sz w:val="22"/>
        </w:rPr>
        <w:t>Appendix C provides the proposed schema fields and the full implementation JSON template in compact technical form.</w:t>
      </w:r>
    </w:p>
    <w:p w14:paraId="73D69ADA">
      <w:pPr>
        <w:pStyle w:val="2"/>
        <w:keepNext/>
        <w:numPr>
          <w:ilvl w:val="0"/>
          <w:numId w:val="1"/>
        </w:numPr>
        <w:spacing w:before="200" w:after="80"/>
        <w:rPr>
          <w:rFonts w:hint="default"/>
          <w:lang w:val="en-US" w:eastAsia="zh-CN"/>
        </w:rPr>
      </w:pPr>
      <w:bookmarkStart w:id="22" w:name="_Toc1721134566"/>
      <w:r>
        <w:rPr>
          <w:rFonts w:hint="default" w:ascii="Georgia" w:hAnsi="Georgia" w:eastAsia="Georgia"/>
          <w:b/>
          <w:color w:val="0D2554"/>
          <w:sz w:val="23"/>
          <w:lang w:val="en-US" w:eastAsia="zh-CN"/>
        </w:rPr>
        <w:t>Regulatory Arbitrage Analysis—Two Elements from Brandes (2026)</w:t>
      </w:r>
      <w:bookmarkEnd w:id="22"/>
    </w:p>
    <w:p w14:paraId="7D763882">
      <w:pPr>
        <w:pStyle w:val="3"/>
        <w:spacing w:after="120" w:line="259" w:lineRule="auto"/>
        <w:jc w:val="left"/>
        <w:rPr>
          <w:rFonts w:hint="default"/>
          <w:lang w:val="en-US" w:eastAsia="zh-CN"/>
        </w:rPr>
      </w:pPr>
      <w:r>
        <w:rPr>
          <w:rFonts w:ascii="Times New Roman" w:hAnsi="Times New Roman" w:eastAsia="Times New Roman"/>
          <w:color w:val="1D2738"/>
          <w:sz w:val="22"/>
        </w:rPr>
        <w:t>Drawing on Brandes (2026), this section uses the project scenario to discuss two issues that are operationally relevant for a RegTech compliance engine: operator neutrality and market-integrity supervision.</w:t>
      </w:r>
    </w:p>
    <w:p w14:paraId="01D5D6FB">
      <w:pPr>
        <w:pStyle w:val="3"/>
        <w:numPr>
          <w:ilvl w:val="1"/>
          <w:numId w:val="1"/>
        </w:numPr>
        <w:spacing w:after="120" w:line="259" w:lineRule="auto"/>
        <w:jc w:val="left"/>
        <w:rPr>
          <w:b/>
          <w:bCs/>
          <w:highlight w:val="none"/>
          <w:lang w:eastAsia="zh-CN"/>
        </w:rPr>
      </w:pPr>
      <w:r>
        <w:rPr>
          <w:rFonts w:ascii="Georgia" w:hAnsi="Georgia" w:eastAsia="Georgia"/>
          <w:b/>
          <w:bCs/>
          <w:color w:val="0D2554"/>
          <w:sz w:val="23"/>
          <w:highlight w:val="none"/>
          <w:lang w:eastAsia="zh-CN"/>
        </w:rPr>
        <w:t>Operator Neutrality</w:t>
      </w:r>
    </w:p>
    <w:p w14:paraId="5BEC0C0F">
      <w:pPr>
        <w:pStyle w:val="3"/>
        <w:spacing w:after="120" w:line="259" w:lineRule="auto"/>
        <w:jc w:val="left"/>
        <w:rPr>
          <w:lang w:eastAsia="zh-CN"/>
        </w:rPr>
      </w:pPr>
      <w:r>
        <w:rPr>
          <w:rFonts w:ascii="Times New Roman" w:hAnsi="Times New Roman" w:eastAsia="Times New Roman"/>
          <w:color w:val="1D2738"/>
          <w:sz w:val="22"/>
        </w:rPr>
        <w:t>Brandes (2026) frames operator neutrality as a concern when an event-contract operator could hold positions in its own markets or have incentives linked to outcomes. In this project framing, that concern motivates a data-design question: whether supervisory reporting should make operator-linked exposure easier to detect.</w:t>
      </w:r>
    </w:p>
    <w:p w14:paraId="4484208B">
      <w:pPr>
        <w:pStyle w:val="3"/>
        <w:spacing w:after="120" w:line="259" w:lineRule="auto"/>
        <w:jc w:val="left"/>
        <w:rPr>
          <w:lang w:eastAsia="zh-CN"/>
        </w:rPr>
      </w:pPr>
      <w:r>
        <w:rPr>
          <w:rFonts w:ascii="Times New Roman" w:hAnsi="Times New Roman" w:eastAsia="Times New Roman"/>
          <w:color w:val="1D2738"/>
          <w:sz w:val="22"/>
        </w:rPr>
        <w:t>The cross-border dimension is relevant in the project scenario. If an EU-resident firm accessed a non-EU event-contract venue, local supervisory visibility and available protections could differ from those associated with EU-regulated instruments, creating a plausible monitoring gap rather than a definitive legal conclusion.</w:t>
      </w:r>
    </w:p>
    <w:p w14:paraId="1AB64214">
      <w:pPr>
        <w:pStyle w:val="3"/>
        <w:spacing w:after="120" w:line="259" w:lineRule="auto"/>
        <w:jc w:val="left"/>
        <w:rPr>
          <w:lang w:eastAsia="zh-CN"/>
        </w:rPr>
      </w:pPr>
      <w:r>
        <w:rPr>
          <w:rFonts w:ascii="Times New Roman" w:hAnsi="Times New Roman" w:eastAsia="Times New Roman"/>
          <w:color w:val="1D2738"/>
          <w:sz w:val="22"/>
        </w:rPr>
        <w:t>A RegTech compliance engine could address this partially by cross-referencing the reporting counterparty LEI against the platform operator LEI. If they match or are affiliates based on GLEIF parent-child relationship data, the engine flags OPERATOR_CONFLICT. For EU-resident firms, comparing the platform LEI against the ESMA register of authorised venues could raise UNLICENSED_VENUE if absent. Neither check is possible for T027 (Polymarket), which has no operator LEI at all; the CFTC_EVENT_NOT_APPLICABLE finding therefore records a visibility gap in the project scenario. Under the EMIR regime run, T026 additionally receives EMIR_EVENT_SCOPE because the engine cannot resolve cross-jurisdictional scope from the available data. If the contract were treated as an OTC derivative, further analysis would be needed to determine the applicable EMIR consequences for the EU-resident counterparty. An SDR-style reporting extension or equivalent supervisory filing would be needed before this validation becomes operationally feasible.</w:t>
      </w:r>
    </w:p>
    <w:p w14:paraId="68007CBE">
      <w:pPr>
        <w:pStyle w:val="3"/>
        <w:numPr>
          <w:ilvl w:val="1"/>
          <w:numId w:val="1"/>
        </w:numPr>
        <w:spacing w:after="120" w:line="259" w:lineRule="auto"/>
        <w:jc w:val="left"/>
        <w:rPr>
          <w:b/>
          <w:bCs/>
          <w:highlight w:val="none"/>
          <w:lang w:eastAsia="zh-CN"/>
        </w:rPr>
      </w:pPr>
      <w:r>
        <w:rPr>
          <w:rFonts w:ascii="Georgia" w:hAnsi="Georgia" w:eastAsia="Georgia"/>
          <w:b/>
          <w:bCs/>
          <w:color w:val="0D2554"/>
          <w:sz w:val="23"/>
          <w:highlight w:val="none"/>
          <w:lang w:eastAsia="zh-CN"/>
        </w:rPr>
        <w:t>Market Integrity Supervision</w:t>
      </w:r>
    </w:p>
    <w:p w14:paraId="15A6B695">
      <w:pPr>
        <w:pStyle w:val="3"/>
        <w:spacing w:after="120" w:line="259" w:lineRule="auto"/>
        <w:jc w:val="left"/>
        <w:rPr>
          <w:lang w:eastAsia="zh-CN"/>
        </w:rPr>
      </w:pPr>
      <w:r>
        <w:rPr>
          <w:rFonts w:ascii="Times New Roman" w:hAnsi="Times New Roman" w:eastAsia="Times New Roman"/>
          <w:color w:val="1D2738"/>
          <w:sz w:val="22"/>
        </w:rPr>
        <w:t>Brandes (2026) highlights market-integrity risks such as concentration, privileged information, and uneven surveillance in prediction markets. For this project, those concerns motivate additional monitoring fields and event-timestamp checks rather than a claim that every venue lacks equivalent controls.</w:t>
      </w:r>
    </w:p>
    <w:p w14:paraId="5913317A">
      <w:pPr>
        <w:pStyle w:val="3"/>
        <w:spacing w:after="120" w:line="259" w:lineRule="auto"/>
        <w:jc w:val="left"/>
        <w:rPr>
          <w:lang w:eastAsia="zh-CN"/>
        </w:rPr>
      </w:pPr>
      <w:r>
        <w:rPr>
          <w:rFonts w:ascii="Times New Roman" w:hAnsi="Times New Roman" w:eastAsia="Times New Roman"/>
          <w:color w:val="1D2738"/>
          <w:sz w:val="22"/>
        </w:rPr>
        <w:t>Under the project framing, EU market-abuse analysis may differ depending on how a contract is legally classified and where it trades. The report therefore treats T026 as a useful supervisory-design case, not as a definitive statement on whether a particular legal regime applies.</w:t>
      </w:r>
    </w:p>
    <w:p w14:paraId="31EB0900">
      <w:pPr>
        <w:pStyle w:val="3"/>
        <w:spacing w:after="120" w:line="259" w:lineRule="auto"/>
        <w:jc w:val="left"/>
        <w:rPr>
          <w:lang w:eastAsia="zh-CN"/>
        </w:rPr>
      </w:pPr>
      <w:r>
        <w:rPr>
          <w:rFonts w:ascii="Times New Roman" w:hAnsi="Times New Roman" w:eastAsia="Times New Roman"/>
          <w:color w:val="1D2738"/>
          <w:sz w:val="22"/>
        </w:rPr>
        <w:t>A RegTech compliance engine could implement two checks once trade-repository data exists. First, a concentration flag: if a single counterparty LEI holds more than 20 percent of open interest in a contract, raise POSITION_CONCENTRATION. Second, a timestamp cross-reference: compare event-contract execution times against known political or regulatory announcement schedules to flag POTENTIAL_INSIDER_TRADING. T026 and T028 are classified CONDITIONAL_EVENT_CONTRACT because Kalshi is represented in the project as a CFTC DCM, while the ordinary OTC reporting route remains incomplete for the engine. The CONDITIONAL classification is therefore the prudent project outcome while reporting treatment remains uncertain in this scenario.</w:t>
      </w:r>
    </w:p>
    <w:p w14:paraId="0BDCEE5F">
      <w:pPr>
        <w:pStyle w:val="2"/>
        <w:keepNext/>
        <w:numPr>
          <w:ilvl w:val="0"/>
          <w:numId w:val="1"/>
        </w:numPr>
        <w:spacing w:before="200" w:after="80"/>
        <w:rPr>
          <w:rFonts w:hint="default"/>
          <w:lang w:val="en-US" w:eastAsia="zh-CN"/>
        </w:rPr>
      </w:pPr>
      <w:bookmarkStart w:id="23" w:name="_Toc503925672"/>
      <w:bookmarkStart w:id="24" w:name="dashboard-and-deliverables"/>
      <w:r>
        <w:rPr>
          <w:rFonts w:hint="default" w:ascii="Georgia" w:hAnsi="Georgia" w:eastAsia="Georgia"/>
          <w:b/>
          <w:color w:val="0D2554"/>
          <w:sz w:val="23"/>
          <w:lang w:val="en-US" w:eastAsia="zh-CN"/>
        </w:rPr>
        <w:t>Dashboard and Deliverables</w:t>
      </w:r>
      <w:bookmarkEnd w:id="23"/>
    </w:p>
    <w:p w14:paraId="0ED09A9E">
      <w:pPr>
        <w:pStyle w:val="14"/>
        <w:spacing w:after="120" w:line="259" w:lineRule="auto"/>
        <w:jc w:val="left"/>
      </w:pPr>
      <w:r>
        <w:rPr>
          <w:rFonts w:ascii="Times New Roman" w:hAnsi="Times New Roman" w:eastAsia="Times New Roman"/>
          <w:color w:val="1D2738"/>
          <w:sz w:val="22"/>
        </w:rPr>
        <w:t>The dashboard supports the report rather than replacing it. It contains four views:</w:t>
      </w:r>
    </w:p>
    <w:p w14:paraId="43DB23FC">
      <w:pPr>
        <w:pStyle w:val="16"/>
        <w:numPr>
          <w:ilvl w:val="0"/>
          <w:numId w:val="3"/>
        </w:numPr>
        <w:spacing w:after="60" w:line="259" w:lineRule="auto"/>
        <w:ind w:left="259" w:hanging="259"/>
        <w:jc w:val="left"/>
      </w:pPr>
      <w:r>
        <w:rPr>
          <w:rFonts w:ascii="Times New Roman" w:hAnsi="Times New Roman" w:eastAsia="Times New Roman"/>
          <w:b w:val="0"/>
          <w:i w:val="0"/>
          <w:color w:val="1D2738"/>
          <w:sz w:val="22"/>
        </w:rPr>
        <w:t>— Compliance heatmap by trade and rule family.</w:t>
      </w:r>
    </w:p>
    <w:p w14:paraId="660CEA7E">
      <w:pPr>
        <w:pStyle w:val="16"/>
        <w:numPr>
          <w:ilvl w:val="0"/>
          <w:numId w:val="3"/>
        </w:numPr>
        <w:spacing w:after="60" w:line="259" w:lineRule="auto"/>
        <w:ind w:left="259" w:hanging="259"/>
        <w:jc w:val="left"/>
      </w:pPr>
      <w:r>
        <w:rPr>
          <w:rFonts w:ascii="Times New Roman" w:hAnsi="Times New Roman" w:eastAsia="Times New Roman"/>
          <w:b w:val="0"/>
          <w:i w:val="0"/>
          <w:color w:val="1D2738"/>
          <w:sz w:val="22"/>
        </w:rPr>
        <w:t>— Compliance Finding Frequency by Validation Rule, with scope assessments separated from data-quality errors.</w:t>
      </w:r>
    </w:p>
    <w:p w14:paraId="2F20DE7F">
      <w:pPr>
        <w:pStyle w:val="16"/>
        <w:numPr>
          <w:ilvl w:val="0"/>
          <w:numId w:val="3"/>
        </w:numPr>
        <w:spacing w:after="60" w:line="259" w:lineRule="auto"/>
        <w:ind w:left="259" w:hanging="259"/>
        <w:jc w:val="left"/>
      </w:pPr>
      <w:r>
        <w:rPr>
          <w:rFonts w:ascii="Times New Roman" w:hAnsi="Times New Roman" w:eastAsia="Times New Roman"/>
          <w:b w:val="0"/>
          <w:i w:val="0"/>
          <w:color w:val="1D2738"/>
          <w:sz w:val="22"/>
        </w:rPr>
        <w:t>— Asset-class compliance breakdown.</w:t>
      </w:r>
    </w:p>
    <w:p w14:paraId="5B4C39CA">
      <w:pPr>
        <w:pStyle w:val="16"/>
        <w:numPr>
          <w:ilvl w:val="0"/>
          <w:numId w:val="3"/>
        </w:numPr>
        <w:spacing w:after="60" w:line="259" w:lineRule="auto"/>
        <w:ind w:left="259" w:hanging="259"/>
        <w:jc w:val="left"/>
      </w:pPr>
      <w:r>
        <w:rPr>
          <w:rFonts w:ascii="Times New Roman" w:hAnsi="Times New Roman" w:eastAsia="Times New Roman"/>
          <w:b w:val="0"/>
          <w:i w:val="0"/>
          <w:color w:val="1D2738"/>
          <w:sz w:val="22"/>
        </w:rPr>
        <w:t>— Classification frontier panel for T026–T028 with data quality and scope status.</w:t>
      </w:r>
    </w:p>
    <w:p w14:paraId="07D92F30">
      <w:pPr>
        <w:jc w:val="center"/>
      </w:pPr>
      <w:r>
        <w:drawing>
          <wp:inline distT="0" distB="0" distL="114300" distR="114300">
            <wp:extent cx="5715000" cy="230378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10"/>
                    <a:stretch>
                      <a:fillRect/>
                    </a:stretch>
                  </pic:blipFill>
                  <pic:spPr>
                    <a:xfrm>
                      <a:off x="0" y="0"/>
                      <a:ext cx="5715000" cy="2304288"/>
                    </a:xfrm>
                    <a:prstGeom prst="rect">
                      <a:avLst/>
                    </a:prstGeom>
                  </pic:spPr>
                </pic:pic>
              </a:graphicData>
            </a:graphic>
          </wp:inline>
        </w:drawing>
      </w:r>
    </w:p>
    <w:p w14:paraId="06AAEC7F">
      <w:pPr>
        <w:pStyle w:val="15"/>
        <w:keepNext/>
        <w:jc w:val="center"/>
      </w:pPr>
      <w:r>
        <w:rPr>
          <w:rFonts w:ascii="Georgia" w:hAnsi="Georgia" w:eastAsia="Georgia"/>
          <w:b/>
          <w:i w:val="0"/>
          <w:color w:val="0D2554"/>
          <w:sz w:val="19"/>
        </w:rPr>
        <w:t>Figure 4a: Dashboard KPI Cards and Executive Interpretation</w:t>
      </w:r>
    </w:p>
    <w:p w14:paraId="5FB372C0">
      <w:pPr>
        <w:pStyle w:val="3"/>
        <w:spacing w:after="120" w:line="259" w:lineRule="auto"/>
        <w:jc w:val="left"/>
      </w:pPr>
      <w:r>
        <w:rPr>
          <w:rFonts w:ascii="Times New Roman" w:hAnsi="Times New Roman" w:eastAsia="Times New Roman"/>
          <w:b w:val="0"/>
          <w:i w:val="0"/>
          <w:color w:val="1D2738"/>
          <w:sz w:val="22"/>
        </w:rPr>
        <w:t>The KPI panel separates legacy compatibility metrics from field-level data-quality metrics before the dashboard moves into trade-level detail.</w:t>
      </w:r>
    </w:p>
    <w:bookmarkEnd w:id="24"/>
    <w:p w14:paraId="51B5E8F9">
      <w:pPr>
        <w:jc w:val="center"/>
      </w:pPr>
      <w:r>
        <w:drawing>
          <wp:inline distT="0" distB="0" distL="114300" distR="114300">
            <wp:extent cx="5715000" cy="381254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11"/>
                    <a:stretch>
                      <a:fillRect/>
                    </a:stretch>
                  </pic:blipFill>
                  <pic:spPr>
                    <a:xfrm>
                      <a:off x="0" y="0"/>
                      <a:ext cx="5715000" cy="3813048"/>
                    </a:xfrm>
                    <a:prstGeom prst="rect">
                      <a:avLst/>
                    </a:prstGeom>
                  </pic:spPr>
                </pic:pic>
              </a:graphicData>
            </a:graphic>
          </wp:inline>
        </w:drawing>
      </w:r>
    </w:p>
    <w:p w14:paraId="0CD3E718">
      <w:pPr>
        <w:jc w:val="center"/>
      </w:pPr>
      <w:r>
        <w:rPr>
          <w:rFonts w:ascii="Georgia" w:hAnsi="Georgia" w:eastAsia="Georgia"/>
          <w:b/>
          <w:color w:val="0D2554"/>
          <w:sz w:val="19"/>
        </w:rPr>
        <w:t>Figure 4b: Compliance Heatmap</w:t>
      </w:r>
    </w:p>
    <w:p w14:paraId="295F2109">
      <w:r>
        <w:rPr>
          <w:rFonts w:ascii="Times New Roman" w:hAnsi="Times New Roman" w:eastAsia="Times New Roman"/>
          <w:color w:val="1D2738"/>
          <w:sz w:val="22"/>
        </w:rPr>
        <w:t>The heatmap makes the portfolio pattern visible: conventional failures cluster in identifier and regime-field checks, while T027 remains the highlighted visibility-risk case.</w:t>
      </w:r>
    </w:p>
    <w:p w14:paraId="244A8B90">
      <w:pPr>
        <w:pStyle w:val="2"/>
        <w:keepNext/>
        <w:numPr>
          <w:ilvl w:val="0"/>
          <w:numId w:val="1"/>
        </w:numPr>
        <w:spacing w:before="200" w:after="80"/>
        <w:rPr>
          <w:rFonts w:hint="default"/>
          <w:lang w:val="en-US" w:eastAsia="zh-CN"/>
        </w:rPr>
      </w:pPr>
      <w:bookmarkStart w:id="25" w:name="_Toc1950749183"/>
      <w:bookmarkStart w:id="26" w:name="engine-limits"/>
      <w:r>
        <w:rPr>
          <w:rFonts w:hint="default" w:ascii="Georgia" w:hAnsi="Georgia" w:eastAsia="Georgia"/>
          <w:b/>
          <w:color w:val="0D2554"/>
          <w:sz w:val="23"/>
          <w:lang w:val="en-US" w:eastAsia="zh-CN"/>
        </w:rPr>
        <w:t>Engine Limits</w:t>
      </w:r>
      <w:r>
        <w:rPr>
          <w:rFonts w:hint="eastAsia" w:ascii="Georgia" w:hAnsi="Georgia" w:eastAsia="Georgia"/>
          <w:b/>
          <w:color w:val="0D2554"/>
          <w:sz w:val="23"/>
          <w:lang w:val="en-US" w:eastAsia="zh-CN"/>
        </w:rPr>
        <w:t xml:space="preserve"> </w:t>
      </w:r>
      <w:r>
        <w:rPr>
          <w:rFonts w:hint="default" w:ascii="Georgia" w:hAnsi="Georgia" w:eastAsia="Georgia"/>
          <w:b/>
          <w:color w:val="0D2554"/>
          <w:sz w:val="23"/>
          <w:lang w:val="en-US" w:eastAsia="zh-CN"/>
        </w:rPr>
        <w:t>and CFTC Recommendations</w:t>
      </w:r>
      <w:bookmarkEnd w:id="25"/>
    </w:p>
    <w:p w14:paraId="05A29380">
      <w:pPr>
        <w:pStyle w:val="3"/>
        <w:spacing w:after="120" w:line="259" w:lineRule="auto"/>
        <w:jc w:val="left"/>
        <w:rPr>
          <w:lang w:eastAsia="zh-CN"/>
        </w:rPr>
      </w:pPr>
      <w:r>
        <w:rPr>
          <w:rFonts w:ascii="Times New Roman" w:hAnsi="Times New Roman" w:eastAsia="Times New Roman"/>
          <w:color w:val="1D2738"/>
          <w:sz w:val="22"/>
          <w:lang w:eastAsia="zh-CN"/>
        </w:rPr>
        <w:t>The engine can validate structured fields, match taxonomy files, detect missing identifiers, separate zero from null, and flag business-consistency defects. It cannot determine true hedging intent, gambling classification, exchange authorization, or cross-border enforcement consequences. Those issues require legal and supervisory judgment.</w:t>
      </w:r>
    </w:p>
    <w:p w14:paraId="31C282A7">
      <w:pPr>
        <w:pStyle w:val="3"/>
        <w:spacing w:after="120" w:line="259" w:lineRule="auto"/>
        <w:jc w:val="left"/>
        <w:rPr>
          <w:lang w:eastAsia="zh-CN"/>
        </w:rPr>
      </w:pPr>
      <w:r>
        <w:rPr>
          <w:rFonts w:ascii="Times New Roman" w:hAnsi="Times New Roman" w:eastAsia="Times New Roman"/>
          <w:color w:val="1D2738"/>
          <w:sz w:val="22"/>
          <w:lang w:eastAsia="zh-CN"/>
        </w:rPr>
        <w:t>This is exactly why prediction market contracts are useful in the assignment. They show the difference between field-level compliance, jurisdictional scope, and product-level classification. The engine can prove that T026-T028 do not fit the existing ANNA-DSB OTC product taxonomy, but whether and how they should be reported is a regulatory design question.</w:t>
      </w:r>
    </w:p>
    <w:p w14:paraId="4B93F541">
      <w:pPr>
        <w:pStyle w:val="3"/>
        <w:numPr>
          <w:ilvl w:val="1"/>
          <w:numId w:val="1"/>
        </w:numPr>
        <w:spacing w:after="120" w:line="259" w:lineRule="auto"/>
        <w:ind w:left="0" w:leftChars="0" w:firstLine="0" w:firstLineChars="0"/>
        <w:jc w:val="left"/>
        <w:rPr>
          <w:b/>
          <w:bCs/>
          <w:lang w:eastAsia="zh-CN"/>
        </w:rPr>
      </w:pPr>
      <w:r>
        <w:rPr>
          <w:rFonts w:ascii="Georgia" w:hAnsi="Georgia" w:eastAsia="Georgia"/>
          <w:b/>
          <w:bCs/>
          <w:color w:val="0D2554"/>
          <w:sz w:val="23"/>
          <w:lang w:eastAsia="zh-CN"/>
        </w:rPr>
        <w:t>The Scale of the Supervisory Blind Spot</w:t>
      </w:r>
    </w:p>
    <w:p w14:paraId="24F66065">
      <w:pPr>
        <w:pStyle w:val="3"/>
        <w:spacing w:after="120" w:line="259" w:lineRule="auto"/>
        <w:jc w:val="left"/>
        <w:rPr>
          <w:lang w:eastAsia="zh-CN"/>
        </w:rPr>
      </w:pPr>
      <w:r>
        <w:rPr>
          <w:rFonts w:ascii="Times New Roman" w:hAnsi="Times New Roman" w:eastAsia="Times New Roman"/>
          <w:color w:val="1D2738"/>
          <w:sz w:val="22"/>
        </w:rPr>
        <w:t>Diercks, Katz and Wright (2026) cite substantial Kalshi trading volume in March 2026. Under the project framing, that activity is not represented in the engine’s ordinary UPI / UTI / LEI workflow, which illustrates why concentration and cross-market exposure can be difficult to aggregate when event products sit outside conventional OTC reporting infrastructure.</w:t>
      </w:r>
    </w:p>
    <w:p w14:paraId="70A9F256">
      <w:pPr>
        <w:pStyle w:val="3"/>
        <w:numPr>
          <w:ilvl w:val="1"/>
          <w:numId w:val="1"/>
        </w:numPr>
        <w:spacing w:after="120" w:line="259" w:lineRule="auto"/>
        <w:ind w:left="0" w:leftChars="0" w:firstLine="0" w:firstLineChars="0"/>
        <w:jc w:val="left"/>
        <w:rPr>
          <w:b/>
          <w:bCs/>
          <w:highlight w:val="none"/>
          <w:lang w:eastAsia="zh-CN"/>
        </w:rPr>
      </w:pPr>
      <w:r>
        <w:rPr>
          <w:rFonts w:ascii="Times New Roman" w:hAnsi="Times New Roman" w:eastAsia="Times New Roman"/>
          <w:b/>
          <w:bCs/>
          <w:color w:val="1D2738"/>
          <w:sz w:val="22"/>
          <w:highlight w:val="none"/>
          <w:lang w:eastAsia="zh-CN"/>
        </w:rPr>
        <w:t>Is UPI Absence a Systemic Risk Indicator?</w:t>
      </w:r>
    </w:p>
    <w:p w14:paraId="28B3A050">
      <w:pPr>
        <w:pStyle w:val="3"/>
        <w:spacing w:after="120" w:line="259" w:lineRule="auto"/>
        <w:jc w:val="left"/>
        <w:rPr>
          <w:highlight w:val="none"/>
          <w:lang w:eastAsia="zh-CN"/>
        </w:rPr>
      </w:pPr>
      <w:r>
        <w:rPr>
          <w:rFonts w:ascii="Times New Roman" w:hAnsi="Times New Roman" w:eastAsia="Times New Roman"/>
          <w:color w:val="1D2738"/>
          <w:sz w:val="22"/>
          <w:lang w:eastAsia="zh-CN"/>
        </w:rPr>
        <w:t xml:space="preserve">For conventional OTC derivatives, a missing or placeholder UPI is a data-quality defect that can be remediated through resubmission. For EventContracts, UPI absence signals a qualitatively different problem: the instrument category has no agreed taxonomy, no product definition, and no reference data infrastructure. This creates three distinct systemic risk channels. First, aggregation impossibility: regulators cannot net exposures across participants in the same event contract because there is no common product identifier. Second, cross-market risk invisibility: a CPI event contract (T027) is economically correlated with inflation swaps and Treasury futures, yet without a UPI no automated surveillance system can detect build-up of related exposure across asset classes. Third, collateral chain opacity: USDC-settled contracts have no standard margin-reporting pathway, making collateral calls and default waterfalls invisible to central counterparties and resolution authorities. </w:t>
      </w:r>
      <w:r>
        <w:rPr>
          <w:rFonts w:hint="eastAsia" w:ascii="Times New Roman" w:hAnsi="Times New Roman" w:eastAsia="Times New Roman"/>
          <w:color w:val="1D2738"/>
          <w:sz w:val="22"/>
          <w:lang w:eastAsia="zh-CN"/>
        </w:rPr>
        <w:t>CFTC could consider treating the absence of a registered UPI for material EventContract exposures as a trigger for a novel-instrument notification or supervisory review.</w:t>
      </w:r>
    </w:p>
    <w:p w14:paraId="67DEC880">
      <w:pPr>
        <w:pStyle w:val="3"/>
        <w:numPr>
          <w:ilvl w:val="1"/>
          <w:numId w:val="1"/>
        </w:numPr>
        <w:spacing w:after="120" w:line="259" w:lineRule="auto"/>
        <w:ind w:left="0" w:leftChars="0" w:firstLine="0" w:firstLineChars="0"/>
        <w:jc w:val="left"/>
        <w:rPr>
          <w:b/>
          <w:bCs/>
          <w:highlight w:val="none"/>
          <w:lang w:eastAsia="zh-CN"/>
        </w:rPr>
      </w:pPr>
      <w:r>
        <w:rPr>
          <w:rFonts w:ascii="Georgia" w:hAnsi="Georgia" w:eastAsia="Georgia"/>
          <w:b/>
          <w:bCs/>
          <w:color w:val="0D2554"/>
          <w:sz w:val="23"/>
          <w:highlight w:val="none"/>
          <w:lang w:eastAsia="zh-CN"/>
        </w:rPr>
        <w:t>Two Technical Modifications to CFTC ANPR 91 FR 12516</w:t>
      </w:r>
    </w:p>
    <w:p w14:paraId="3EFA5C18">
      <w:pPr>
        <w:pStyle w:val="3"/>
        <w:spacing w:after="120" w:line="259" w:lineRule="auto"/>
        <w:jc w:val="left"/>
      </w:pPr>
      <w:r>
        <w:rPr>
          <w:rFonts w:ascii="Times New Roman" w:hAnsi="Times New Roman" w:eastAsia="Times New Roman"/>
          <w:color w:val="1D2738"/>
          <w:sz w:val="22"/>
        </w:rPr>
        <w:t>The following recommendations are illustrative technical designs for the project scenario rather than statements of current legal obligations.</w:t>
      </w:r>
    </w:p>
    <w:p w14:paraId="4DAE22FA">
      <w:pPr>
        <w:pStyle w:val="3"/>
        <w:spacing w:after="120" w:line="259" w:lineRule="auto"/>
        <w:jc w:val="left"/>
        <w:rPr>
          <w:b/>
          <w:bCs/>
          <w:lang w:eastAsia="zh-CN"/>
        </w:rPr>
      </w:pPr>
      <w:r>
        <w:rPr>
          <w:rFonts w:ascii="Times New Roman" w:hAnsi="Times New Roman" w:eastAsia="Times New Roman"/>
          <w:b/>
          <w:bCs/>
          <w:color w:val="1D2738"/>
          <w:sz w:val="22"/>
          <w:lang w:eastAsia="zh-CN"/>
        </w:rPr>
        <w:t>Modification 1 — Extend Part 45 SDR Reporting to CFTC-Licensed DCM Event Contracts.</w:t>
      </w:r>
    </w:p>
    <w:p w14:paraId="655FBB8B">
      <w:pPr>
        <w:pStyle w:val="3"/>
        <w:spacing w:after="120" w:line="259" w:lineRule="auto"/>
        <w:jc w:val="left"/>
        <w:rPr>
          <w:lang w:eastAsia="zh-CN"/>
        </w:rPr>
      </w:pPr>
      <w:r>
        <w:rPr>
          <w:rFonts w:ascii="Times New Roman" w:hAnsi="Times New Roman" w:eastAsia="Times New Roman"/>
          <w:color w:val="1D2738"/>
          <w:sz w:val="22"/>
        </w:rPr>
        <w:t>Under the project framing, conventional Part 45 swap reporting is treated as the benchmark for OTC transparency. DCM-listed event contracts do not currently map cleanly into the same UPI / UTI / LEI reporting workflow used by the engine. An illustrative technical modification could extend SDR-style reporting to CFTC-licensed DCM event contracts above a materiality threshold.</w:t>
      </w:r>
    </w:p>
    <w:p w14:paraId="3D44EE60">
      <w:pPr>
        <w:pStyle w:val="3"/>
        <w:spacing w:after="120" w:line="259" w:lineRule="auto"/>
        <w:jc w:val="left"/>
        <w:rPr>
          <w:lang w:eastAsia="zh-CN"/>
        </w:rPr>
      </w:pPr>
      <w:r>
        <w:rPr>
          <w:rFonts w:ascii="Times New Roman" w:hAnsi="Times New Roman" w:eastAsia="Times New Roman"/>
          <w:color w:val="1D2738"/>
          <w:sz w:val="22"/>
        </w:rPr>
        <w:t>Required fields would follow the EventContract UPI schema proposed in Section 7 and summarised in Appendix C, including EventCategory, ReferenceEntity, EventDate, PayoutType, SettlementCurrency, and counterparty LEI pairs. The RegTech impact is direct: T026 and T028 would move from CFTC_EVENT_CONDITIONAL to CFTC_EVENT_IN_SCOPE and the compliance engine would gain a validated data pipeline.</w:t>
      </w:r>
    </w:p>
    <w:p w14:paraId="15E29122">
      <w:pPr>
        <w:pStyle w:val="3"/>
        <w:spacing w:after="120" w:line="259" w:lineRule="auto"/>
        <w:jc w:val="left"/>
        <w:rPr>
          <w:b/>
          <w:bCs/>
          <w:lang w:eastAsia="zh-CN"/>
        </w:rPr>
      </w:pPr>
      <w:r>
        <w:rPr>
          <w:rFonts w:ascii="Times New Roman" w:hAnsi="Times New Roman" w:eastAsia="Times New Roman"/>
          <w:b/>
          <w:bCs/>
          <w:color w:val="1D2738"/>
          <w:sz w:val="22"/>
          <w:lang w:eastAsia="zh-CN"/>
        </w:rPr>
        <w:t>Modification 2 — Novel Instrument Notification for Non-ISO Settlement Assets.</w:t>
      </w:r>
    </w:p>
    <w:p w14:paraId="06BFD346">
      <w:pPr>
        <w:pStyle w:val="3"/>
        <w:spacing w:after="120" w:line="259" w:lineRule="auto"/>
        <w:jc w:val="left"/>
        <w:rPr>
          <w:lang w:eastAsia="zh-CN"/>
        </w:rPr>
      </w:pPr>
      <w:r>
        <w:rPr>
          <w:rFonts w:ascii="Times New Roman" w:hAnsi="Times New Roman" w:eastAsia="Times New Roman"/>
          <w:color w:val="1D2738"/>
          <w:sz w:val="22"/>
        </w:rPr>
        <w:t>An illustrative policy design could introduce a Form EC-1 style notification mechanism for offshore or stablecoin-settled event contracts above a materiality threshold. Such a notification could collect platform name and jurisdiction, event reference, settlement asset information, notional amount, and available counterparty identifiers. For the compliance engine, the combined appearance of INVALID_CURRENCY, LEI_MISSING, and CFTC_EVENT_NOT_APPLICABLE on a single trade would trigger a supervisory review flag rather than an automatic reporting conclusion.</w:t>
      </w:r>
    </w:p>
    <w:bookmarkEnd w:id="26"/>
    <w:p w14:paraId="6D1349BE">
      <w:pPr>
        <w:pStyle w:val="2"/>
        <w:keepNext/>
        <w:numPr>
          <w:ilvl w:val="0"/>
          <w:numId w:val="1"/>
        </w:numPr>
        <w:spacing w:before="200" w:after="80"/>
        <w:rPr>
          <w:rFonts w:hint="default"/>
          <w:lang w:val="en-US" w:eastAsia="zh-CN"/>
        </w:rPr>
      </w:pPr>
      <w:bookmarkStart w:id="27" w:name="_Toc608679932"/>
      <w:bookmarkStart w:id="28" w:name="conclusion"/>
      <w:r>
        <w:rPr>
          <w:rFonts w:hint="default" w:ascii="Georgia" w:hAnsi="Georgia" w:eastAsia="Georgia"/>
          <w:b/>
          <w:color w:val="0D2554"/>
          <w:sz w:val="23"/>
          <w:lang w:val="en-US" w:eastAsia="zh-CN"/>
        </w:rPr>
        <w:t>Conclusion</w:t>
      </w:r>
      <w:bookmarkEnd w:id="27"/>
    </w:p>
    <w:p w14:paraId="4DB8D9D1">
      <w:pPr>
        <w:pStyle w:val="14"/>
        <w:keepNext w:val="0"/>
        <w:spacing w:before="0" w:after="120" w:line="259" w:lineRule="auto"/>
        <w:jc w:val="left"/>
      </w:pPr>
      <w:r>
        <w:rPr>
          <w:rFonts w:ascii="Times New Roman" w:hAnsi="Times New Roman" w:eastAsia="Times New Roman"/>
          <w:b w:val="0"/>
          <w:i w:val="0"/>
          <w:color w:val="1D2738"/>
          <w:sz w:val="22"/>
        </w:rPr>
        <w:t>This project processes 28 trades through a rule-based RegTech engine and shows that conventional OTC products can be mapped through existing UPI, UTI, and LEI infrastructure. The engine identifies conventional data-quality issues such as LEI defects, invalid currencies, null margin fields, timestamp errors, and missing product definitions, while separating these field-level failures from jurisdictional scope and product-classification questions.</w:t>
      </w:r>
    </w:p>
    <w:p w14:paraId="5C9D6AFB">
      <w:pPr>
        <w:pStyle w:val="3"/>
        <w:keepNext w:val="0"/>
        <w:spacing w:before="0" w:after="120" w:line="259" w:lineRule="auto"/>
        <w:jc w:val="left"/>
        <w:rPr>
          <w:lang w:eastAsia="zh-CN"/>
        </w:rPr>
      </w:pPr>
      <w:r>
        <w:rPr>
          <w:rFonts w:ascii="Times New Roman" w:hAnsi="Times New Roman" w:eastAsia="Times New Roman"/>
          <w:b w:val="0"/>
          <w:i w:val="0"/>
          <w:color w:val="1D2738"/>
          <w:sz w:val="22"/>
        </w:rPr>
        <w:t>The key analytical contribution is the three-dimensional compliance interpretation: data quality, reporting scope, and regulatory conclusion. Under this framework, T026 and T028 remain conditional EventContracts because they sit at the boundary of regulated prediction markets and ordinary OTC reporting taxonomy. T027 is more significant: it is data-quality non-compliant, out of scope, and not reportable through the ordinary CFTC / EMIR OTC reporting path, even though it may perform an economically hedge-like function. This shows that economic risk transfer can exist without clean UPI, UTI, LEI, or trade-repository visibility.</w:t>
      </w:r>
    </w:p>
    <w:bookmarkEnd w:id="28"/>
    <w:p w14:paraId="22D5F603">
      <w:pPr>
        <w:keepNext w:val="0"/>
        <w:spacing w:before="0" w:after="120" w:line="259" w:lineRule="auto"/>
      </w:pPr>
      <w:r>
        <w:rPr>
          <w:rFonts w:ascii="Times New Roman" w:hAnsi="Times New Roman" w:eastAsia="Times New Roman"/>
          <w:b w:val="0"/>
          <w:i w:val="0"/>
          <w:color w:val="1D2738"/>
          <w:sz w:val="22"/>
        </w:rPr>
        <w:t>The project therefore contributes both a working compliance engine for known OTC product classes and a classification-frontier analysis for prediction-market instruments. The dashboard, EventContract schema proposal, and CFTC-style technical recommendations show how future supervisory reporting could make novel event-based exposures more visible without misclassifying jurisdictional gaps as ordinary data errors.</w:t>
      </w:r>
    </w:p>
    <w:p w14:paraId="5D888ED2">
      <w:pPr>
        <w:pStyle w:val="2"/>
        <w:keepNext w:val="0"/>
        <w:pageBreakBefore/>
        <w:numPr>
          <w:ilvl w:val="0"/>
          <w:numId w:val="0"/>
        </w:numPr>
        <w:pBdr>
          <w:bottom w:val="single" w:color="0D2554" w:sz="12" w:space="6"/>
        </w:pBdr>
        <w:spacing w:before="0" w:after="80" w:line="240" w:lineRule="auto"/>
        <w:rPr>
          <w:rFonts w:hint="eastAsia"/>
          <w:lang w:val="en-US" w:eastAsia="zh-CN"/>
        </w:rPr>
      </w:pPr>
      <w:r>
        <w:rPr>
          <w:rFonts w:ascii="Georgia" w:hAnsi="Georgia" w:eastAsia="Georgia"/>
          <w:b/>
          <w:i w:val="0"/>
          <w:color w:val="0D2554"/>
          <w:sz w:val="32"/>
        </w:rPr>
        <w:t>References</w:t>
      </w:r>
    </w:p>
    <w:p w14:paraId="2B46B0D5">
      <w:pPr>
        <w:keepNext w:val="0"/>
        <w:spacing w:before="80" w:after="120" w:line="240" w:lineRule="auto"/>
      </w:pPr>
      <w:r>
        <w:rPr>
          <w:rFonts w:ascii="Times New Roman" w:hAnsi="Times New Roman" w:eastAsia="Times New Roman"/>
          <w:b w:val="0"/>
          <w:i/>
          <w:color w:val="1D2738"/>
          <w:sz w:val="22"/>
        </w:rPr>
        <w:t>References are formatted in Harvard author–date style.</w:t>
      </w:r>
    </w:p>
    <w:tbl>
      <w:tblPr>
        <w:tblStyle w:val="5"/>
        <w:tblW w:w="9746"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55" w:type="dxa"/>
          <w:left w:w="70" w:type="dxa"/>
          <w:bottom w:w="55" w:type="dxa"/>
          <w:right w:w="70" w:type="dxa"/>
        </w:tblCellMar>
      </w:tblPr>
      <w:tblGrid>
        <w:gridCol w:w="7200"/>
        <w:gridCol w:w="2546"/>
      </w:tblGrid>
      <w:tr w14:paraId="65084FAC">
        <w:tc>
          <w:tcPr>
            <w:tcW w:w="7200" w:type="dxa"/>
            <w:shd w:val="clear" w:color="auto" w:fill="FFFFFF"/>
            <w:vAlign w:val="center"/>
          </w:tcPr>
          <w:p w14:paraId="3F10214D">
            <w:pPr>
              <w:keepNext w:val="0"/>
              <w:spacing w:before="0" w:after="20" w:line="240" w:lineRule="auto"/>
              <w:ind w:left="259" w:hanging="259"/>
              <w:jc w:val="left"/>
            </w:pPr>
            <w:r>
              <w:rPr>
                <w:rFonts w:ascii="Times New Roman" w:hAnsi="Times New Roman" w:eastAsia="Times New Roman"/>
                <w:b w:val="0"/>
                <w:i w:val="0"/>
                <w:color w:val="1D2738"/>
                <w:sz w:val="18"/>
              </w:rPr>
              <w:t>ANNA-DSB (2025) ANNA-DSB Product Definitions v3.7. Available at: https://www.anna-dsb.com/wp-content/uploads/2025/03/ANNA-DSB-Product-Definitions-3.7-FINAL.pdf (Accessed: 16 May 2026).</w:t>
            </w:r>
          </w:p>
        </w:tc>
        <w:tc>
          <w:tcPr>
            <w:tcW w:w="2546" w:type="dxa"/>
            <w:tcBorders>
              <w:top w:val="single" w:color="D8E1EE" w:sz="4" w:space="0"/>
              <w:left w:val="single" w:color="D8E1EE" w:sz="4" w:space="0"/>
              <w:bottom w:val="single" w:color="D8E1EE" w:sz="4" w:space="0"/>
              <w:right w:val="single" w:color="D8E1EE" w:sz="4" w:space="0"/>
            </w:tcBorders>
            <w:shd w:val="clear" w:color="auto" w:fill="F8FAFD"/>
            <w:vAlign w:val="center"/>
          </w:tcPr>
          <w:p w14:paraId="16F04DD9">
            <w:pPr>
              <w:keepNext w:val="0"/>
              <w:spacing w:before="0" w:after="0" w:line="240" w:lineRule="auto"/>
              <w:jc w:val="center"/>
            </w:pPr>
            <w:r>
              <w:rPr>
                <w:rFonts w:ascii="Georgia" w:hAnsi="Georgia" w:eastAsia="Georgia"/>
                <w:b/>
                <w:color w:val="0D2554"/>
                <w:sz w:val="16"/>
              </w:rPr>
              <w:t>In-text reference example:</w:t>
            </w:r>
            <w:r>
              <w:rPr>
                <w:rFonts w:ascii="Georgia" w:hAnsi="Georgia" w:eastAsia="Georgia"/>
                <w:b/>
                <w:color w:val="0D2554"/>
                <w:sz w:val="16"/>
              </w:rPr>
              <w:br w:type="textWrapping"/>
            </w:r>
            <w:r>
              <w:rPr>
                <w:rFonts w:ascii="Georgia" w:hAnsi="Georgia" w:eastAsia="Georgia"/>
                <w:color w:val="0D2554"/>
                <w:sz w:val="16"/>
              </w:rPr>
              <w:t>(ANNA-DSB, 2025)</w:t>
            </w:r>
          </w:p>
        </w:tc>
      </w:tr>
      <w:tr w14:paraId="1CB85402">
        <w:tc>
          <w:tcPr>
            <w:tcW w:w="7200" w:type="dxa"/>
            <w:shd w:val="clear" w:color="auto" w:fill="FFFFFF"/>
            <w:vAlign w:val="center"/>
          </w:tcPr>
          <w:p w14:paraId="6C758901">
            <w:pPr>
              <w:keepNext w:val="0"/>
              <w:spacing w:before="0" w:after="20" w:line="240" w:lineRule="auto"/>
              <w:ind w:left="259" w:hanging="259"/>
              <w:jc w:val="left"/>
            </w:pPr>
            <w:r>
              <w:rPr>
                <w:rFonts w:ascii="Times New Roman" w:hAnsi="Times New Roman" w:eastAsia="Times New Roman"/>
                <w:b w:val="0"/>
                <w:i w:val="0"/>
                <w:color w:val="1D2738"/>
                <w:sz w:val="18"/>
              </w:rPr>
              <w:t>Brandes, A. (2026) The Unhedgeable State: Political Risk, Prediction Markets, and the Gap in Europe’s Risk Management Architecture. SSRN. Available at: https://doi.org/10.2139/ssrn.6571938 (Accessed: 16 May 2026).</w:t>
            </w:r>
          </w:p>
        </w:tc>
        <w:tc>
          <w:tcPr>
            <w:tcW w:w="2546" w:type="dxa"/>
            <w:tcBorders>
              <w:top w:val="single" w:color="D8E1EE" w:sz="4" w:space="0"/>
              <w:left w:val="single" w:color="D8E1EE" w:sz="4" w:space="0"/>
              <w:bottom w:val="single" w:color="D8E1EE" w:sz="4" w:space="0"/>
              <w:right w:val="single" w:color="D8E1EE" w:sz="4" w:space="0"/>
            </w:tcBorders>
            <w:shd w:val="clear" w:color="auto" w:fill="F8FAFD"/>
            <w:vAlign w:val="center"/>
          </w:tcPr>
          <w:p w14:paraId="4F05AEAF">
            <w:pPr>
              <w:keepNext w:val="0"/>
              <w:spacing w:before="0" w:after="0" w:line="240" w:lineRule="auto"/>
              <w:jc w:val="left"/>
            </w:pPr>
            <w:r>
              <w:rPr>
                <w:rFonts w:ascii="Georgia" w:hAnsi="Georgia" w:eastAsia="Georgia"/>
                <w:b/>
                <w:color w:val="0D2554"/>
                <w:sz w:val="16"/>
              </w:rPr>
              <w:t>In-text reference example:</w:t>
            </w:r>
            <w:r>
              <w:rPr>
                <w:rFonts w:ascii="Georgia" w:hAnsi="Georgia" w:eastAsia="Georgia"/>
                <w:b/>
                <w:color w:val="0D2554"/>
                <w:sz w:val="16"/>
              </w:rPr>
              <w:br w:type="textWrapping"/>
            </w:r>
            <w:r>
              <w:rPr>
                <w:rFonts w:ascii="Georgia" w:hAnsi="Georgia" w:eastAsia="Georgia"/>
                <w:color w:val="0D2554"/>
                <w:sz w:val="16"/>
              </w:rPr>
              <w:t>(Brandes, 2026)</w:t>
            </w:r>
          </w:p>
        </w:tc>
      </w:tr>
      <w:tr w14:paraId="3E0928B0">
        <w:tc>
          <w:tcPr>
            <w:tcW w:w="7200" w:type="dxa"/>
            <w:shd w:val="clear" w:color="auto" w:fill="FFFFFF"/>
            <w:vAlign w:val="center"/>
          </w:tcPr>
          <w:p w14:paraId="3D2735E1">
            <w:pPr>
              <w:keepNext w:val="0"/>
              <w:spacing w:before="0" w:after="20" w:line="240" w:lineRule="auto"/>
              <w:ind w:left="259" w:hanging="259"/>
              <w:jc w:val="left"/>
            </w:pPr>
            <w:r>
              <w:rPr>
                <w:rFonts w:ascii="Times New Roman" w:hAnsi="Times New Roman" w:eastAsia="Times New Roman"/>
                <w:b w:val="0"/>
                <w:i w:val="0"/>
                <w:color w:val="1D2738"/>
                <w:sz w:val="18"/>
              </w:rPr>
              <w:t>Commodity Futures Trading Commission (n.d.) Swap Data Recordkeeping and Reporting. Available at: https://www.cftc.gov/LawRegulation/DoddFrankAct/Rulemakings/DF_17_RecordkeepingReporting/index.htm (Accessed: 16 May 2026).</w:t>
            </w:r>
          </w:p>
        </w:tc>
        <w:tc>
          <w:tcPr>
            <w:tcW w:w="2546" w:type="dxa"/>
            <w:tcBorders>
              <w:top w:val="single" w:color="D8E1EE" w:sz="4" w:space="0"/>
              <w:left w:val="single" w:color="D8E1EE" w:sz="4" w:space="0"/>
              <w:bottom w:val="single" w:color="D8E1EE" w:sz="4" w:space="0"/>
              <w:right w:val="single" w:color="D8E1EE" w:sz="4" w:space="0"/>
            </w:tcBorders>
            <w:shd w:val="clear" w:color="auto" w:fill="F8FAFD"/>
            <w:vAlign w:val="center"/>
          </w:tcPr>
          <w:p w14:paraId="5B2D8C19">
            <w:pPr>
              <w:keepNext w:val="0"/>
              <w:spacing w:before="0" w:after="0" w:line="240" w:lineRule="auto"/>
              <w:jc w:val="left"/>
            </w:pPr>
            <w:r>
              <w:rPr>
                <w:rFonts w:ascii="Georgia" w:hAnsi="Georgia" w:eastAsia="Georgia"/>
                <w:b/>
                <w:color w:val="0D2554"/>
                <w:sz w:val="16"/>
              </w:rPr>
              <w:t>In-text reference example:</w:t>
            </w:r>
            <w:r>
              <w:rPr>
                <w:rFonts w:ascii="Georgia" w:hAnsi="Georgia" w:eastAsia="Georgia"/>
                <w:b/>
                <w:color w:val="0D2554"/>
                <w:sz w:val="16"/>
              </w:rPr>
              <w:br w:type="textWrapping"/>
            </w:r>
            <w:r>
              <w:rPr>
                <w:rFonts w:ascii="Georgia" w:hAnsi="Georgia" w:eastAsia="Georgia"/>
                <w:color w:val="0D2554"/>
                <w:sz w:val="16"/>
              </w:rPr>
              <w:t>(Commodity Futures Trading Commission, n.d.)</w:t>
            </w:r>
          </w:p>
        </w:tc>
      </w:tr>
      <w:tr w14:paraId="7D25C62F">
        <w:tc>
          <w:tcPr>
            <w:tcW w:w="7200" w:type="dxa"/>
            <w:shd w:val="clear" w:color="auto" w:fill="FFFFFF"/>
            <w:vAlign w:val="center"/>
          </w:tcPr>
          <w:p w14:paraId="01E6A801">
            <w:pPr>
              <w:keepNext w:val="0"/>
              <w:spacing w:before="0" w:after="20" w:line="240" w:lineRule="auto"/>
              <w:ind w:left="259" w:hanging="259"/>
              <w:jc w:val="left"/>
            </w:pPr>
            <w:r>
              <w:rPr>
                <w:rFonts w:ascii="Times New Roman" w:hAnsi="Times New Roman" w:eastAsia="Times New Roman"/>
                <w:b w:val="0"/>
                <w:i w:val="0"/>
                <w:color w:val="1D2738"/>
                <w:sz w:val="18"/>
              </w:rPr>
              <w:t>Diercks, A.M., Katz, J.D. and Wright, J.H. (2026) Kalshi and the Rise of Macro Markets. NBER Working Paper No. 34702. Available at: https://www.nber.org/papers/w34702 (Accessed: 16 May 2026).</w:t>
            </w:r>
          </w:p>
        </w:tc>
        <w:tc>
          <w:tcPr>
            <w:tcW w:w="2546" w:type="dxa"/>
            <w:tcBorders>
              <w:top w:val="single" w:color="D8E1EE" w:sz="4" w:space="0"/>
              <w:left w:val="single" w:color="D8E1EE" w:sz="4" w:space="0"/>
              <w:bottom w:val="single" w:color="D8E1EE" w:sz="4" w:space="0"/>
              <w:right w:val="single" w:color="D8E1EE" w:sz="4" w:space="0"/>
            </w:tcBorders>
            <w:shd w:val="clear" w:color="auto" w:fill="F8FAFD"/>
            <w:vAlign w:val="center"/>
          </w:tcPr>
          <w:p w14:paraId="1CFBC649">
            <w:pPr>
              <w:keepNext w:val="0"/>
              <w:spacing w:before="0" w:after="0" w:line="240" w:lineRule="auto"/>
              <w:jc w:val="left"/>
            </w:pPr>
            <w:r>
              <w:rPr>
                <w:rFonts w:ascii="Georgia" w:hAnsi="Georgia" w:eastAsia="Georgia"/>
                <w:b/>
                <w:color w:val="0D2554"/>
                <w:sz w:val="16"/>
              </w:rPr>
              <w:t>In-text reference example:</w:t>
            </w:r>
            <w:r>
              <w:rPr>
                <w:rFonts w:ascii="Georgia" w:hAnsi="Georgia" w:eastAsia="Georgia"/>
                <w:b/>
                <w:color w:val="0D2554"/>
                <w:sz w:val="16"/>
              </w:rPr>
              <w:br w:type="textWrapping"/>
            </w:r>
            <w:r>
              <w:rPr>
                <w:rFonts w:ascii="Georgia" w:hAnsi="Georgia" w:eastAsia="Georgia"/>
                <w:color w:val="0D2554"/>
                <w:sz w:val="16"/>
              </w:rPr>
              <w:t>(Diercks, Katz and Wright, 2026)</w:t>
            </w:r>
          </w:p>
        </w:tc>
      </w:tr>
      <w:tr w14:paraId="32C2371B">
        <w:tc>
          <w:tcPr>
            <w:tcW w:w="7200" w:type="dxa"/>
            <w:shd w:val="clear" w:color="auto" w:fill="FFFFFF"/>
            <w:vAlign w:val="center"/>
          </w:tcPr>
          <w:p w14:paraId="42BC3DBD">
            <w:pPr>
              <w:keepNext w:val="0"/>
              <w:spacing w:before="0" w:after="20" w:line="240" w:lineRule="auto"/>
              <w:ind w:left="259" w:hanging="259"/>
              <w:jc w:val="left"/>
            </w:pPr>
            <w:r>
              <w:rPr>
                <w:rFonts w:ascii="Times New Roman" w:hAnsi="Times New Roman" w:eastAsia="Times New Roman"/>
                <w:b w:val="0"/>
                <w:i w:val="0"/>
                <w:color w:val="1D2738"/>
                <w:sz w:val="18"/>
              </w:rPr>
              <w:t>European Securities and Markets Authority (2023) Guidelines for reporting under EMIR REFIT. Available at: https://www.esma.europa.eu/sites/default/files/2023-10/ESMA74-362-2281_Guidelines_EMIR_REFIT.pdf (Accessed: 16 May 2026).</w:t>
            </w:r>
          </w:p>
        </w:tc>
        <w:tc>
          <w:tcPr>
            <w:tcW w:w="2546" w:type="dxa"/>
            <w:tcBorders>
              <w:top w:val="single" w:color="D8E1EE" w:sz="4" w:space="0"/>
              <w:left w:val="single" w:color="D8E1EE" w:sz="4" w:space="0"/>
              <w:bottom w:val="single" w:color="D8E1EE" w:sz="4" w:space="0"/>
              <w:right w:val="single" w:color="D8E1EE" w:sz="4" w:space="0"/>
            </w:tcBorders>
            <w:shd w:val="clear" w:color="auto" w:fill="F8FAFD"/>
            <w:vAlign w:val="center"/>
          </w:tcPr>
          <w:p w14:paraId="67349372">
            <w:pPr>
              <w:keepNext w:val="0"/>
              <w:spacing w:before="0" w:after="0" w:line="240" w:lineRule="auto"/>
              <w:jc w:val="left"/>
            </w:pPr>
            <w:r>
              <w:rPr>
                <w:rFonts w:ascii="Georgia" w:hAnsi="Georgia" w:eastAsia="Georgia"/>
                <w:b/>
                <w:color w:val="0D2554"/>
                <w:sz w:val="16"/>
              </w:rPr>
              <w:t>In-text reference example:</w:t>
            </w:r>
            <w:r>
              <w:rPr>
                <w:rFonts w:ascii="Georgia" w:hAnsi="Georgia" w:eastAsia="Georgia"/>
                <w:b/>
                <w:color w:val="0D2554"/>
                <w:sz w:val="16"/>
              </w:rPr>
              <w:br w:type="textWrapping"/>
            </w:r>
            <w:r>
              <w:rPr>
                <w:rFonts w:ascii="Georgia" w:hAnsi="Georgia" w:eastAsia="Georgia"/>
                <w:color w:val="0D2554"/>
                <w:sz w:val="16"/>
              </w:rPr>
              <w:t>(European Securities and Markets Authority, 2023)</w:t>
            </w:r>
          </w:p>
        </w:tc>
      </w:tr>
      <w:tr w14:paraId="5C327108">
        <w:tc>
          <w:tcPr>
            <w:tcW w:w="7200" w:type="dxa"/>
            <w:shd w:val="clear" w:color="auto" w:fill="FFFFFF"/>
            <w:vAlign w:val="center"/>
          </w:tcPr>
          <w:p w14:paraId="567522E2">
            <w:pPr>
              <w:keepNext w:val="0"/>
              <w:spacing w:before="0" w:after="20" w:line="240" w:lineRule="auto"/>
              <w:ind w:left="259" w:hanging="259"/>
              <w:jc w:val="left"/>
            </w:pPr>
            <w:r>
              <w:rPr>
                <w:rFonts w:ascii="Times New Roman" w:hAnsi="Times New Roman" w:eastAsia="Times New Roman"/>
                <w:b w:val="0"/>
                <w:i w:val="0"/>
                <w:color w:val="1D2738"/>
                <w:sz w:val="18"/>
              </w:rPr>
              <w:t>Global Legal Entity Identifier Foundation (n.d.) Introducing the Legal Entity Identifier (LEI). Available at: https://www.gleif.org/en/about-lei/introducing-the-legal-entity-identifier-lei (Accessed: 16 May 2026).</w:t>
            </w:r>
          </w:p>
        </w:tc>
        <w:tc>
          <w:tcPr>
            <w:tcW w:w="2546" w:type="dxa"/>
            <w:tcBorders>
              <w:top w:val="single" w:color="D8E1EE" w:sz="4" w:space="0"/>
              <w:left w:val="single" w:color="D8E1EE" w:sz="4" w:space="0"/>
              <w:bottom w:val="single" w:color="D8E1EE" w:sz="4" w:space="0"/>
              <w:right w:val="single" w:color="D8E1EE" w:sz="4" w:space="0"/>
            </w:tcBorders>
            <w:shd w:val="clear" w:color="auto" w:fill="F8FAFD"/>
            <w:vAlign w:val="center"/>
          </w:tcPr>
          <w:p w14:paraId="21F2ADE8">
            <w:pPr>
              <w:keepNext w:val="0"/>
              <w:spacing w:before="0" w:after="0" w:line="240" w:lineRule="auto"/>
              <w:jc w:val="left"/>
            </w:pPr>
            <w:r>
              <w:rPr>
                <w:rFonts w:ascii="Georgia" w:hAnsi="Georgia" w:eastAsia="Georgia"/>
                <w:b/>
                <w:color w:val="0D2554"/>
                <w:sz w:val="16"/>
              </w:rPr>
              <w:t>In-text reference example:</w:t>
            </w:r>
            <w:r>
              <w:rPr>
                <w:rFonts w:ascii="Georgia" w:hAnsi="Georgia" w:eastAsia="Georgia"/>
                <w:b/>
                <w:color w:val="0D2554"/>
                <w:sz w:val="16"/>
              </w:rPr>
              <w:br w:type="textWrapping"/>
            </w:r>
            <w:r>
              <w:rPr>
                <w:rFonts w:ascii="Georgia" w:hAnsi="Georgia" w:eastAsia="Georgia"/>
                <w:color w:val="0D2554"/>
                <w:sz w:val="16"/>
              </w:rPr>
              <w:t>(Global Legal Entity Identifier Foundation, n.d.)</w:t>
            </w:r>
          </w:p>
        </w:tc>
      </w:tr>
      <w:tr w14:paraId="53B27E3F">
        <w:tc>
          <w:tcPr>
            <w:tcW w:w="7200" w:type="dxa"/>
            <w:shd w:val="clear" w:color="auto" w:fill="FFFFFF"/>
            <w:vAlign w:val="center"/>
          </w:tcPr>
          <w:p w14:paraId="1EAD045C">
            <w:pPr>
              <w:keepNext w:val="0"/>
              <w:spacing w:before="0" w:after="20" w:line="240" w:lineRule="auto"/>
              <w:ind w:left="259" w:hanging="259"/>
              <w:jc w:val="left"/>
            </w:pPr>
            <w:r>
              <w:rPr>
                <w:rFonts w:ascii="Times New Roman" w:hAnsi="Times New Roman" w:eastAsia="Times New Roman"/>
                <w:b w:val="0"/>
                <w:i w:val="0"/>
                <w:color w:val="1D2738"/>
                <w:sz w:val="18"/>
              </w:rPr>
              <w:t>International Organization for Standardization (2020) ISO 23897: Financial services — Unique transaction identifier. Available at: https://www.iso.org/standard/77436.html (Accessed: 16 May 2026).</w:t>
            </w:r>
          </w:p>
        </w:tc>
        <w:tc>
          <w:tcPr>
            <w:tcW w:w="2546" w:type="dxa"/>
            <w:tcBorders>
              <w:top w:val="single" w:color="D8E1EE" w:sz="4" w:space="0"/>
              <w:left w:val="single" w:color="D8E1EE" w:sz="4" w:space="0"/>
              <w:bottom w:val="single" w:color="D8E1EE" w:sz="4" w:space="0"/>
              <w:right w:val="single" w:color="D8E1EE" w:sz="4" w:space="0"/>
            </w:tcBorders>
            <w:shd w:val="clear" w:color="auto" w:fill="F8FAFD"/>
            <w:vAlign w:val="center"/>
          </w:tcPr>
          <w:p w14:paraId="1AE19F17">
            <w:pPr>
              <w:keepNext w:val="0"/>
              <w:spacing w:before="0" w:after="0" w:line="240" w:lineRule="auto"/>
              <w:jc w:val="left"/>
            </w:pPr>
            <w:r>
              <w:rPr>
                <w:rFonts w:ascii="Georgia" w:hAnsi="Georgia" w:eastAsia="Georgia"/>
                <w:b/>
                <w:color w:val="0D2554"/>
                <w:sz w:val="16"/>
              </w:rPr>
              <w:t>In-text reference example:</w:t>
            </w:r>
            <w:r>
              <w:rPr>
                <w:rFonts w:ascii="Georgia" w:hAnsi="Georgia" w:eastAsia="Georgia"/>
                <w:b/>
                <w:color w:val="0D2554"/>
                <w:sz w:val="16"/>
              </w:rPr>
              <w:br w:type="textWrapping"/>
            </w:r>
            <w:r>
              <w:rPr>
                <w:rFonts w:ascii="Georgia" w:hAnsi="Georgia" w:eastAsia="Georgia"/>
                <w:color w:val="0D2554"/>
                <w:sz w:val="16"/>
              </w:rPr>
              <w:t>(International Organization for Standardization, 2020)</w:t>
            </w:r>
          </w:p>
        </w:tc>
      </w:tr>
      <w:tr w14:paraId="6D80F70E">
        <w:tc>
          <w:tcPr>
            <w:tcW w:w="7200" w:type="dxa"/>
            <w:shd w:val="clear" w:color="auto" w:fill="FFFFFF"/>
            <w:vAlign w:val="center"/>
          </w:tcPr>
          <w:p w14:paraId="666F8FCD">
            <w:pPr>
              <w:keepNext w:val="0"/>
              <w:spacing w:before="0" w:after="20" w:line="240" w:lineRule="auto"/>
              <w:ind w:left="259" w:hanging="259"/>
              <w:jc w:val="left"/>
            </w:pPr>
            <w:r>
              <w:rPr>
                <w:rFonts w:ascii="Times New Roman" w:hAnsi="Times New Roman" w:eastAsia="Times New Roman"/>
                <w:b w:val="0"/>
                <w:i w:val="0"/>
                <w:color w:val="1D2738"/>
                <w:sz w:val="18"/>
              </w:rPr>
              <w:t>Singapore Statutes Online (2013) Securities and Futures (Reporting of Derivatives Contracts) Regulations 2013. Available at: https://sso.agc.gov.sg/SL/SFA2001-S668-2013 (Accessed: 16 May 2026).</w:t>
            </w:r>
          </w:p>
        </w:tc>
        <w:tc>
          <w:tcPr>
            <w:tcW w:w="2546" w:type="dxa"/>
            <w:tcBorders>
              <w:top w:val="single" w:color="D8E1EE" w:sz="4" w:space="0"/>
              <w:left w:val="single" w:color="D8E1EE" w:sz="4" w:space="0"/>
              <w:bottom w:val="single" w:color="D8E1EE" w:sz="4" w:space="0"/>
              <w:right w:val="single" w:color="D8E1EE" w:sz="4" w:space="0"/>
            </w:tcBorders>
            <w:shd w:val="clear" w:color="auto" w:fill="F8FAFD"/>
            <w:vAlign w:val="center"/>
          </w:tcPr>
          <w:p w14:paraId="16011E4D">
            <w:pPr>
              <w:keepNext w:val="0"/>
              <w:spacing w:before="0" w:after="0" w:line="240" w:lineRule="auto"/>
              <w:jc w:val="left"/>
            </w:pPr>
            <w:r>
              <w:rPr>
                <w:rFonts w:ascii="Georgia" w:hAnsi="Georgia" w:eastAsia="Georgia"/>
                <w:b/>
                <w:color w:val="0D2554"/>
                <w:sz w:val="16"/>
              </w:rPr>
              <w:t>In-text reference example:</w:t>
            </w:r>
            <w:r>
              <w:rPr>
                <w:rFonts w:ascii="Georgia" w:hAnsi="Georgia" w:eastAsia="Georgia"/>
                <w:b/>
                <w:color w:val="0D2554"/>
                <w:sz w:val="16"/>
              </w:rPr>
              <w:br w:type="textWrapping"/>
            </w:r>
            <w:r>
              <w:rPr>
                <w:rFonts w:ascii="Georgia" w:hAnsi="Georgia" w:eastAsia="Georgia"/>
                <w:color w:val="0D2554"/>
                <w:sz w:val="16"/>
              </w:rPr>
              <w:t>(Singapore Statutes Online, 2013)</w:t>
            </w:r>
          </w:p>
        </w:tc>
      </w:tr>
      <w:tr w14:paraId="7E24D1A9">
        <w:tc>
          <w:tcPr>
            <w:tcW w:w="7200" w:type="dxa"/>
            <w:shd w:val="clear" w:color="auto" w:fill="FFFFFF"/>
            <w:vAlign w:val="center"/>
          </w:tcPr>
          <w:p w14:paraId="66B99C26">
            <w:pPr>
              <w:keepNext w:val="0"/>
              <w:spacing w:before="0" w:after="20" w:line="240" w:lineRule="auto"/>
              <w:ind w:left="259" w:hanging="259"/>
              <w:jc w:val="left"/>
            </w:pPr>
            <w:r>
              <w:rPr>
                <w:rFonts w:ascii="Times New Roman" w:hAnsi="Times New Roman" w:eastAsia="Times New Roman"/>
                <w:b w:val="0"/>
                <w:i w:val="0"/>
                <w:color w:val="1D2738"/>
                <w:sz w:val="18"/>
              </w:rPr>
              <w:t>Taylor Wessing (2026) Prediction Markets in Germany and Europe: Legal Status, Risks, and Opportunities. Available at: https://www.taylorwessing.com/en/insights-and-events/insights/2026/03/prediction-markets-in-germany-and-europe-legal-status-risks-and-opportunities (Accessed: 16 May 2026).</w:t>
            </w:r>
          </w:p>
        </w:tc>
        <w:tc>
          <w:tcPr>
            <w:tcW w:w="2546" w:type="dxa"/>
            <w:tcBorders>
              <w:top w:val="single" w:color="D8E1EE" w:sz="4" w:space="0"/>
              <w:left w:val="single" w:color="D8E1EE" w:sz="4" w:space="0"/>
              <w:bottom w:val="single" w:color="D8E1EE" w:sz="4" w:space="0"/>
              <w:right w:val="single" w:color="D8E1EE" w:sz="4" w:space="0"/>
            </w:tcBorders>
            <w:shd w:val="clear" w:color="auto" w:fill="F8FAFD"/>
            <w:vAlign w:val="center"/>
          </w:tcPr>
          <w:p w14:paraId="3D87C327">
            <w:pPr>
              <w:keepNext w:val="0"/>
              <w:spacing w:before="0" w:after="0" w:line="240" w:lineRule="auto"/>
              <w:jc w:val="left"/>
            </w:pPr>
            <w:r>
              <w:rPr>
                <w:rFonts w:ascii="Georgia" w:hAnsi="Georgia" w:eastAsia="Georgia"/>
                <w:b/>
                <w:color w:val="0D2554"/>
                <w:sz w:val="16"/>
              </w:rPr>
              <w:t>In-text reference example:</w:t>
            </w:r>
            <w:r>
              <w:rPr>
                <w:rFonts w:ascii="Georgia" w:hAnsi="Georgia" w:eastAsia="Georgia"/>
                <w:b/>
                <w:color w:val="0D2554"/>
                <w:sz w:val="16"/>
              </w:rPr>
              <w:br w:type="textWrapping"/>
            </w:r>
            <w:r>
              <w:rPr>
                <w:rFonts w:ascii="Georgia" w:hAnsi="Georgia" w:eastAsia="Georgia"/>
                <w:color w:val="0D2554"/>
                <w:sz w:val="16"/>
              </w:rPr>
              <w:t>(Taylor Wessing, 2026)</w:t>
            </w:r>
          </w:p>
        </w:tc>
      </w:tr>
      <w:tr w14:paraId="44A18901">
        <w:tc>
          <w:tcPr>
            <w:tcW w:w="7200" w:type="dxa"/>
            <w:shd w:val="clear" w:color="auto" w:fill="FFFFFF"/>
            <w:vAlign w:val="center"/>
          </w:tcPr>
          <w:p w14:paraId="23576675">
            <w:pPr>
              <w:keepNext w:val="0"/>
              <w:spacing w:before="0" w:after="20" w:line="240" w:lineRule="auto"/>
              <w:ind w:left="259" w:hanging="259"/>
              <w:jc w:val="left"/>
            </w:pPr>
            <w:r>
              <w:rPr>
                <w:rFonts w:ascii="Times New Roman" w:hAnsi="Times New Roman" w:eastAsia="Times New Roman"/>
                <w:b w:val="0"/>
                <w:i w:val="0"/>
                <w:color w:val="1D2738"/>
                <w:sz w:val="18"/>
              </w:rPr>
              <w:t>Wolfers, J. and Zitzewitz, E. (2004) ‘Prediction markets’, Journal of Economic Perspectives, 18(2), pp. 107–126.</w:t>
            </w:r>
          </w:p>
        </w:tc>
        <w:tc>
          <w:tcPr>
            <w:tcW w:w="2546" w:type="dxa"/>
            <w:tcBorders>
              <w:top w:val="single" w:color="D8E1EE" w:sz="4" w:space="0"/>
              <w:left w:val="single" w:color="D8E1EE" w:sz="4" w:space="0"/>
              <w:bottom w:val="single" w:color="D8E1EE" w:sz="4" w:space="0"/>
              <w:right w:val="single" w:color="D8E1EE" w:sz="4" w:space="0"/>
            </w:tcBorders>
            <w:shd w:val="clear" w:color="auto" w:fill="F8FAFD"/>
            <w:vAlign w:val="center"/>
          </w:tcPr>
          <w:p w14:paraId="6002A3A2">
            <w:pPr>
              <w:keepNext w:val="0"/>
              <w:spacing w:before="0" w:after="0" w:line="240" w:lineRule="auto"/>
              <w:jc w:val="left"/>
            </w:pPr>
            <w:r>
              <w:rPr>
                <w:rFonts w:ascii="Georgia" w:hAnsi="Georgia" w:eastAsia="Georgia"/>
                <w:b/>
                <w:color w:val="0D2554"/>
                <w:sz w:val="16"/>
              </w:rPr>
              <w:t>In-text reference example:</w:t>
            </w:r>
            <w:r>
              <w:rPr>
                <w:rFonts w:ascii="Georgia" w:hAnsi="Georgia" w:eastAsia="Georgia"/>
                <w:b/>
                <w:color w:val="0D2554"/>
                <w:sz w:val="16"/>
              </w:rPr>
              <w:br w:type="textWrapping"/>
            </w:r>
            <w:r>
              <w:rPr>
                <w:rFonts w:ascii="Georgia" w:hAnsi="Georgia" w:eastAsia="Georgia"/>
                <w:color w:val="0D2554"/>
                <w:sz w:val="16"/>
              </w:rPr>
              <w:t>(Wolfers and Zitzewitz, 2004)</w:t>
            </w:r>
          </w:p>
        </w:tc>
      </w:tr>
    </w:tbl>
    <w:p w14:paraId="5C062C2C">
      <w:pPr>
        <w:pStyle w:val="2"/>
        <w:keepNext/>
        <w:pageBreakBefore/>
        <w:numPr>
          <w:ilvl w:val="0"/>
          <w:numId w:val="0"/>
        </w:numPr>
        <w:spacing w:before="200" w:after="80"/>
        <w:rPr>
          <w:rFonts w:hint="eastAsia"/>
          <w:lang w:val="en-US" w:eastAsia="zh-CN"/>
        </w:rPr>
      </w:pPr>
      <w:bookmarkStart w:id="29" w:name="_Toc2023816151"/>
      <w:r>
        <w:rPr>
          <w:rFonts w:hint="eastAsia" w:ascii="Georgia" w:hAnsi="Georgia" w:eastAsia="Georgia"/>
          <w:b/>
          <w:color w:val="0D2554"/>
          <w:sz w:val="32"/>
          <w:lang w:val="en-US" w:eastAsia="zh-CN"/>
        </w:rPr>
        <w:t>Appendix</w:t>
      </w:r>
      <w:bookmarkEnd w:id="29"/>
    </w:p>
    <w:p w14:paraId="4A081BA4">
      <w:pPr>
        <w:pStyle w:val="15"/>
        <w:wordWrap w:val="0"/>
        <w:spacing w:before="0" w:after="40"/>
        <w:ind w:left="0" w:leftChars="0" w:firstLine="0" w:firstLineChars="0"/>
        <w:jc w:val="left"/>
        <w:rPr>
          <w:rFonts w:hint="default" w:asciiTheme="minorAscii" w:hAnsiTheme="minorAscii"/>
          <w:color w:val="auto"/>
          <w:sz w:val="20"/>
          <w:szCs w:val="28"/>
          <w:lang w:val="en-US" w:eastAsia="zh-CN"/>
        </w:rPr>
      </w:pPr>
      <w:r>
        <w:rPr>
          <w:rFonts w:hint="default" w:eastAsia="Georgia" w:asciiTheme="minorAscii" w:hAnsiTheme="minorAscii"/>
          <w:b/>
          <w:color w:val="0D2554"/>
          <w:sz w:val="24"/>
          <w:szCs w:val="28"/>
          <w:lang w:val="en-US" w:eastAsia="zh-CN"/>
        </w:rPr>
        <w:t>Appendix A: Team Contribution Statement</w:t>
      </w:r>
    </w:p>
    <w:tbl>
      <w:tblPr>
        <w:tblStyle w:val="5"/>
        <w:tblW w:w="0" w:type="auto"/>
        <w:jc w:val="center"/>
        <w:tblBorders>
          <w:top w:val="single" w:color="D8E1EE" w:sz="4" w:space="0"/>
          <w:left w:val="single" w:color="D8E1EE" w:sz="4" w:space="0"/>
          <w:bottom w:val="single" w:color="D8E1EE" w:sz="4" w:space="0"/>
          <w:right w:val="single" w:color="D8E1EE" w:sz="4" w:space="0"/>
          <w:insideH w:val="single" w:color="D8E1EE" w:sz="4" w:space="0"/>
          <w:insideV w:val="single" w:color="D8E1EE" w:sz="4" w:space="0"/>
        </w:tblBorders>
        <w:shd w:val="clear" w:color="auto" w:fill="auto"/>
        <w:tblLayout w:type="autofit"/>
        <w:tblCellMar>
          <w:top w:w="0" w:type="dxa"/>
          <w:left w:w="108" w:type="dxa"/>
          <w:bottom w:w="0" w:type="dxa"/>
          <w:right w:w="108" w:type="dxa"/>
        </w:tblCellMar>
      </w:tblPr>
      <w:tblGrid>
        <w:gridCol w:w="1110"/>
        <w:gridCol w:w="1195"/>
        <w:gridCol w:w="2301"/>
        <w:gridCol w:w="4148"/>
        <w:gridCol w:w="1440"/>
      </w:tblGrid>
      <w:tr w14:paraId="017741D5">
        <w:trPr>
          <w:cantSplit/>
          <w:trHeight w:val="1002" w:hRule="atLeast"/>
          <w:tblHeader/>
          <w:jc w:val="center"/>
        </w:trPr>
        <w:tc>
          <w:tcPr>
            <w:tcW w:w="0" w:type="auto"/>
            <w:tcBorders>
              <w:top w:val="single" w:color="C9D5E2" w:sz="4" w:space="0"/>
              <w:left w:val="single" w:color="C9D5E2" w:sz="4" w:space="0"/>
              <w:bottom w:val="single" w:color="C9D5E2" w:sz="4" w:space="0"/>
              <w:right w:val="single" w:color="C9D5E2" w:sz="4" w:space="0"/>
            </w:tcBorders>
            <w:shd w:val="clear" w:color="auto" w:fill="0D2554"/>
            <w:vAlign w:val="center"/>
          </w:tcPr>
          <w:p w14:paraId="222B0547">
            <w:pPr>
              <w:keepNext w:val="0"/>
              <w:keepLines w:val="0"/>
              <w:widowControl/>
              <w:suppressLineNumbers w:val="0"/>
              <w:spacing w:before="0" w:after="0" w:line="240" w:lineRule="auto"/>
              <w:jc w:val="center"/>
              <w:textAlignment w:val="center"/>
              <w:rPr>
                <w:rFonts w:hint="eastAsia" w:asciiTheme="minorHAnsi" w:hAnsiTheme="minorHAnsi" w:eastAsiaTheme="minorEastAsia" w:cstheme="minorBidi"/>
                <w:b/>
                <w:bCs/>
                <w:kern w:val="2"/>
                <w:sz w:val="20"/>
                <w:szCs w:val="22"/>
                <w:lang w:val="en-US" w:eastAsia="zh-CN" w:bidi="ar-SA"/>
              </w:rPr>
            </w:pPr>
            <w:r>
              <w:rPr>
                <w:rFonts w:hint="eastAsia" w:asciiTheme="minorHAnsi" w:hAnsiTheme="minorHAnsi" w:eastAsiaTheme="minorEastAsia" w:cstheme="minorBidi"/>
                <w:b/>
                <w:bCs/>
                <w:color w:val="FFFFFF"/>
                <w:kern w:val="2"/>
                <w:sz w:val="18"/>
                <w:szCs w:val="22"/>
                <w:lang w:val="en-US" w:eastAsia="zh-CN" w:bidi="ar-SA"/>
              </w:rPr>
              <w:t>Student ID</w:t>
            </w:r>
          </w:p>
        </w:tc>
        <w:tc>
          <w:tcPr>
            <w:tcW w:w="0" w:type="auto"/>
            <w:tcBorders>
              <w:top w:val="single" w:color="C9D5E2" w:sz="4" w:space="0"/>
              <w:left w:val="single" w:color="C9D5E2" w:sz="4" w:space="0"/>
              <w:bottom w:val="single" w:color="C9D5E2" w:sz="4" w:space="0"/>
              <w:right w:val="single" w:color="C9D5E2" w:sz="4" w:space="0"/>
            </w:tcBorders>
            <w:shd w:val="clear" w:color="auto" w:fill="0D2554"/>
            <w:vAlign w:val="center"/>
          </w:tcPr>
          <w:p w14:paraId="6B17F393">
            <w:pPr>
              <w:keepNext w:val="0"/>
              <w:keepLines w:val="0"/>
              <w:widowControl/>
              <w:suppressLineNumbers w:val="0"/>
              <w:spacing w:before="0" w:after="0" w:line="240" w:lineRule="auto"/>
              <w:jc w:val="center"/>
              <w:textAlignment w:val="center"/>
              <w:rPr>
                <w:rFonts w:hint="eastAsia" w:asciiTheme="minorHAnsi" w:hAnsiTheme="minorHAnsi" w:eastAsiaTheme="minorEastAsia" w:cstheme="minorBidi"/>
                <w:b/>
                <w:bCs/>
                <w:kern w:val="2"/>
                <w:sz w:val="20"/>
                <w:szCs w:val="22"/>
                <w:lang w:val="en-US" w:eastAsia="zh-CN" w:bidi="ar-SA"/>
              </w:rPr>
            </w:pPr>
            <w:r>
              <w:rPr>
                <w:rFonts w:hint="eastAsia" w:asciiTheme="minorHAnsi" w:hAnsiTheme="minorHAnsi" w:eastAsiaTheme="minorEastAsia" w:cstheme="minorBidi"/>
                <w:b/>
                <w:bCs/>
                <w:color w:val="FFFFFF"/>
                <w:kern w:val="2"/>
                <w:sz w:val="18"/>
                <w:szCs w:val="22"/>
                <w:lang w:val="en-US" w:eastAsia="zh-CN" w:bidi="ar-SA"/>
              </w:rPr>
              <w:t>Name</w:t>
            </w:r>
          </w:p>
        </w:tc>
        <w:tc>
          <w:tcPr>
            <w:tcW w:w="0" w:type="auto"/>
            <w:tcBorders>
              <w:top w:val="single" w:color="C9D5E2" w:sz="4" w:space="0"/>
              <w:left w:val="single" w:color="C9D5E2" w:sz="4" w:space="0"/>
              <w:bottom w:val="single" w:color="C9D5E2" w:sz="4" w:space="0"/>
              <w:right w:val="single" w:color="C9D5E2" w:sz="4" w:space="0"/>
            </w:tcBorders>
            <w:shd w:val="clear" w:color="auto" w:fill="0D2554"/>
            <w:vAlign w:val="center"/>
          </w:tcPr>
          <w:p w14:paraId="41C62CE0">
            <w:pPr>
              <w:keepNext w:val="0"/>
              <w:keepLines w:val="0"/>
              <w:widowControl/>
              <w:suppressLineNumbers w:val="0"/>
              <w:spacing w:before="0" w:after="0" w:line="240" w:lineRule="auto"/>
              <w:jc w:val="center"/>
              <w:textAlignment w:val="center"/>
              <w:rPr>
                <w:rFonts w:hint="eastAsia" w:asciiTheme="minorHAnsi" w:hAnsiTheme="minorHAnsi" w:eastAsiaTheme="minorEastAsia" w:cstheme="minorBidi"/>
                <w:b/>
                <w:bCs/>
                <w:kern w:val="2"/>
                <w:sz w:val="20"/>
                <w:szCs w:val="22"/>
                <w:lang w:val="en-US" w:eastAsia="zh-CN" w:bidi="ar-SA"/>
              </w:rPr>
            </w:pPr>
            <w:r>
              <w:rPr>
                <w:rFonts w:hint="eastAsia" w:asciiTheme="minorHAnsi" w:hAnsiTheme="minorHAnsi" w:eastAsiaTheme="minorEastAsia" w:cstheme="minorBidi"/>
                <w:b/>
                <w:bCs/>
                <w:color w:val="FFFFFF"/>
                <w:kern w:val="2"/>
                <w:sz w:val="18"/>
                <w:szCs w:val="22"/>
                <w:lang w:val="en-US" w:eastAsia="zh-CN" w:bidi="ar-SA"/>
              </w:rPr>
              <w:t>Responsibility</w:t>
            </w:r>
          </w:p>
        </w:tc>
        <w:tc>
          <w:tcPr>
            <w:tcW w:w="0" w:type="auto"/>
            <w:tcBorders>
              <w:top w:val="single" w:color="C9D5E2" w:sz="4" w:space="0"/>
              <w:left w:val="single" w:color="C9D5E2" w:sz="4" w:space="0"/>
              <w:bottom w:val="single" w:color="C9D5E2" w:sz="4" w:space="0"/>
              <w:right w:val="single" w:color="C9D5E2" w:sz="4" w:space="0"/>
            </w:tcBorders>
            <w:shd w:val="clear" w:color="auto" w:fill="0D2554"/>
            <w:vAlign w:val="center"/>
          </w:tcPr>
          <w:p w14:paraId="7E1AE3D6">
            <w:pPr>
              <w:keepNext w:val="0"/>
              <w:keepLines w:val="0"/>
              <w:widowControl/>
              <w:suppressLineNumbers w:val="0"/>
              <w:spacing w:before="0" w:after="0" w:line="240" w:lineRule="auto"/>
              <w:jc w:val="center"/>
              <w:textAlignment w:val="center"/>
              <w:rPr>
                <w:rFonts w:hint="eastAsia" w:asciiTheme="minorHAnsi" w:hAnsiTheme="minorHAnsi" w:eastAsiaTheme="minorEastAsia" w:cstheme="minorBidi"/>
                <w:b/>
                <w:bCs/>
                <w:kern w:val="2"/>
                <w:sz w:val="20"/>
                <w:szCs w:val="22"/>
                <w:lang w:val="en-US" w:eastAsia="zh-CN" w:bidi="ar-SA"/>
              </w:rPr>
            </w:pPr>
            <w:r>
              <w:rPr>
                <w:rFonts w:hint="eastAsia" w:asciiTheme="minorHAnsi" w:hAnsiTheme="minorHAnsi" w:eastAsiaTheme="minorEastAsia" w:cstheme="minorBidi"/>
                <w:b/>
                <w:bCs/>
                <w:color w:val="FFFFFF"/>
                <w:kern w:val="2"/>
                <w:sz w:val="18"/>
                <w:szCs w:val="22"/>
                <w:lang w:val="en-US" w:eastAsia="zh-CN" w:bidi="ar-SA"/>
              </w:rPr>
              <w:t>Main Deliverables</w:t>
            </w:r>
          </w:p>
        </w:tc>
        <w:tc>
          <w:tcPr>
            <w:tcW w:w="0" w:type="auto"/>
            <w:tcBorders>
              <w:top w:val="single" w:color="C9D5E2" w:sz="4" w:space="0"/>
              <w:left w:val="single" w:color="C9D5E2" w:sz="4" w:space="0"/>
              <w:bottom w:val="single" w:color="C9D5E2" w:sz="4" w:space="0"/>
              <w:right w:val="single" w:color="C9D5E2" w:sz="4" w:space="0"/>
            </w:tcBorders>
            <w:shd w:val="clear" w:color="auto" w:fill="0D2554"/>
            <w:vAlign w:val="center"/>
          </w:tcPr>
          <w:p w14:paraId="460816BA">
            <w:pPr>
              <w:keepNext w:val="0"/>
              <w:keepLines w:val="0"/>
              <w:widowControl/>
              <w:suppressLineNumbers w:val="0"/>
              <w:spacing w:before="0" w:after="0" w:line="240" w:lineRule="auto"/>
              <w:jc w:val="center"/>
              <w:textAlignment w:val="center"/>
              <w:rPr>
                <w:rFonts w:hint="eastAsia" w:asciiTheme="minorHAnsi" w:hAnsiTheme="minorHAnsi" w:eastAsiaTheme="minorEastAsia" w:cstheme="minorBidi"/>
                <w:b/>
                <w:bCs/>
                <w:kern w:val="2"/>
                <w:sz w:val="20"/>
                <w:szCs w:val="22"/>
                <w:lang w:val="en-US" w:eastAsia="zh-CN" w:bidi="ar-SA"/>
              </w:rPr>
            </w:pPr>
            <w:r>
              <w:rPr>
                <w:rFonts w:hint="eastAsia" w:asciiTheme="minorHAnsi" w:hAnsiTheme="minorHAnsi" w:eastAsiaTheme="minorEastAsia" w:cstheme="minorBidi"/>
                <w:b/>
                <w:bCs/>
                <w:color w:val="FFFFFF"/>
                <w:kern w:val="2"/>
                <w:sz w:val="18"/>
                <w:szCs w:val="22"/>
                <w:lang w:val="en-US" w:eastAsia="zh-CN" w:bidi="ar-SA"/>
              </w:rPr>
              <w:t>Related Module</w:t>
            </w:r>
          </w:p>
        </w:tc>
      </w:tr>
      <w:tr w14:paraId="1A0A4347">
        <w:trPr>
          <w:cantSplit/>
          <w:trHeight w:val="1002" w:hRule="atLeast"/>
          <w:jc w:val="center"/>
        </w:trPr>
        <w:tc>
          <w:tcPr>
            <w:tcW w:w="0" w:type="auto"/>
            <w:tcBorders>
              <w:top w:val="single" w:color="C9D5E2" w:sz="4" w:space="0"/>
              <w:left w:val="single" w:color="C9D5E2" w:sz="4" w:space="0"/>
              <w:bottom w:val="single" w:color="C9D5E2" w:sz="4" w:space="0"/>
              <w:right w:val="single" w:color="C9D5E2" w:sz="4" w:space="0"/>
            </w:tcBorders>
            <w:shd w:val="clear" w:color="auto" w:fill="auto"/>
            <w:vAlign w:val="center"/>
          </w:tcPr>
          <w:p w14:paraId="0E633F77">
            <w:pPr>
              <w:spacing w:before="0" w:after="0" w:line="240" w:lineRule="auto"/>
            </w:pPr>
            <w:r>
              <w:rPr>
                <w:rFonts w:ascii="Times New Roman" w:hAnsi="Times New Roman" w:eastAsia="Times New Roman"/>
                <w:b w:val="0"/>
                <w:color w:val="1D2738"/>
                <w:sz w:val="18"/>
              </w:rPr>
              <w:t>G2505246J</w:t>
            </w:r>
          </w:p>
        </w:tc>
        <w:tc>
          <w:tcPr>
            <w:tcW w:w="0" w:type="auto"/>
            <w:tcBorders>
              <w:top w:val="single" w:color="C9D5E2" w:sz="4" w:space="0"/>
              <w:left w:val="single" w:color="C9D5E2" w:sz="4" w:space="0"/>
              <w:bottom w:val="single" w:color="C9D5E2" w:sz="4" w:space="0"/>
              <w:right w:val="single" w:color="C9D5E2" w:sz="4" w:space="0"/>
            </w:tcBorders>
            <w:shd w:val="clear" w:color="auto" w:fill="auto"/>
            <w:vAlign w:val="center"/>
          </w:tcPr>
          <w:p w14:paraId="17DCDA5D">
            <w:pPr>
              <w:spacing w:before="0" w:after="0" w:line="240" w:lineRule="auto"/>
            </w:pPr>
            <w:r>
              <w:rPr>
                <w:rFonts w:ascii="Times New Roman" w:hAnsi="Times New Roman" w:eastAsia="Times New Roman"/>
                <w:b w:val="0"/>
                <w:color w:val="1D2738"/>
                <w:sz w:val="18"/>
              </w:rPr>
              <w:t>LIU YISHAN</w:t>
            </w:r>
          </w:p>
        </w:tc>
        <w:tc>
          <w:tcPr>
            <w:tcW w:w="0" w:type="auto"/>
            <w:tcBorders>
              <w:top w:val="single" w:color="C9D5E2" w:sz="4" w:space="0"/>
              <w:left w:val="single" w:color="C9D5E2" w:sz="4" w:space="0"/>
              <w:bottom w:val="single" w:color="C9D5E2" w:sz="4" w:space="0"/>
              <w:right w:val="single" w:color="C9D5E2" w:sz="4" w:space="0"/>
            </w:tcBorders>
            <w:shd w:val="clear" w:color="auto" w:fill="auto"/>
            <w:vAlign w:val="center"/>
          </w:tcPr>
          <w:p w14:paraId="48A85887">
            <w:pPr>
              <w:spacing w:before="0" w:after="0" w:line="240" w:lineRule="auto"/>
            </w:pPr>
            <w:r>
              <w:rPr>
                <w:rFonts w:ascii="Times New Roman" w:hAnsi="Times New Roman" w:eastAsia="Times New Roman"/>
                <w:b w:val="0"/>
                <w:color w:val="1D2738"/>
                <w:sz w:val="18"/>
              </w:rPr>
              <w:t>Data pipeline and trade parser</w:t>
            </w:r>
          </w:p>
        </w:tc>
        <w:tc>
          <w:tcPr>
            <w:tcW w:w="0" w:type="auto"/>
            <w:tcBorders>
              <w:top w:val="single" w:color="C9D5E2" w:sz="4" w:space="0"/>
              <w:left w:val="single" w:color="C9D5E2" w:sz="4" w:space="0"/>
              <w:bottom w:val="single" w:color="C9D5E2" w:sz="4" w:space="0"/>
              <w:right w:val="single" w:color="C9D5E2" w:sz="4" w:space="0"/>
            </w:tcBorders>
            <w:shd w:val="clear" w:color="auto" w:fill="auto"/>
            <w:vAlign w:val="center"/>
          </w:tcPr>
          <w:p w14:paraId="13271632">
            <w:pPr>
              <w:spacing w:before="0" w:after="0" w:line="240" w:lineRule="auto"/>
            </w:pPr>
            <w:r>
              <w:rPr>
                <w:rFonts w:ascii="Times New Roman" w:hAnsi="Times New Roman" w:eastAsia="Times New Roman"/>
                <w:b w:val="0"/>
                <w:color w:val="1D2738"/>
                <w:sz w:val="18"/>
              </w:rPr>
              <w:t>Raw/processed data review; parser handling; nulls, bad dates, partial timestamps.</w:t>
            </w:r>
          </w:p>
        </w:tc>
        <w:tc>
          <w:tcPr>
            <w:tcW w:w="0" w:type="auto"/>
            <w:tcBorders>
              <w:top w:val="single" w:color="C9D5E2" w:sz="4" w:space="0"/>
              <w:left w:val="single" w:color="C9D5E2" w:sz="4" w:space="0"/>
              <w:bottom w:val="single" w:color="C9D5E2" w:sz="4" w:space="0"/>
              <w:right w:val="single" w:color="C9D5E2" w:sz="4" w:space="0"/>
            </w:tcBorders>
            <w:shd w:val="clear" w:color="auto" w:fill="auto"/>
            <w:vAlign w:val="center"/>
          </w:tcPr>
          <w:p w14:paraId="50D7F657">
            <w:pPr>
              <w:spacing w:before="0" w:after="0" w:line="240" w:lineRule="auto"/>
            </w:pPr>
            <w:r>
              <w:rPr>
                <w:rFonts w:ascii="Times New Roman" w:hAnsi="Times New Roman" w:eastAsia="Times New Roman"/>
                <w:b w:val="0"/>
                <w:color w:val="1D2738"/>
                <w:sz w:val="18"/>
              </w:rPr>
              <w:t>M1 / Integration</w:t>
            </w:r>
          </w:p>
        </w:tc>
      </w:tr>
      <w:tr w14:paraId="5EF9EDBA">
        <w:trPr>
          <w:cantSplit/>
          <w:trHeight w:val="1002" w:hRule="atLeast"/>
          <w:jc w:val="center"/>
        </w:trPr>
        <w:tc>
          <w:tcPr>
            <w:tcW w:w="0" w:type="auto"/>
            <w:tcBorders>
              <w:top w:val="single" w:color="C9D5E2" w:sz="4" w:space="0"/>
              <w:left w:val="single" w:color="C9D5E2" w:sz="4" w:space="0"/>
              <w:bottom w:val="single" w:color="C9D5E2" w:sz="4" w:space="0"/>
              <w:right w:val="single" w:color="C9D5E2" w:sz="4" w:space="0"/>
            </w:tcBorders>
            <w:shd w:val="clear" w:color="auto" w:fill="F8FAFD"/>
            <w:vAlign w:val="center"/>
          </w:tcPr>
          <w:p w14:paraId="0525A011">
            <w:pPr>
              <w:spacing w:before="0" w:after="0" w:line="240" w:lineRule="auto"/>
            </w:pPr>
            <w:r>
              <w:rPr>
                <w:rFonts w:ascii="Times New Roman" w:hAnsi="Times New Roman" w:eastAsia="Times New Roman"/>
                <w:b w:val="0"/>
                <w:color w:val="1D2738"/>
                <w:sz w:val="18"/>
              </w:rPr>
              <w:t>G2505431H</w:t>
            </w:r>
          </w:p>
        </w:tc>
        <w:tc>
          <w:tcPr>
            <w:tcW w:w="0" w:type="auto"/>
            <w:tcBorders>
              <w:top w:val="single" w:color="C9D5E2" w:sz="4" w:space="0"/>
              <w:left w:val="single" w:color="C9D5E2" w:sz="4" w:space="0"/>
              <w:bottom w:val="single" w:color="C9D5E2" w:sz="4" w:space="0"/>
              <w:right w:val="single" w:color="C9D5E2" w:sz="4" w:space="0"/>
            </w:tcBorders>
            <w:shd w:val="clear" w:color="auto" w:fill="F8FAFD"/>
            <w:vAlign w:val="center"/>
          </w:tcPr>
          <w:p w14:paraId="727A81AA">
            <w:pPr>
              <w:spacing w:before="0" w:after="0" w:line="240" w:lineRule="auto"/>
            </w:pPr>
            <w:r>
              <w:rPr>
                <w:rFonts w:ascii="Times New Roman" w:hAnsi="Times New Roman" w:eastAsia="Times New Roman"/>
                <w:b w:val="0"/>
                <w:color w:val="1D2738"/>
                <w:sz w:val="18"/>
              </w:rPr>
              <w:t>GONG PENG XIANG</w:t>
            </w:r>
          </w:p>
        </w:tc>
        <w:tc>
          <w:tcPr>
            <w:tcW w:w="0" w:type="auto"/>
            <w:tcBorders>
              <w:top w:val="single" w:color="C9D5E2" w:sz="4" w:space="0"/>
              <w:left w:val="single" w:color="C9D5E2" w:sz="4" w:space="0"/>
              <w:bottom w:val="single" w:color="C9D5E2" w:sz="4" w:space="0"/>
              <w:right w:val="single" w:color="C9D5E2" w:sz="4" w:space="0"/>
            </w:tcBorders>
            <w:shd w:val="clear" w:color="auto" w:fill="F8FAFD"/>
            <w:vAlign w:val="center"/>
          </w:tcPr>
          <w:p w14:paraId="384D422E">
            <w:pPr>
              <w:spacing w:before="0" w:after="0" w:line="240" w:lineRule="auto"/>
            </w:pPr>
            <w:r>
              <w:rPr>
                <w:rFonts w:ascii="Times New Roman" w:hAnsi="Times New Roman" w:eastAsia="Times New Roman"/>
                <w:b w:val="0"/>
                <w:color w:val="1D2738"/>
                <w:sz w:val="18"/>
              </w:rPr>
              <w:t>UPI lookup and ANNA-DSB taxonomy validation</w:t>
            </w:r>
          </w:p>
        </w:tc>
        <w:tc>
          <w:tcPr>
            <w:tcW w:w="0" w:type="auto"/>
            <w:tcBorders>
              <w:top w:val="single" w:color="C9D5E2" w:sz="4" w:space="0"/>
              <w:left w:val="single" w:color="C9D5E2" w:sz="4" w:space="0"/>
              <w:bottom w:val="single" w:color="C9D5E2" w:sz="4" w:space="0"/>
              <w:right w:val="single" w:color="C9D5E2" w:sz="4" w:space="0"/>
            </w:tcBorders>
            <w:shd w:val="clear" w:color="auto" w:fill="F8FAFD"/>
            <w:vAlign w:val="center"/>
          </w:tcPr>
          <w:p w14:paraId="6243FA64">
            <w:pPr>
              <w:spacing w:before="0" w:after="0" w:line="240" w:lineRule="auto"/>
            </w:pPr>
            <w:r>
              <w:rPr>
                <w:rFonts w:ascii="Times New Roman" w:hAnsi="Times New Roman" w:eastAsia="Times New Roman"/>
                <w:b w:val="0"/>
                <w:color w:val="1D2738"/>
                <w:sz w:val="18"/>
              </w:rPr>
              <w:t>ANNA-DSB template lookup; product alias mapping; currency/reference-rate codesets; EventContract no-product-definition.</w:t>
            </w:r>
          </w:p>
        </w:tc>
        <w:tc>
          <w:tcPr>
            <w:tcW w:w="0" w:type="auto"/>
            <w:tcBorders>
              <w:top w:val="single" w:color="C9D5E2" w:sz="4" w:space="0"/>
              <w:left w:val="single" w:color="C9D5E2" w:sz="4" w:space="0"/>
              <w:bottom w:val="single" w:color="C9D5E2" w:sz="4" w:space="0"/>
              <w:right w:val="single" w:color="C9D5E2" w:sz="4" w:space="0"/>
            </w:tcBorders>
            <w:shd w:val="clear" w:color="auto" w:fill="F8FAFD"/>
            <w:vAlign w:val="center"/>
          </w:tcPr>
          <w:p w14:paraId="665B14D6">
            <w:pPr>
              <w:spacing w:before="0" w:after="0" w:line="240" w:lineRule="auto"/>
            </w:pPr>
            <w:r>
              <w:rPr>
                <w:rFonts w:ascii="Times New Roman" w:hAnsi="Times New Roman" w:eastAsia="Times New Roman"/>
                <w:b w:val="0"/>
                <w:color w:val="1D2738"/>
                <w:sz w:val="18"/>
              </w:rPr>
              <w:t>M2 / UPI Lookup Engine</w:t>
            </w:r>
          </w:p>
        </w:tc>
      </w:tr>
      <w:tr w14:paraId="3742C09D">
        <w:trPr>
          <w:cantSplit/>
          <w:trHeight w:val="1002" w:hRule="atLeast"/>
          <w:jc w:val="center"/>
        </w:trPr>
        <w:tc>
          <w:tcPr>
            <w:tcW w:w="0" w:type="auto"/>
            <w:tcBorders>
              <w:top w:val="single" w:color="C9D5E2" w:sz="4" w:space="0"/>
              <w:left w:val="single" w:color="C9D5E2" w:sz="4" w:space="0"/>
              <w:bottom w:val="single" w:color="C9D5E2" w:sz="4" w:space="0"/>
              <w:right w:val="single" w:color="C9D5E2" w:sz="4" w:space="0"/>
            </w:tcBorders>
            <w:shd w:val="clear" w:color="auto" w:fill="auto"/>
            <w:vAlign w:val="center"/>
          </w:tcPr>
          <w:p w14:paraId="2166923E">
            <w:pPr>
              <w:spacing w:before="0" w:after="0" w:line="240" w:lineRule="auto"/>
            </w:pPr>
            <w:r>
              <w:rPr>
                <w:rFonts w:ascii="Times New Roman" w:hAnsi="Times New Roman" w:eastAsia="Times New Roman"/>
                <w:b w:val="0"/>
                <w:color w:val="1D2738"/>
                <w:sz w:val="18"/>
              </w:rPr>
              <w:t>G2506255B</w:t>
            </w:r>
          </w:p>
        </w:tc>
        <w:tc>
          <w:tcPr>
            <w:tcW w:w="0" w:type="auto"/>
            <w:tcBorders>
              <w:top w:val="single" w:color="C9D5E2" w:sz="4" w:space="0"/>
              <w:left w:val="single" w:color="C9D5E2" w:sz="4" w:space="0"/>
              <w:bottom w:val="single" w:color="C9D5E2" w:sz="4" w:space="0"/>
              <w:right w:val="single" w:color="C9D5E2" w:sz="4" w:space="0"/>
            </w:tcBorders>
            <w:shd w:val="clear" w:color="auto" w:fill="auto"/>
            <w:vAlign w:val="center"/>
          </w:tcPr>
          <w:p w14:paraId="7EB22B08">
            <w:pPr>
              <w:spacing w:before="0" w:after="0" w:line="240" w:lineRule="auto"/>
            </w:pPr>
            <w:r>
              <w:rPr>
                <w:rFonts w:ascii="Times New Roman" w:hAnsi="Times New Roman" w:eastAsia="Times New Roman"/>
                <w:b w:val="0"/>
                <w:color w:val="1D2738"/>
                <w:sz w:val="18"/>
              </w:rPr>
              <w:t>GUO YIHAN</w:t>
            </w:r>
          </w:p>
        </w:tc>
        <w:tc>
          <w:tcPr>
            <w:tcW w:w="0" w:type="auto"/>
            <w:tcBorders>
              <w:top w:val="single" w:color="C9D5E2" w:sz="4" w:space="0"/>
              <w:left w:val="single" w:color="C9D5E2" w:sz="4" w:space="0"/>
              <w:bottom w:val="single" w:color="C9D5E2" w:sz="4" w:space="0"/>
              <w:right w:val="single" w:color="C9D5E2" w:sz="4" w:space="0"/>
            </w:tcBorders>
            <w:shd w:val="clear" w:color="auto" w:fill="auto"/>
            <w:vAlign w:val="center"/>
          </w:tcPr>
          <w:p w14:paraId="3358AAA1">
            <w:pPr>
              <w:spacing w:before="0" w:after="0" w:line="240" w:lineRule="auto"/>
            </w:pPr>
            <w:r>
              <w:rPr>
                <w:rFonts w:ascii="Times New Roman" w:hAnsi="Times New Roman" w:eastAsia="Times New Roman"/>
                <w:b w:val="0"/>
                <w:color w:val="1D2738"/>
                <w:sz w:val="18"/>
              </w:rPr>
              <w:t>Compliance checker and regime validation</w:t>
            </w:r>
          </w:p>
        </w:tc>
        <w:tc>
          <w:tcPr>
            <w:tcW w:w="0" w:type="auto"/>
            <w:tcBorders>
              <w:top w:val="single" w:color="C9D5E2" w:sz="4" w:space="0"/>
              <w:left w:val="single" w:color="C9D5E2" w:sz="4" w:space="0"/>
              <w:bottom w:val="single" w:color="C9D5E2" w:sz="4" w:space="0"/>
              <w:right w:val="single" w:color="C9D5E2" w:sz="4" w:space="0"/>
            </w:tcBorders>
            <w:shd w:val="clear" w:color="auto" w:fill="auto"/>
            <w:vAlign w:val="center"/>
          </w:tcPr>
          <w:p w14:paraId="3BA704A9">
            <w:pPr>
              <w:spacing w:before="0" w:after="0" w:line="240" w:lineRule="auto"/>
            </w:pPr>
            <w:r>
              <w:rPr>
                <w:rFonts w:ascii="Times New Roman" w:hAnsi="Times New Roman" w:eastAsia="Times New Roman"/>
                <w:b w:val="0"/>
                <w:color w:val="1D2738"/>
                <w:sz w:val="18"/>
              </w:rPr>
              <w:t>LEI/UTI checks; CFTC/EMIR field validation; null-versus-zero margin logic; tests.</w:t>
            </w:r>
          </w:p>
        </w:tc>
        <w:tc>
          <w:tcPr>
            <w:tcW w:w="0" w:type="auto"/>
            <w:tcBorders>
              <w:top w:val="single" w:color="C9D5E2" w:sz="4" w:space="0"/>
              <w:left w:val="single" w:color="C9D5E2" w:sz="4" w:space="0"/>
              <w:bottom w:val="single" w:color="C9D5E2" w:sz="4" w:space="0"/>
              <w:right w:val="single" w:color="C9D5E2" w:sz="4" w:space="0"/>
            </w:tcBorders>
            <w:shd w:val="clear" w:color="auto" w:fill="auto"/>
            <w:vAlign w:val="center"/>
          </w:tcPr>
          <w:p w14:paraId="6C1387CE">
            <w:pPr>
              <w:spacing w:before="0" w:after="0" w:line="240" w:lineRule="auto"/>
            </w:pPr>
            <w:r>
              <w:rPr>
                <w:rFonts w:ascii="Times New Roman" w:hAnsi="Times New Roman" w:eastAsia="Times New Roman"/>
                <w:b w:val="0"/>
                <w:color w:val="1D2738"/>
                <w:sz w:val="18"/>
              </w:rPr>
              <w:t>M3 / Testing</w:t>
            </w:r>
          </w:p>
        </w:tc>
      </w:tr>
      <w:tr w14:paraId="3A832466">
        <w:trPr>
          <w:cantSplit/>
          <w:trHeight w:val="1002" w:hRule="atLeast"/>
          <w:jc w:val="center"/>
        </w:trPr>
        <w:tc>
          <w:tcPr>
            <w:tcW w:w="0" w:type="auto"/>
            <w:tcBorders>
              <w:top w:val="single" w:color="C9D5E2" w:sz="4" w:space="0"/>
              <w:left w:val="single" w:color="C9D5E2" w:sz="4" w:space="0"/>
              <w:bottom w:val="single" w:color="C9D5E2" w:sz="4" w:space="0"/>
              <w:right w:val="single" w:color="C9D5E2" w:sz="4" w:space="0"/>
            </w:tcBorders>
            <w:shd w:val="clear" w:color="auto" w:fill="F8FAFD"/>
            <w:vAlign w:val="center"/>
          </w:tcPr>
          <w:p w14:paraId="57032040">
            <w:pPr>
              <w:spacing w:before="0" w:after="0" w:line="240" w:lineRule="auto"/>
            </w:pPr>
            <w:r>
              <w:rPr>
                <w:rFonts w:ascii="Times New Roman" w:hAnsi="Times New Roman" w:eastAsia="Times New Roman"/>
                <w:b w:val="0"/>
                <w:color w:val="1D2738"/>
                <w:sz w:val="18"/>
              </w:rPr>
              <w:t>G2505266E</w:t>
            </w:r>
          </w:p>
        </w:tc>
        <w:tc>
          <w:tcPr>
            <w:tcW w:w="0" w:type="auto"/>
            <w:tcBorders>
              <w:top w:val="single" w:color="C9D5E2" w:sz="4" w:space="0"/>
              <w:left w:val="single" w:color="C9D5E2" w:sz="4" w:space="0"/>
              <w:bottom w:val="single" w:color="C9D5E2" w:sz="4" w:space="0"/>
              <w:right w:val="single" w:color="C9D5E2" w:sz="4" w:space="0"/>
            </w:tcBorders>
            <w:shd w:val="clear" w:color="auto" w:fill="F8FAFD"/>
            <w:vAlign w:val="center"/>
          </w:tcPr>
          <w:p w14:paraId="38EF4D4A">
            <w:pPr>
              <w:spacing w:before="0" w:after="0" w:line="240" w:lineRule="auto"/>
            </w:pPr>
            <w:r>
              <w:rPr>
                <w:rFonts w:ascii="Times New Roman" w:hAnsi="Times New Roman" w:eastAsia="Times New Roman"/>
                <w:b w:val="0"/>
                <w:color w:val="1D2738"/>
                <w:sz w:val="18"/>
              </w:rPr>
              <w:t>ZHANG JUNYI</w:t>
            </w:r>
          </w:p>
        </w:tc>
        <w:tc>
          <w:tcPr>
            <w:tcW w:w="0" w:type="auto"/>
            <w:tcBorders>
              <w:top w:val="single" w:color="C9D5E2" w:sz="4" w:space="0"/>
              <w:left w:val="single" w:color="C9D5E2" w:sz="4" w:space="0"/>
              <w:bottom w:val="single" w:color="C9D5E2" w:sz="4" w:space="0"/>
              <w:right w:val="single" w:color="C9D5E2" w:sz="4" w:space="0"/>
            </w:tcBorders>
            <w:shd w:val="clear" w:color="auto" w:fill="F8FAFD"/>
            <w:vAlign w:val="center"/>
          </w:tcPr>
          <w:p w14:paraId="764636BF">
            <w:pPr>
              <w:spacing w:before="0" w:after="0" w:line="240" w:lineRule="auto"/>
            </w:pPr>
            <w:r>
              <w:rPr>
                <w:rFonts w:ascii="Times New Roman" w:hAnsi="Times New Roman" w:eastAsia="Times New Roman"/>
                <w:b w:val="0"/>
                <w:color w:val="1D2738"/>
                <w:sz w:val="18"/>
              </w:rPr>
              <w:t>Classification analysis, report, and dashboard integration</w:t>
            </w:r>
          </w:p>
        </w:tc>
        <w:tc>
          <w:tcPr>
            <w:tcW w:w="0" w:type="auto"/>
            <w:tcBorders>
              <w:top w:val="single" w:color="C9D5E2" w:sz="4" w:space="0"/>
              <w:left w:val="single" w:color="C9D5E2" w:sz="4" w:space="0"/>
              <w:bottom w:val="single" w:color="C9D5E2" w:sz="4" w:space="0"/>
              <w:right w:val="single" w:color="C9D5E2" w:sz="4" w:space="0"/>
            </w:tcBorders>
            <w:shd w:val="clear" w:color="auto" w:fill="F8FAFD"/>
            <w:vAlign w:val="center"/>
          </w:tcPr>
          <w:p w14:paraId="3308BDE5">
            <w:pPr>
              <w:spacing w:before="0" w:after="0" w:line="240" w:lineRule="auto"/>
            </w:pPr>
            <w:r>
              <w:rPr>
                <w:rFonts w:ascii="Times New Roman" w:hAnsi="Times New Roman" w:eastAsia="Times New Roman"/>
                <w:b w:val="0"/>
                <w:color w:val="1D2738"/>
                <w:sz w:val="18"/>
              </w:rPr>
              <w:t>Prediction-market analysis; economic function test; EventContract schema; regulatory arbitrage; report/dashboard integration.</w:t>
            </w:r>
          </w:p>
        </w:tc>
        <w:tc>
          <w:tcPr>
            <w:tcW w:w="0" w:type="auto"/>
            <w:tcBorders>
              <w:top w:val="single" w:color="C9D5E2" w:sz="4" w:space="0"/>
              <w:left w:val="single" w:color="C9D5E2" w:sz="4" w:space="0"/>
              <w:bottom w:val="single" w:color="C9D5E2" w:sz="4" w:space="0"/>
              <w:right w:val="single" w:color="C9D5E2" w:sz="4" w:space="0"/>
            </w:tcBorders>
            <w:shd w:val="clear" w:color="auto" w:fill="F8FAFD"/>
            <w:vAlign w:val="center"/>
          </w:tcPr>
          <w:p w14:paraId="307CB3AC">
            <w:pPr>
              <w:spacing w:before="0" w:after="0" w:line="240" w:lineRule="auto"/>
            </w:pPr>
            <w:r>
              <w:rPr>
                <w:rFonts w:ascii="Times New Roman" w:hAnsi="Times New Roman" w:eastAsia="Times New Roman"/>
                <w:b w:val="0"/>
                <w:color w:val="1D2738"/>
                <w:sz w:val="18"/>
              </w:rPr>
              <w:t>M4 / Dashboard / Final Report</w:t>
            </w:r>
          </w:p>
        </w:tc>
      </w:tr>
    </w:tbl>
    <w:p w14:paraId="31433619">
      <w:pPr>
        <w:pStyle w:val="3"/>
        <w:keepNext w:val="0"/>
        <w:keepLines w:val="0"/>
        <w:spacing w:before="0" w:after="120" w:line="259" w:lineRule="auto"/>
        <w:jc w:val="left"/>
      </w:pPr>
      <w:r>
        <w:rPr>
          <w:rFonts w:ascii="Times New Roman" w:hAnsi="Times New Roman" w:eastAsia="Times New Roman"/>
          <w:color w:val="1D2738"/>
          <w:sz w:val="22"/>
        </w:rPr>
        <w:t>All members participated in final integration, validation, and consistency review across the code outputs, written report, and dashboard. The final project was validated using the primary CFTC/EMIR run, with CFTC/MAS retained as an alternative Singapore-focused validation run.</w:t>
      </w:r>
    </w:p>
    <w:p w14:paraId="4524D7CE">
      <w:pPr>
        <w:pStyle w:val="15"/>
        <w:wordWrap w:val="0"/>
        <w:spacing w:before="0" w:after="40"/>
        <w:ind w:left="0" w:leftChars="0" w:firstLine="0" w:firstLineChars="0"/>
        <w:jc w:val="left"/>
        <w:rPr>
          <w:rFonts w:hint="default" w:asciiTheme="minorAscii" w:hAnsiTheme="minorAscii"/>
          <w:color w:val="auto"/>
          <w:sz w:val="20"/>
          <w:szCs w:val="28"/>
          <w:lang w:val="en-US" w:eastAsia="zh-CN"/>
        </w:rPr>
      </w:pPr>
      <w:r>
        <w:rPr>
          <w:rFonts w:hint="default" w:eastAsia="Georgia" w:asciiTheme="minorAscii" w:hAnsiTheme="minorAscii"/>
          <w:b/>
          <w:color w:val="0D2554"/>
          <w:sz w:val="24"/>
          <w:szCs w:val="28"/>
          <w:lang w:val="en-US" w:eastAsia="zh-CN"/>
        </w:rPr>
        <w:t>Appendix B: Additional Test Trades</w:t>
      </w:r>
    </w:p>
    <w:tbl>
      <w:tblPr>
        <w:tblStyle w:val="10"/>
        <w:tblW w:w="5000" w:type="pct"/>
        <w:tblInd w:w="0" w:type="dxa"/>
        <w:tblBorders>
          <w:top w:val="single" w:color="D8E1EE" w:sz="4" w:space="0"/>
          <w:left w:val="single" w:color="D8E1EE" w:sz="4" w:space="0"/>
          <w:bottom w:val="single" w:color="D8E1EE" w:sz="4" w:space="0"/>
          <w:right w:val="single" w:color="D8E1EE" w:sz="4" w:space="0"/>
          <w:insideH w:val="single" w:color="D8E1EE" w:sz="4" w:space="0"/>
          <w:insideV w:val="single" w:color="D8E1EE" w:sz="4" w:space="0"/>
        </w:tblBorders>
        <w:tblLayout w:type="autofit"/>
        <w:tblCellMar>
          <w:top w:w="0" w:type="dxa"/>
          <w:left w:w="108" w:type="dxa"/>
          <w:bottom w:w="0" w:type="dxa"/>
          <w:right w:w="108" w:type="dxa"/>
        </w:tblCellMar>
      </w:tblPr>
      <w:tblGrid>
        <w:gridCol w:w="1076"/>
        <w:gridCol w:w="1374"/>
        <w:gridCol w:w="1982"/>
        <w:gridCol w:w="2255"/>
        <w:gridCol w:w="3507"/>
      </w:tblGrid>
      <w:tr w14:paraId="6758090A">
        <w:trPr>
          <w:cantSplit/>
          <w:trHeight w:val="283" w:hRule="atLeast"/>
          <w:tblHeader/>
        </w:trPr>
        <w:tc>
          <w:tcPr>
            <w:tcW w:w="528" w:type="pct"/>
            <w:tcBorders>
              <w:top w:val="single" w:color="C9D5E2" w:sz="4" w:space="0"/>
              <w:left w:val="single" w:color="C9D5E2" w:sz="4" w:space="0"/>
              <w:bottom w:val="single" w:color="C9D5E2" w:sz="4" w:space="0"/>
              <w:right w:val="single" w:color="C9D5E2" w:sz="4" w:space="0"/>
            </w:tcBorders>
            <w:shd w:val="clear" w:color="auto" w:fill="0D2554"/>
            <w:vAlign w:val="center"/>
          </w:tcPr>
          <w:p w14:paraId="1E359DEA">
            <w:pPr>
              <w:keepNext w:val="0"/>
              <w:keepLines w:val="0"/>
              <w:widowControl/>
              <w:suppressLineNumbers w:val="0"/>
              <w:spacing w:before="0" w:after="0" w:line="240" w:lineRule="auto"/>
              <w:jc w:val="center"/>
              <w:textAlignment w:val="center"/>
              <w:rPr>
                <w:rFonts w:hint="eastAsia" w:asciiTheme="minorHAnsi" w:hAnsiTheme="minorHAnsi" w:eastAsiaTheme="minorEastAsia" w:cstheme="minorBidi"/>
                <w:b/>
                <w:bCs/>
                <w:kern w:val="2"/>
                <w:sz w:val="20"/>
                <w:szCs w:val="22"/>
                <w:lang w:val="en-US" w:eastAsia="zh-CN" w:bidi="ar-SA"/>
              </w:rPr>
            </w:pPr>
            <w:r>
              <w:rPr>
                <w:rFonts w:hint="eastAsia" w:asciiTheme="minorHAnsi" w:hAnsiTheme="minorHAnsi" w:eastAsiaTheme="minorEastAsia" w:cstheme="minorBidi"/>
                <w:b/>
                <w:bCs/>
                <w:color w:val="FFFFFF"/>
                <w:kern w:val="2"/>
                <w:sz w:val="18"/>
                <w:szCs w:val="22"/>
                <w:lang w:val="en-US" w:eastAsia="zh-CN" w:bidi="ar-SA"/>
              </w:rPr>
              <w:t>Trade ID</w:t>
            </w:r>
          </w:p>
        </w:tc>
        <w:tc>
          <w:tcPr>
            <w:tcW w:w="674" w:type="pct"/>
            <w:tcBorders>
              <w:top w:val="single" w:color="C9D5E2" w:sz="4" w:space="0"/>
              <w:left w:val="single" w:color="C9D5E2" w:sz="4" w:space="0"/>
              <w:bottom w:val="single" w:color="C9D5E2" w:sz="4" w:space="0"/>
              <w:right w:val="single" w:color="C9D5E2" w:sz="4" w:space="0"/>
            </w:tcBorders>
            <w:shd w:val="clear" w:color="auto" w:fill="0D2554"/>
            <w:vAlign w:val="center"/>
          </w:tcPr>
          <w:p w14:paraId="3BB3BD73">
            <w:pPr>
              <w:keepNext w:val="0"/>
              <w:keepLines w:val="0"/>
              <w:widowControl/>
              <w:suppressLineNumbers w:val="0"/>
              <w:spacing w:before="0" w:after="0" w:line="240" w:lineRule="auto"/>
              <w:jc w:val="center"/>
              <w:textAlignment w:val="center"/>
              <w:rPr>
                <w:rFonts w:hint="eastAsia" w:asciiTheme="minorHAnsi" w:hAnsiTheme="minorHAnsi" w:eastAsiaTheme="minorEastAsia" w:cstheme="minorBidi"/>
                <w:b/>
                <w:bCs/>
                <w:kern w:val="2"/>
                <w:sz w:val="20"/>
                <w:szCs w:val="22"/>
                <w:lang w:val="en-US" w:eastAsia="zh-CN" w:bidi="ar-SA"/>
              </w:rPr>
            </w:pPr>
            <w:r>
              <w:rPr>
                <w:rFonts w:hint="eastAsia" w:asciiTheme="minorHAnsi" w:hAnsiTheme="minorHAnsi" w:eastAsiaTheme="minorEastAsia" w:cstheme="minorBidi"/>
                <w:b/>
                <w:bCs/>
                <w:color w:val="FFFFFF"/>
                <w:kern w:val="2"/>
                <w:sz w:val="18"/>
                <w:szCs w:val="22"/>
                <w:lang w:val="en-US" w:eastAsia="zh-CN" w:bidi="ar-SA"/>
              </w:rPr>
              <w:t>Asset Class</w:t>
            </w:r>
          </w:p>
        </w:tc>
        <w:tc>
          <w:tcPr>
            <w:tcW w:w="972" w:type="pct"/>
            <w:tcBorders>
              <w:top w:val="single" w:color="C9D5E2" w:sz="4" w:space="0"/>
              <w:left w:val="single" w:color="C9D5E2" w:sz="4" w:space="0"/>
              <w:bottom w:val="single" w:color="C9D5E2" w:sz="4" w:space="0"/>
              <w:right w:val="single" w:color="C9D5E2" w:sz="4" w:space="0"/>
            </w:tcBorders>
            <w:shd w:val="clear" w:color="auto" w:fill="0D2554"/>
            <w:vAlign w:val="center"/>
          </w:tcPr>
          <w:p w14:paraId="258DC41D">
            <w:pPr>
              <w:keepNext w:val="0"/>
              <w:keepLines w:val="0"/>
              <w:widowControl/>
              <w:suppressLineNumbers w:val="0"/>
              <w:spacing w:before="0" w:after="0" w:line="240" w:lineRule="auto"/>
              <w:jc w:val="center"/>
              <w:textAlignment w:val="center"/>
              <w:rPr>
                <w:rFonts w:hint="eastAsia" w:asciiTheme="minorHAnsi" w:hAnsiTheme="minorHAnsi" w:eastAsiaTheme="minorEastAsia" w:cstheme="minorBidi"/>
                <w:b/>
                <w:bCs/>
                <w:kern w:val="2"/>
                <w:sz w:val="20"/>
                <w:szCs w:val="22"/>
                <w:lang w:val="en-US" w:eastAsia="zh-CN" w:bidi="ar-SA"/>
              </w:rPr>
            </w:pPr>
            <w:r>
              <w:rPr>
                <w:rFonts w:hint="eastAsia" w:asciiTheme="minorHAnsi" w:hAnsiTheme="minorHAnsi" w:eastAsiaTheme="minorEastAsia" w:cstheme="minorBidi"/>
                <w:b/>
                <w:bCs/>
                <w:color w:val="FFFFFF"/>
                <w:kern w:val="2"/>
                <w:sz w:val="18"/>
                <w:szCs w:val="22"/>
                <w:lang w:val="en-US" w:eastAsia="zh-CN" w:bidi="ar-SA"/>
              </w:rPr>
              <w:t>Instrument</w:t>
            </w:r>
          </w:p>
        </w:tc>
        <w:tc>
          <w:tcPr>
            <w:tcW w:w="1106" w:type="pct"/>
            <w:tcBorders>
              <w:top w:val="single" w:color="C9D5E2" w:sz="4" w:space="0"/>
              <w:left w:val="single" w:color="C9D5E2" w:sz="4" w:space="0"/>
              <w:bottom w:val="single" w:color="C9D5E2" w:sz="4" w:space="0"/>
              <w:right w:val="single" w:color="C9D5E2" w:sz="4" w:space="0"/>
            </w:tcBorders>
            <w:shd w:val="clear" w:color="auto" w:fill="0D2554"/>
            <w:vAlign w:val="center"/>
          </w:tcPr>
          <w:p w14:paraId="227713B0">
            <w:pPr>
              <w:keepNext w:val="0"/>
              <w:keepLines w:val="0"/>
              <w:widowControl/>
              <w:suppressLineNumbers w:val="0"/>
              <w:spacing w:before="0" w:after="0" w:line="240" w:lineRule="auto"/>
              <w:jc w:val="center"/>
              <w:textAlignment w:val="center"/>
              <w:rPr>
                <w:rFonts w:hint="eastAsia" w:asciiTheme="minorHAnsi" w:hAnsiTheme="minorHAnsi" w:eastAsiaTheme="minorEastAsia" w:cstheme="minorBidi"/>
                <w:b/>
                <w:bCs/>
                <w:kern w:val="2"/>
                <w:sz w:val="20"/>
                <w:szCs w:val="22"/>
                <w:lang w:val="en-US" w:eastAsia="zh-CN" w:bidi="ar-SA"/>
              </w:rPr>
            </w:pPr>
            <w:r>
              <w:rPr>
                <w:rFonts w:hint="eastAsia" w:asciiTheme="minorHAnsi" w:hAnsiTheme="minorHAnsi" w:eastAsiaTheme="minorEastAsia" w:cstheme="minorBidi"/>
                <w:b/>
                <w:bCs/>
                <w:color w:val="FFFFFF"/>
                <w:kern w:val="2"/>
                <w:sz w:val="18"/>
                <w:szCs w:val="22"/>
                <w:lang w:val="en-US" w:eastAsia="zh-CN" w:bidi="ar-SA"/>
              </w:rPr>
              <w:t>Deliberate Error</w:t>
            </w:r>
          </w:p>
        </w:tc>
        <w:tc>
          <w:tcPr>
            <w:tcW w:w="1720" w:type="pct"/>
            <w:tcBorders>
              <w:top w:val="single" w:color="C9D5E2" w:sz="4" w:space="0"/>
              <w:left w:val="single" w:color="C9D5E2" w:sz="4" w:space="0"/>
              <w:bottom w:val="single" w:color="C9D5E2" w:sz="4" w:space="0"/>
              <w:right w:val="single" w:color="C9D5E2" w:sz="4" w:space="0"/>
            </w:tcBorders>
            <w:shd w:val="clear" w:color="auto" w:fill="0D2554"/>
            <w:vAlign w:val="center"/>
          </w:tcPr>
          <w:p w14:paraId="3817BA3A">
            <w:pPr>
              <w:keepNext w:val="0"/>
              <w:keepLines w:val="0"/>
              <w:widowControl/>
              <w:suppressLineNumbers w:val="0"/>
              <w:spacing w:before="0" w:after="0" w:line="240" w:lineRule="auto"/>
              <w:jc w:val="center"/>
              <w:textAlignment w:val="center"/>
              <w:rPr>
                <w:rFonts w:hint="eastAsia" w:asciiTheme="minorHAnsi" w:hAnsiTheme="minorHAnsi" w:eastAsiaTheme="minorEastAsia" w:cstheme="minorBidi"/>
                <w:b/>
                <w:bCs/>
                <w:kern w:val="2"/>
                <w:sz w:val="20"/>
                <w:szCs w:val="22"/>
                <w:lang w:val="en-US" w:eastAsia="zh-CN" w:bidi="ar-SA"/>
              </w:rPr>
            </w:pPr>
            <w:r>
              <w:rPr>
                <w:rFonts w:hint="eastAsia" w:asciiTheme="minorHAnsi" w:hAnsiTheme="minorHAnsi" w:eastAsiaTheme="minorEastAsia" w:cstheme="minorBidi"/>
                <w:b/>
                <w:bCs/>
                <w:color w:val="FFFFFF"/>
                <w:kern w:val="2"/>
                <w:sz w:val="18"/>
                <w:szCs w:val="22"/>
                <w:lang w:val="en-US" w:eastAsia="zh-CN" w:bidi="ar-SA"/>
              </w:rPr>
              <w:t>Expected Rule Triggered</w:t>
            </w:r>
          </w:p>
        </w:tc>
      </w:tr>
      <w:tr w14:paraId="5C7DD8FD">
        <w:trPr>
          <w:cantSplit/>
          <w:trHeight w:val="283" w:hRule="atLeast"/>
        </w:trPr>
        <w:tc>
          <w:tcPr>
            <w:tcW w:w="528" w:type="pct"/>
            <w:tcBorders>
              <w:top w:val="single" w:color="C9D5E2" w:sz="4" w:space="0"/>
              <w:left w:val="single" w:color="C9D5E2" w:sz="4" w:space="0"/>
              <w:bottom w:val="single" w:color="C9D5E2" w:sz="4" w:space="0"/>
              <w:right w:val="single" w:color="C9D5E2" w:sz="4" w:space="0"/>
            </w:tcBorders>
            <w:vAlign w:val="center"/>
          </w:tcPr>
          <w:p w14:paraId="11E242F5">
            <w:pPr>
              <w:keepNext w:val="0"/>
              <w:keepLines w:val="0"/>
              <w:widowControl/>
              <w:suppressLineNumbers w:val="0"/>
              <w:spacing w:before="0" w:after="0" w:line="240" w:lineRule="auto"/>
              <w:jc w:val="center"/>
              <w:textAlignment w:val="center"/>
              <w:rPr>
                <w:rFonts w:hint="eastAsia" w:asciiTheme="minorHAnsi" w:hAnsiTheme="minorHAnsi" w:eastAsiaTheme="minorEastAsia" w:cstheme="minorBidi"/>
                <w:kern w:val="2"/>
                <w:sz w:val="18"/>
                <w:szCs w:val="21"/>
                <w:lang w:val="en-US" w:eastAsia="zh-CN" w:bidi="ar-SA"/>
              </w:rPr>
            </w:pPr>
            <w:r>
              <w:rPr>
                <w:rFonts w:hint="eastAsia" w:asciiTheme="minorHAnsi" w:hAnsiTheme="minorHAnsi" w:eastAsiaTheme="minorEastAsia" w:cstheme="minorBidi"/>
                <w:b w:val="0"/>
                <w:color w:val="1D2738"/>
                <w:kern w:val="2"/>
                <w:sz w:val="18"/>
                <w:szCs w:val="21"/>
                <w:lang w:val="en-US" w:eastAsia="zh-CN" w:bidi="ar-SA"/>
              </w:rPr>
              <w:t>AT001</w:t>
            </w:r>
          </w:p>
        </w:tc>
        <w:tc>
          <w:tcPr>
            <w:tcW w:w="674" w:type="pct"/>
            <w:tcBorders>
              <w:top w:val="single" w:color="C9D5E2" w:sz="4" w:space="0"/>
              <w:left w:val="single" w:color="C9D5E2" w:sz="4" w:space="0"/>
              <w:bottom w:val="single" w:color="C9D5E2" w:sz="4" w:space="0"/>
              <w:right w:val="single" w:color="C9D5E2" w:sz="4" w:space="0"/>
            </w:tcBorders>
            <w:vAlign w:val="center"/>
          </w:tcPr>
          <w:p w14:paraId="759245C0">
            <w:pPr>
              <w:keepNext w:val="0"/>
              <w:keepLines w:val="0"/>
              <w:widowControl/>
              <w:suppressLineNumbers w:val="0"/>
              <w:spacing w:before="0" w:after="0" w:line="240" w:lineRule="auto"/>
              <w:jc w:val="center"/>
              <w:textAlignment w:val="center"/>
              <w:rPr>
                <w:rFonts w:hint="eastAsia" w:asciiTheme="minorHAnsi" w:hAnsiTheme="minorHAnsi" w:eastAsiaTheme="minorEastAsia" w:cstheme="minorBidi"/>
                <w:kern w:val="2"/>
                <w:sz w:val="18"/>
                <w:szCs w:val="21"/>
                <w:lang w:val="en-US" w:eastAsia="zh-CN" w:bidi="ar-SA"/>
              </w:rPr>
            </w:pPr>
            <w:r>
              <w:rPr>
                <w:rFonts w:hint="eastAsia" w:asciiTheme="minorHAnsi" w:hAnsiTheme="minorHAnsi" w:eastAsiaTheme="minorEastAsia" w:cstheme="minorBidi"/>
                <w:b w:val="0"/>
                <w:color w:val="1D2738"/>
                <w:kern w:val="2"/>
                <w:sz w:val="18"/>
                <w:szCs w:val="21"/>
                <w:lang w:val="en-US" w:eastAsia="zh-CN" w:bidi="ar-SA"/>
              </w:rPr>
              <w:t>Credit</w:t>
            </w:r>
          </w:p>
        </w:tc>
        <w:tc>
          <w:tcPr>
            <w:tcW w:w="972" w:type="pct"/>
            <w:tcBorders>
              <w:top w:val="single" w:color="C9D5E2" w:sz="4" w:space="0"/>
              <w:left w:val="single" w:color="C9D5E2" w:sz="4" w:space="0"/>
              <w:bottom w:val="single" w:color="C9D5E2" w:sz="4" w:space="0"/>
              <w:right w:val="single" w:color="C9D5E2" w:sz="4" w:space="0"/>
            </w:tcBorders>
            <w:vAlign w:val="center"/>
          </w:tcPr>
          <w:p w14:paraId="3881B76C">
            <w:pPr>
              <w:keepNext w:val="0"/>
              <w:keepLines w:val="0"/>
              <w:widowControl/>
              <w:suppressLineNumbers w:val="0"/>
              <w:spacing w:before="0" w:after="0" w:line="240" w:lineRule="auto"/>
              <w:jc w:val="center"/>
              <w:textAlignment w:val="center"/>
              <w:rPr>
                <w:rFonts w:hint="eastAsia" w:asciiTheme="minorHAnsi" w:hAnsiTheme="minorHAnsi" w:eastAsiaTheme="minorEastAsia" w:cstheme="minorBidi"/>
                <w:kern w:val="2"/>
                <w:sz w:val="18"/>
                <w:szCs w:val="21"/>
                <w:lang w:val="en-US" w:eastAsia="zh-CN" w:bidi="ar-SA"/>
              </w:rPr>
            </w:pPr>
            <w:r>
              <w:rPr>
                <w:rFonts w:hint="eastAsia" w:asciiTheme="minorHAnsi" w:hAnsiTheme="minorHAnsi" w:eastAsiaTheme="minorEastAsia" w:cstheme="minorBidi"/>
                <w:b w:val="0"/>
                <w:color w:val="1D2738"/>
                <w:kern w:val="2"/>
                <w:sz w:val="18"/>
                <w:szCs w:val="21"/>
                <w:lang w:val="en-US" w:eastAsia="zh-CN" w:bidi="ar-SA"/>
              </w:rPr>
              <w:t>CDS/SingleName</w:t>
            </w:r>
          </w:p>
        </w:tc>
        <w:tc>
          <w:tcPr>
            <w:tcW w:w="1106" w:type="pct"/>
            <w:tcBorders>
              <w:top w:val="single" w:color="C9D5E2" w:sz="4" w:space="0"/>
              <w:left w:val="single" w:color="C9D5E2" w:sz="4" w:space="0"/>
              <w:bottom w:val="single" w:color="C9D5E2" w:sz="4" w:space="0"/>
              <w:right w:val="single" w:color="C9D5E2" w:sz="4" w:space="0"/>
            </w:tcBorders>
            <w:vAlign w:val="center"/>
          </w:tcPr>
          <w:p w14:paraId="49E7E802">
            <w:pPr>
              <w:keepNext w:val="0"/>
              <w:keepLines w:val="0"/>
              <w:widowControl/>
              <w:suppressLineNumbers w:val="0"/>
              <w:spacing w:before="0" w:after="0" w:line="240" w:lineRule="auto"/>
              <w:jc w:val="center"/>
              <w:textAlignment w:val="center"/>
              <w:rPr>
                <w:rFonts w:hint="eastAsia" w:asciiTheme="minorHAnsi" w:hAnsiTheme="minorHAnsi" w:eastAsiaTheme="minorEastAsia" w:cstheme="minorBidi"/>
                <w:kern w:val="2"/>
                <w:sz w:val="18"/>
                <w:szCs w:val="21"/>
                <w:lang w:val="en-US" w:eastAsia="zh-CN" w:bidi="ar-SA"/>
              </w:rPr>
            </w:pPr>
            <w:r>
              <w:rPr>
                <w:rFonts w:hint="eastAsia" w:asciiTheme="minorHAnsi" w:hAnsiTheme="minorHAnsi" w:eastAsiaTheme="minorEastAsia" w:cstheme="minorBidi"/>
                <w:b w:val="0"/>
                <w:color w:val="1D2738"/>
                <w:kern w:val="2"/>
                <w:sz w:val="18"/>
                <w:szCs w:val="21"/>
                <w:lang w:val="en-US" w:eastAsia="zh-CN" w:bidi="ar-SA"/>
              </w:rPr>
              <w:t>None</w:t>
            </w:r>
          </w:p>
        </w:tc>
        <w:tc>
          <w:tcPr>
            <w:tcW w:w="1720" w:type="pct"/>
            <w:tcBorders>
              <w:top w:val="single" w:color="C9D5E2" w:sz="4" w:space="0"/>
              <w:left w:val="single" w:color="C9D5E2" w:sz="4" w:space="0"/>
              <w:bottom w:val="single" w:color="C9D5E2" w:sz="4" w:space="0"/>
              <w:right w:val="single" w:color="C9D5E2" w:sz="4" w:space="0"/>
            </w:tcBorders>
            <w:vAlign w:val="center"/>
          </w:tcPr>
          <w:p w14:paraId="4E947A22">
            <w:pPr>
              <w:keepNext w:val="0"/>
              <w:keepLines w:val="0"/>
              <w:widowControl/>
              <w:suppressLineNumbers w:val="0"/>
              <w:spacing w:before="0" w:after="0" w:line="240" w:lineRule="auto"/>
              <w:jc w:val="center"/>
              <w:textAlignment w:val="center"/>
              <w:rPr>
                <w:rFonts w:hint="eastAsia" w:asciiTheme="minorHAnsi" w:hAnsiTheme="minorHAnsi" w:eastAsiaTheme="minorEastAsia" w:cstheme="minorBidi"/>
                <w:kern w:val="2"/>
                <w:sz w:val="18"/>
                <w:szCs w:val="21"/>
                <w:lang w:val="en-US" w:eastAsia="zh-CN" w:bidi="ar-SA"/>
              </w:rPr>
            </w:pPr>
            <w:r>
              <w:rPr>
                <w:rFonts w:hint="eastAsia" w:asciiTheme="minorHAnsi" w:hAnsiTheme="minorHAnsi" w:eastAsiaTheme="minorEastAsia" w:cstheme="minorBidi"/>
                <w:b w:val="0"/>
                <w:color w:val="1D2738"/>
                <w:kern w:val="2"/>
                <w:sz w:val="18"/>
                <w:szCs w:val="21"/>
                <w:lang w:val="en-US" w:eastAsia="zh-CN" w:bidi="ar-SA"/>
              </w:rPr>
              <w:t>—</w:t>
            </w:r>
          </w:p>
        </w:tc>
      </w:tr>
      <w:tr w14:paraId="04E1D7B8">
        <w:trPr>
          <w:cantSplit/>
          <w:trHeight w:val="283" w:hRule="atLeast"/>
        </w:trPr>
        <w:tc>
          <w:tcPr>
            <w:tcW w:w="528" w:type="pct"/>
            <w:tcBorders>
              <w:top w:val="single" w:color="C9D5E2" w:sz="4" w:space="0"/>
              <w:left w:val="single" w:color="C9D5E2" w:sz="4" w:space="0"/>
              <w:bottom w:val="single" w:color="C9D5E2" w:sz="4" w:space="0"/>
              <w:right w:val="single" w:color="C9D5E2" w:sz="4" w:space="0"/>
            </w:tcBorders>
            <w:shd w:val="clear" w:color="auto" w:fill="F8FAFD"/>
            <w:vAlign w:val="center"/>
          </w:tcPr>
          <w:p w14:paraId="2C3DB4D5">
            <w:pPr>
              <w:keepNext w:val="0"/>
              <w:keepLines w:val="0"/>
              <w:widowControl/>
              <w:suppressLineNumbers w:val="0"/>
              <w:spacing w:before="0" w:after="0" w:line="240" w:lineRule="auto"/>
              <w:jc w:val="center"/>
              <w:textAlignment w:val="center"/>
              <w:rPr>
                <w:rFonts w:hint="eastAsia" w:asciiTheme="minorHAnsi" w:hAnsiTheme="minorHAnsi" w:eastAsiaTheme="minorEastAsia" w:cstheme="minorBidi"/>
                <w:kern w:val="2"/>
                <w:sz w:val="18"/>
                <w:szCs w:val="21"/>
                <w:lang w:val="en-US" w:eastAsia="zh-CN" w:bidi="ar-SA"/>
              </w:rPr>
            </w:pPr>
            <w:r>
              <w:rPr>
                <w:rFonts w:hint="eastAsia" w:asciiTheme="minorHAnsi" w:hAnsiTheme="minorHAnsi" w:eastAsiaTheme="minorEastAsia" w:cstheme="minorBidi"/>
                <w:b w:val="0"/>
                <w:color w:val="1D2738"/>
                <w:kern w:val="2"/>
                <w:sz w:val="18"/>
                <w:szCs w:val="21"/>
                <w:lang w:val="en-US" w:eastAsia="zh-CN" w:bidi="ar-SA"/>
              </w:rPr>
              <w:t>AT002</w:t>
            </w:r>
          </w:p>
        </w:tc>
        <w:tc>
          <w:tcPr>
            <w:tcW w:w="674" w:type="pct"/>
            <w:tcBorders>
              <w:top w:val="single" w:color="C9D5E2" w:sz="4" w:space="0"/>
              <w:left w:val="single" w:color="C9D5E2" w:sz="4" w:space="0"/>
              <w:bottom w:val="single" w:color="C9D5E2" w:sz="4" w:space="0"/>
              <w:right w:val="single" w:color="C9D5E2" w:sz="4" w:space="0"/>
            </w:tcBorders>
            <w:shd w:val="clear" w:color="auto" w:fill="F8FAFD"/>
            <w:vAlign w:val="center"/>
          </w:tcPr>
          <w:p w14:paraId="760CA860">
            <w:pPr>
              <w:keepNext w:val="0"/>
              <w:keepLines w:val="0"/>
              <w:widowControl/>
              <w:suppressLineNumbers w:val="0"/>
              <w:spacing w:before="0" w:after="0" w:line="240" w:lineRule="auto"/>
              <w:jc w:val="center"/>
              <w:textAlignment w:val="center"/>
              <w:rPr>
                <w:rFonts w:hint="eastAsia" w:asciiTheme="minorHAnsi" w:hAnsiTheme="minorHAnsi" w:eastAsiaTheme="minorEastAsia" w:cstheme="minorBidi"/>
                <w:kern w:val="2"/>
                <w:sz w:val="18"/>
                <w:szCs w:val="21"/>
                <w:lang w:val="en-US" w:eastAsia="zh-CN" w:bidi="ar-SA"/>
              </w:rPr>
            </w:pPr>
            <w:r>
              <w:rPr>
                <w:rFonts w:hint="eastAsia" w:asciiTheme="minorHAnsi" w:hAnsiTheme="minorHAnsi" w:eastAsiaTheme="minorEastAsia" w:cstheme="minorBidi"/>
                <w:b w:val="0"/>
                <w:color w:val="1D2738"/>
                <w:kern w:val="2"/>
                <w:sz w:val="18"/>
                <w:szCs w:val="21"/>
                <w:lang w:val="en-US" w:eastAsia="zh-CN" w:bidi="ar-SA"/>
              </w:rPr>
              <w:t>FX</w:t>
            </w:r>
          </w:p>
        </w:tc>
        <w:tc>
          <w:tcPr>
            <w:tcW w:w="972" w:type="pct"/>
            <w:tcBorders>
              <w:top w:val="single" w:color="C9D5E2" w:sz="4" w:space="0"/>
              <w:left w:val="single" w:color="C9D5E2" w:sz="4" w:space="0"/>
              <w:bottom w:val="single" w:color="C9D5E2" w:sz="4" w:space="0"/>
              <w:right w:val="single" w:color="C9D5E2" w:sz="4" w:space="0"/>
            </w:tcBorders>
            <w:shd w:val="clear" w:color="auto" w:fill="F8FAFD"/>
            <w:vAlign w:val="center"/>
          </w:tcPr>
          <w:p w14:paraId="10AD49E0">
            <w:pPr>
              <w:keepNext w:val="0"/>
              <w:keepLines w:val="0"/>
              <w:widowControl/>
              <w:suppressLineNumbers w:val="0"/>
              <w:spacing w:before="0" w:after="0" w:line="240" w:lineRule="auto"/>
              <w:jc w:val="center"/>
              <w:textAlignment w:val="center"/>
              <w:rPr>
                <w:rFonts w:hint="eastAsia" w:asciiTheme="minorHAnsi" w:hAnsiTheme="minorHAnsi" w:eastAsiaTheme="minorEastAsia" w:cstheme="minorBidi"/>
                <w:kern w:val="2"/>
                <w:sz w:val="18"/>
                <w:szCs w:val="21"/>
                <w:lang w:val="en-US" w:eastAsia="zh-CN" w:bidi="ar-SA"/>
              </w:rPr>
            </w:pPr>
            <w:r>
              <w:rPr>
                <w:rFonts w:hint="eastAsia" w:asciiTheme="minorHAnsi" w:hAnsiTheme="minorHAnsi" w:eastAsiaTheme="minorEastAsia" w:cstheme="minorBidi"/>
                <w:b w:val="0"/>
                <w:color w:val="1D2738"/>
                <w:kern w:val="2"/>
                <w:sz w:val="18"/>
                <w:szCs w:val="21"/>
                <w:lang w:val="en-US" w:eastAsia="zh-CN" w:bidi="ar-SA"/>
              </w:rPr>
              <w:t>VanillaOption</w:t>
            </w:r>
          </w:p>
        </w:tc>
        <w:tc>
          <w:tcPr>
            <w:tcW w:w="1106" w:type="pct"/>
            <w:tcBorders>
              <w:top w:val="single" w:color="C9D5E2" w:sz="4" w:space="0"/>
              <w:left w:val="single" w:color="C9D5E2" w:sz="4" w:space="0"/>
              <w:bottom w:val="single" w:color="C9D5E2" w:sz="4" w:space="0"/>
              <w:right w:val="single" w:color="C9D5E2" w:sz="4" w:space="0"/>
            </w:tcBorders>
            <w:shd w:val="clear" w:color="auto" w:fill="F8FAFD"/>
            <w:vAlign w:val="center"/>
          </w:tcPr>
          <w:p w14:paraId="49DE3BB0">
            <w:pPr>
              <w:keepNext w:val="0"/>
              <w:keepLines w:val="0"/>
              <w:widowControl/>
              <w:suppressLineNumbers w:val="0"/>
              <w:spacing w:before="0" w:after="0" w:line="240" w:lineRule="auto"/>
              <w:jc w:val="center"/>
              <w:textAlignment w:val="center"/>
              <w:rPr>
                <w:rFonts w:hint="eastAsia" w:asciiTheme="minorHAnsi" w:hAnsiTheme="minorHAnsi" w:eastAsiaTheme="minorEastAsia" w:cstheme="minorBidi"/>
                <w:kern w:val="2"/>
                <w:sz w:val="18"/>
                <w:szCs w:val="21"/>
                <w:lang w:val="en-US" w:eastAsia="zh-CN" w:bidi="ar-SA"/>
              </w:rPr>
            </w:pPr>
            <w:r>
              <w:rPr>
                <w:rFonts w:hint="eastAsia" w:asciiTheme="minorHAnsi" w:hAnsiTheme="minorHAnsi" w:eastAsiaTheme="minorEastAsia" w:cstheme="minorBidi"/>
                <w:b w:val="0"/>
                <w:color w:val="1D2738"/>
                <w:kern w:val="2"/>
                <w:sz w:val="18"/>
                <w:szCs w:val="21"/>
                <w:lang w:val="en-US" w:eastAsia="zh-CN" w:bidi="ar-SA"/>
              </w:rPr>
              <w:t>None</w:t>
            </w:r>
          </w:p>
        </w:tc>
        <w:tc>
          <w:tcPr>
            <w:tcW w:w="1720" w:type="pct"/>
            <w:tcBorders>
              <w:top w:val="single" w:color="C9D5E2" w:sz="4" w:space="0"/>
              <w:left w:val="single" w:color="C9D5E2" w:sz="4" w:space="0"/>
              <w:bottom w:val="single" w:color="C9D5E2" w:sz="4" w:space="0"/>
              <w:right w:val="single" w:color="C9D5E2" w:sz="4" w:space="0"/>
            </w:tcBorders>
            <w:shd w:val="clear" w:color="auto" w:fill="F8FAFD"/>
            <w:vAlign w:val="center"/>
          </w:tcPr>
          <w:p w14:paraId="19C69894">
            <w:pPr>
              <w:keepNext w:val="0"/>
              <w:keepLines w:val="0"/>
              <w:widowControl/>
              <w:suppressLineNumbers w:val="0"/>
              <w:spacing w:before="0" w:after="0" w:line="240" w:lineRule="auto"/>
              <w:jc w:val="center"/>
              <w:textAlignment w:val="center"/>
              <w:rPr>
                <w:rFonts w:hint="eastAsia" w:asciiTheme="minorHAnsi" w:hAnsiTheme="minorHAnsi" w:eastAsiaTheme="minorEastAsia" w:cstheme="minorBidi"/>
                <w:kern w:val="2"/>
                <w:sz w:val="18"/>
                <w:szCs w:val="21"/>
                <w:lang w:val="en-US" w:eastAsia="zh-CN" w:bidi="ar-SA"/>
              </w:rPr>
            </w:pPr>
            <w:r>
              <w:rPr>
                <w:rFonts w:hint="eastAsia" w:asciiTheme="minorHAnsi" w:hAnsiTheme="minorHAnsi" w:eastAsiaTheme="minorEastAsia" w:cstheme="minorBidi"/>
                <w:b w:val="0"/>
                <w:color w:val="1D2738"/>
                <w:kern w:val="2"/>
                <w:sz w:val="18"/>
                <w:szCs w:val="21"/>
                <w:lang w:val="en-US" w:eastAsia="zh-CN" w:bidi="ar-SA"/>
              </w:rPr>
              <w:t>—</w:t>
            </w:r>
          </w:p>
        </w:tc>
      </w:tr>
      <w:tr w14:paraId="530C0F14">
        <w:trPr>
          <w:cantSplit/>
          <w:trHeight w:val="283" w:hRule="atLeast"/>
        </w:trPr>
        <w:tc>
          <w:tcPr>
            <w:tcW w:w="528" w:type="pct"/>
            <w:tcBorders>
              <w:top w:val="single" w:color="C9D5E2" w:sz="4" w:space="0"/>
              <w:left w:val="single" w:color="C9D5E2" w:sz="4" w:space="0"/>
              <w:bottom w:val="single" w:color="C9D5E2" w:sz="4" w:space="0"/>
              <w:right w:val="single" w:color="C9D5E2" w:sz="4" w:space="0"/>
            </w:tcBorders>
            <w:vAlign w:val="center"/>
          </w:tcPr>
          <w:p w14:paraId="7926D920">
            <w:pPr>
              <w:keepNext w:val="0"/>
              <w:keepLines w:val="0"/>
              <w:widowControl/>
              <w:suppressLineNumbers w:val="0"/>
              <w:spacing w:before="0" w:after="0" w:line="240" w:lineRule="auto"/>
              <w:jc w:val="center"/>
              <w:textAlignment w:val="center"/>
              <w:rPr>
                <w:rFonts w:hint="eastAsia" w:asciiTheme="minorHAnsi" w:hAnsiTheme="minorHAnsi" w:eastAsiaTheme="minorEastAsia" w:cstheme="minorBidi"/>
                <w:kern w:val="2"/>
                <w:sz w:val="18"/>
                <w:szCs w:val="21"/>
                <w:lang w:val="en-US" w:eastAsia="zh-CN" w:bidi="ar-SA"/>
              </w:rPr>
            </w:pPr>
            <w:r>
              <w:rPr>
                <w:rFonts w:hint="eastAsia" w:asciiTheme="minorHAnsi" w:hAnsiTheme="minorHAnsi" w:eastAsiaTheme="minorEastAsia" w:cstheme="minorBidi"/>
                <w:b w:val="0"/>
                <w:color w:val="1D2738"/>
                <w:kern w:val="2"/>
                <w:sz w:val="18"/>
                <w:szCs w:val="21"/>
                <w:lang w:val="en-US" w:eastAsia="zh-CN" w:bidi="ar-SA"/>
              </w:rPr>
              <w:t>AT003</w:t>
            </w:r>
          </w:p>
        </w:tc>
        <w:tc>
          <w:tcPr>
            <w:tcW w:w="674" w:type="pct"/>
            <w:tcBorders>
              <w:top w:val="single" w:color="C9D5E2" w:sz="4" w:space="0"/>
              <w:left w:val="single" w:color="C9D5E2" w:sz="4" w:space="0"/>
              <w:bottom w:val="single" w:color="C9D5E2" w:sz="4" w:space="0"/>
              <w:right w:val="single" w:color="C9D5E2" w:sz="4" w:space="0"/>
            </w:tcBorders>
            <w:vAlign w:val="center"/>
          </w:tcPr>
          <w:p w14:paraId="4F0AD83E">
            <w:pPr>
              <w:keepNext w:val="0"/>
              <w:keepLines w:val="0"/>
              <w:widowControl/>
              <w:suppressLineNumbers w:val="0"/>
              <w:spacing w:before="0" w:after="0" w:line="240" w:lineRule="auto"/>
              <w:jc w:val="center"/>
              <w:textAlignment w:val="center"/>
              <w:rPr>
                <w:rFonts w:hint="eastAsia" w:asciiTheme="minorHAnsi" w:hAnsiTheme="minorHAnsi" w:eastAsiaTheme="minorEastAsia" w:cstheme="minorBidi"/>
                <w:kern w:val="2"/>
                <w:sz w:val="18"/>
                <w:szCs w:val="21"/>
                <w:lang w:val="en-US" w:eastAsia="zh-CN" w:bidi="ar-SA"/>
              </w:rPr>
            </w:pPr>
            <w:r>
              <w:rPr>
                <w:rFonts w:hint="eastAsia" w:asciiTheme="minorHAnsi" w:hAnsiTheme="minorHAnsi" w:eastAsiaTheme="minorEastAsia" w:cstheme="minorBidi"/>
                <w:b w:val="0"/>
                <w:color w:val="1D2738"/>
                <w:kern w:val="2"/>
                <w:sz w:val="18"/>
                <w:szCs w:val="21"/>
                <w:lang w:val="en-US" w:eastAsia="zh-CN" w:bidi="ar-SA"/>
              </w:rPr>
              <w:t>Equity</w:t>
            </w:r>
          </w:p>
        </w:tc>
        <w:tc>
          <w:tcPr>
            <w:tcW w:w="972" w:type="pct"/>
            <w:tcBorders>
              <w:top w:val="single" w:color="C9D5E2" w:sz="4" w:space="0"/>
              <w:left w:val="single" w:color="C9D5E2" w:sz="4" w:space="0"/>
              <w:bottom w:val="single" w:color="C9D5E2" w:sz="4" w:space="0"/>
              <w:right w:val="single" w:color="C9D5E2" w:sz="4" w:space="0"/>
            </w:tcBorders>
            <w:vAlign w:val="center"/>
          </w:tcPr>
          <w:p w14:paraId="488A55AC">
            <w:pPr>
              <w:keepNext w:val="0"/>
              <w:keepLines w:val="0"/>
              <w:widowControl/>
              <w:suppressLineNumbers w:val="0"/>
              <w:spacing w:before="0" w:after="0" w:line="240" w:lineRule="auto"/>
              <w:jc w:val="center"/>
              <w:textAlignment w:val="center"/>
              <w:rPr>
                <w:rFonts w:hint="eastAsia" w:asciiTheme="minorHAnsi" w:hAnsiTheme="minorHAnsi" w:eastAsiaTheme="minorEastAsia" w:cstheme="minorBidi"/>
                <w:kern w:val="2"/>
                <w:sz w:val="18"/>
                <w:szCs w:val="21"/>
                <w:lang w:val="en-US" w:eastAsia="zh-CN" w:bidi="ar-SA"/>
              </w:rPr>
            </w:pPr>
            <w:r>
              <w:rPr>
                <w:rFonts w:hint="eastAsia" w:asciiTheme="minorHAnsi" w:hAnsiTheme="minorHAnsi" w:eastAsiaTheme="minorEastAsia" w:cstheme="minorBidi"/>
                <w:b w:val="0"/>
                <w:color w:val="1D2738"/>
                <w:kern w:val="2"/>
                <w:sz w:val="18"/>
                <w:szCs w:val="21"/>
                <w:lang w:val="en-US" w:eastAsia="zh-CN" w:bidi="ar-SA"/>
              </w:rPr>
              <w:t>Option (MAS)</w:t>
            </w:r>
          </w:p>
        </w:tc>
        <w:tc>
          <w:tcPr>
            <w:tcW w:w="1106" w:type="pct"/>
            <w:tcBorders>
              <w:top w:val="single" w:color="C9D5E2" w:sz="4" w:space="0"/>
              <w:left w:val="single" w:color="C9D5E2" w:sz="4" w:space="0"/>
              <w:bottom w:val="single" w:color="C9D5E2" w:sz="4" w:space="0"/>
              <w:right w:val="single" w:color="C9D5E2" w:sz="4" w:space="0"/>
            </w:tcBorders>
            <w:vAlign w:val="center"/>
          </w:tcPr>
          <w:p w14:paraId="71CF24B9">
            <w:pPr>
              <w:keepNext w:val="0"/>
              <w:keepLines w:val="0"/>
              <w:widowControl/>
              <w:suppressLineNumbers w:val="0"/>
              <w:spacing w:before="0" w:after="0" w:line="240" w:lineRule="auto"/>
              <w:jc w:val="center"/>
              <w:textAlignment w:val="center"/>
              <w:rPr>
                <w:rFonts w:hint="eastAsia" w:asciiTheme="minorHAnsi" w:hAnsiTheme="minorHAnsi" w:eastAsiaTheme="minorEastAsia" w:cstheme="minorBidi"/>
                <w:kern w:val="2"/>
                <w:sz w:val="18"/>
                <w:szCs w:val="21"/>
                <w:lang w:val="en-US" w:eastAsia="zh-CN" w:bidi="ar-SA"/>
              </w:rPr>
            </w:pPr>
            <w:r>
              <w:rPr>
                <w:rFonts w:hint="eastAsia" w:asciiTheme="minorHAnsi" w:hAnsiTheme="minorHAnsi" w:eastAsiaTheme="minorEastAsia" w:cstheme="minorBidi"/>
                <w:b w:val="0"/>
                <w:color w:val="1D2738"/>
                <w:kern w:val="2"/>
                <w:sz w:val="18"/>
                <w:szCs w:val="21"/>
                <w:lang w:val="en-US" w:eastAsia="zh-CN" w:bidi="ar-SA"/>
              </w:rPr>
              <w:t>None</w:t>
            </w:r>
          </w:p>
        </w:tc>
        <w:tc>
          <w:tcPr>
            <w:tcW w:w="1720" w:type="pct"/>
            <w:tcBorders>
              <w:top w:val="single" w:color="C9D5E2" w:sz="4" w:space="0"/>
              <w:left w:val="single" w:color="C9D5E2" w:sz="4" w:space="0"/>
              <w:bottom w:val="single" w:color="C9D5E2" w:sz="4" w:space="0"/>
              <w:right w:val="single" w:color="C9D5E2" w:sz="4" w:space="0"/>
            </w:tcBorders>
            <w:vAlign w:val="center"/>
          </w:tcPr>
          <w:p w14:paraId="77A605BF">
            <w:pPr>
              <w:keepNext w:val="0"/>
              <w:keepLines w:val="0"/>
              <w:widowControl/>
              <w:suppressLineNumbers w:val="0"/>
              <w:spacing w:before="0" w:after="0" w:line="240" w:lineRule="auto"/>
              <w:jc w:val="center"/>
              <w:textAlignment w:val="center"/>
              <w:rPr>
                <w:rFonts w:hint="eastAsia" w:asciiTheme="minorHAnsi" w:hAnsiTheme="minorHAnsi" w:eastAsiaTheme="minorEastAsia" w:cstheme="minorBidi"/>
                <w:kern w:val="2"/>
                <w:sz w:val="18"/>
                <w:szCs w:val="21"/>
                <w:lang w:val="en-US" w:eastAsia="zh-CN" w:bidi="ar-SA"/>
              </w:rPr>
            </w:pPr>
            <w:r>
              <w:rPr>
                <w:rFonts w:hint="eastAsia" w:asciiTheme="minorHAnsi" w:hAnsiTheme="minorHAnsi" w:eastAsiaTheme="minorEastAsia" w:cstheme="minorBidi"/>
                <w:b w:val="0"/>
                <w:color w:val="1D2738"/>
                <w:kern w:val="2"/>
                <w:sz w:val="18"/>
                <w:szCs w:val="21"/>
                <w:lang w:val="en-US" w:eastAsia="zh-CN" w:bidi="ar-SA"/>
              </w:rPr>
              <w:t>MAS_SG_NEXUS</w:t>
            </w:r>
          </w:p>
        </w:tc>
      </w:tr>
      <w:tr w14:paraId="5DDDD986">
        <w:trPr>
          <w:cantSplit/>
          <w:trHeight w:val="283" w:hRule="atLeast"/>
        </w:trPr>
        <w:tc>
          <w:tcPr>
            <w:tcW w:w="528" w:type="pct"/>
            <w:tcBorders>
              <w:top w:val="single" w:color="C9D5E2" w:sz="4" w:space="0"/>
              <w:left w:val="single" w:color="C9D5E2" w:sz="4" w:space="0"/>
              <w:bottom w:val="single" w:color="C9D5E2" w:sz="4" w:space="0"/>
              <w:right w:val="single" w:color="C9D5E2" w:sz="4" w:space="0"/>
            </w:tcBorders>
            <w:shd w:val="clear" w:color="auto" w:fill="F8FAFD"/>
            <w:vAlign w:val="center"/>
          </w:tcPr>
          <w:p w14:paraId="7AE7AF89">
            <w:pPr>
              <w:keepNext w:val="0"/>
              <w:keepLines w:val="0"/>
              <w:widowControl/>
              <w:suppressLineNumbers w:val="0"/>
              <w:spacing w:before="0" w:after="0" w:line="240" w:lineRule="auto"/>
              <w:jc w:val="center"/>
              <w:textAlignment w:val="center"/>
              <w:rPr>
                <w:rFonts w:hint="eastAsia" w:asciiTheme="minorHAnsi" w:hAnsiTheme="minorHAnsi" w:eastAsiaTheme="minorEastAsia" w:cstheme="minorBidi"/>
                <w:kern w:val="2"/>
                <w:sz w:val="18"/>
                <w:szCs w:val="21"/>
                <w:lang w:val="en-US" w:eastAsia="zh-CN" w:bidi="ar-SA"/>
              </w:rPr>
            </w:pPr>
            <w:r>
              <w:rPr>
                <w:rFonts w:hint="eastAsia" w:asciiTheme="minorHAnsi" w:hAnsiTheme="minorHAnsi" w:eastAsiaTheme="minorEastAsia" w:cstheme="minorBidi"/>
                <w:b w:val="0"/>
                <w:color w:val="1D2738"/>
                <w:kern w:val="2"/>
                <w:sz w:val="18"/>
                <w:szCs w:val="21"/>
                <w:lang w:val="en-US" w:eastAsia="zh-CN" w:bidi="ar-SA"/>
              </w:rPr>
              <w:t>AT004</w:t>
            </w:r>
          </w:p>
        </w:tc>
        <w:tc>
          <w:tcPr>
            <w:tcW w:w="674" w:type="pct"/>
            <w:tcBorders>
              <w:top w:val="single" w:color="C9D5E2" w:sz="4" w:space="0"/>
              <w:left w:val="single" w:color="C9D5E2" w:sz="4" w:space="0"/>
              <w:bottom w:val="single" w:color="C9D5E2" w:sz="4" w:space="0"/>
              <w:right w:val="single" w:color="C9D5E2" w:sz="4" w:space="0"/>
            </w:tcBorders>
            <w:shd w:val="clear" w:color="auto" w:fill="F8FAFD"/>
            <w:vAlign w:val="center"/>
          </w:tcPr>
          <w:p w14:paraId="05B1B4E3">
            <w:pPr>
              <w:keepNext w:val="0"/>
              <w:keepLines w:val="0"/>
              <w:widowControl/>
              <w:suppressLineNumbers w:val="0"/>
              <w:spacing w:before="0" w:after="0" w:line="240" w:lineRule="auto"/>
              <w:jc w:val="center"/>
              <w:textAlignment w:val="center"/>
              <w:rPr>
                <w:rFonts w:hint="eastAsia" w:asciiTheme="minorHAnsi" w:hAnsiTheme="minorHAnsi" w:eastAsiaTheme="minorEastAsia" w:cstheme="minorBidi"/>
                <w:kern w:val="2"/>
                <w:sz w:val="18"/>
                <w:szCs w:val="21"/>
                <w:lang w:val="en-US" w:eastAsia="zh-CN" w:bidi="ar-SA"/>
              </w:rPr>
            </w:pPr>
            <w:r>
              <w:rPr>
                <w:rFonts w:hint="eastAsia" w:asciiTheme="minorHAnsi" w:hAnsiTheme="minorHAnsi" w:eastAsiaTheme="minorEastAsia" w:cstheme="minorBidi"/>
                <w:b w:val="0"/>
                <w:color w:val="1D2738"/>
                <w:kern w:val="2"/>
                <w:sz w:val="18"/>
                <w:szCs w:val="21"/>
                <w:lang w:val="en-US" w:eastAsia="zh-CN" w:bidi="ar-SA"/>
              </w:rPr>
              <w:t>Rates</w:t>
            </w:r>
          </w:p>
        </w:tc>
        <w:tc>
          <w:tcPr>
            <w:tcW w:w="972" w:type="pct"/>
            <w:tcBorders>
              <w:top w:val="single" w:color="C9D5E2" w:sz="4" w:space="0"/>
              <w:left w:val="single" w:color="C9D5E2" w:sz="4" w:space="0"/>
              <w:bottom w:val="single" w:color="C9D5E2" w:sz="4" w:space="0"/>
              <w:right w:val="single" w:color="C9D5E2" w:sz="4" w:space="0"/>
            </w:tcBorders>
            <w:shd w:val="clear" w:color="auto" w:fill="F8FAFD"/>
            <w:vAlign w:val="center"/>
          </w:tcPr>
          <w:p w14:paraId="4B85E9A3">
            <w:pPr>
              <w:keepNext w:val="0"/>
              <w:keepLines w:val="0"/>
              <w:widowControl/>
              <w:suppressLineNumbers w:val="0"/>
              <w:spacing w:before="0" w:after="0" w:line="240" w:lineRule="auto"/>
              <w:jc w:val="center"/>
              <w:textAlignment w:val="center"/>
              <w:rPr>
                <w:rFonts w:hint="eastAsia" w:asciiTheme="minorHAnsi" w:hAnsiTheme="minorHAnsi" w:eastAsiaTheme="minorEastAsia" w:cstheme="minorBidi"/>
                <w:kern w:val="2"/>
                <w:sz w:val="18"/>
                <w:szCs w:val="21"/>
                <w:lang w:val="en-US" w:eastAsia="zh-CN" w:bidi="ar-SA"/>
              </w:rPr>
            </w:pPr>
            <w:r>
              <w:rPr>
                <w:rFonts w:hint="eastAsia" w:asciiTheme="minorHAnsi" w:hAnsiTheme="minorHAnsi" w:eastAsiaTheme="minorEastAsia" w:cstheme="minorBidi"/>
                <w:b w:val="0"/>
                <w:color w:val="1D2738"/>
                <w:kern w:val="2"/>
                <w:sz w:val="18"/>
                <w:szCs w:val="21"/>
                <w:lang w:val="en-US" w:eastAsia="zh-CN" w:bidi="ar-SA"/>
              </w:rPr>
              <w:t>IRS</w:t>
            </w:r>
          </w:p>
        </w:tc>
        <w:tc>
          <w:tcPr>
            <w:tcW w:w="1106" w:type="pct"/>
            <w:tcBorders>
              <w:top w:val="single" w:color="C9D5E2" w:sz="4" w:space="0"/>
              <w:left w:val="single" w:color="C9D5E2" w:sz="4" w:space="0"/>
              <w:bottom w:val="single" w:color="C9D5E2" w:sz="4" w:space="0"/>
              <w:right w:val="single" w:color="C9D5E2" w:sz="4" w:space="0"/>
            </w:tcBorders>
            <w:shd w:val="clear" w:color="auto" w:fill="F8FAFD"/>
            <w:vAlign w:val="center"/>
          </w:tcPr>
          <w:p w14:paraId="025CC02D">
            <w:pPr>
              <w:keepNext w:val="0"/>
              <w:keepLines w:val="0"/>
              <w:widowControl/>
              <w:suppressLineNumbers w:val="0"/>
              <w:spacing w:before="0" w:after="0" w:line="240" w:lineRule="auto"/>
              <w:jc w:val="center"/>
              <w:textAlignment w:val="center"/>
              <w:rPr>
                <w:rFonts w:hint="eastAsia" w:asciiTheme="minorHAnsi" w:hAnsiTheme="minorHAnsi" w:eastAsiaTheme="minorEastAsia" w:cstheme="minorBidi"/>
                <w:kern w:val="2"/>
                <w:sz w:val="18"/>
                <w:szCs w:val="21"/>
                <w:lang w:val="en-US" w:eastAsia="zh-CN" w:bidi="ar-SA"/>
              </w:rPr>
            </w:pPr>
            <w:r>
              <w:rPr>
                <w:rFonts w:hint="eastAsia" w:asciiTheme="minorHAnsi" w:hAnsiTheme="minorHAnsi" w:eastAsiaTheme="minorEastAsia" w:cstheme="minorBidi"/>
                <w:b w:val="0"/>
                <w:color w:val="1D2738"/>
                <w:kern w:val="2"/>
                <w:sz w:val="18"/>
                <w:szCs w:val="21"/>
                <w:lang w:val="en-US" w:eastAsia="zh-CN" w:bidi="ar-SA"/>
              </w:rPr>
              <w:t>LEI check digit wrong</w:t>
            </w:r>
          </w:p>
        </w:tc>
        <w:tc>
          <w:tcPr>
            <w:tcW w:w="1720" w:type="pct"/>
            <w:tcBorders>
              <w:top w:val="single" w:color="C9D5E2" w:sz="4" w:space="0"/>
              <w:left w:val="single" w:color="C9D5E2" w:sz="4" w:space="0"/>
              <w:bottom w:val="single" w:color="C9D5E2" w:sz="4" w:space="0"/>
              <w:right w:val="single" w:color="C9D5E2" w:sz="4" w:space="0"/>
            </w:tcBorders>
            <w:shd w:val="clear" w:color="auto" w:fill="F8FAFD"/>
            <w:vAlign w:val="center"/>
          </w:tcPr>
          <w:p w14:paraId="644EBA5E">
            <w:pPr>
              <w:keepNext w:val="0"/>
              <w:keepLines w:val="0"/>
              <w:widowControl/>
              <w:suppressLineNumbers w:val="0"/>
              <w:spacing w:before="0" w:after="0" w:line="240" w:lineRule="auto"/>
              <w:jc w:val="center"/>
              <w:textAlignment w:val="center"/>
              <w:rPr>
                <w:rFonts w:hint="eastAsia" w:asciiTheme="minorHAnsi" w:hAnsiTheme="minorHAnsi" w:eastAsiaTheme="minorEastAsia" w:cstheme="minorBidi"/>
                <w:kern w:val="2"/>
                <w:sz w:val="18"/>
                <w:szCs w:val="21"/>
                <w:lang w:val="en-US" w:eastAsia="zh-CN" w:bidi="ar-SA"/>
              </w:rPr>
            </w:pPr>
            <w:r>
              <w:rPr>
                <w:rFonts w:hint="eastAsia" w:asciiTheme="minorHAnsi" w:hAnsiTheme="minorHAnsi" w:eastAsiaTheme="minorEastAsia" w:cstheme="minorBidi"/>
                <w:b w:val="0"/>
                <w:color w:val="1D2738"/>
                <w:kern w:val="2"/>
                <w:sz w:val="18"/>
                <w:szCs w:val="21"/>
                <w:lang w:val="en-US" w:eastAsia="zh-CN" w:bidi="ar-SA"/>
              </w:rPr>
              <w:t>LEI_CHECK_DIGIT NONCOMPLIANT</w:t>
            </w:r>
          </w:p>
        </w:tc>
      </w:tr>
      <w:tr w14:paraId="4E505C66">
        <w:trPr>
          <w:cantSplit/>
          <w:trHeight w:val="283" w:hRule="atLeast"/>
        </w:trPr>
        <w:tc>
          <w:tcPr>
            <w:tcW w:w="528" w:type="pct"/>
            <w:tcBorders>
              <w:top w:val="single" w:color="C9D5E2" w:sz="4" w:space="0"/>
              <w:left w:val="single" w:color="C9D5E2" w:sz="4" w:space="0"/>
              <w:bottom w:val="single" w:color="C9D5E2" w:sz="4" w:space="0"/>
              <w:right w:val="single" w:color="C9D5E2" w:sz="4" w:space="0"/>
            </w:tcBorders>
            <w:vAlign w:val="center"/>
          </w:tcPr>
          <w:p w14:paraId="49A92FAA">
            <w:pPr>
              <w:keepNext w:val="0"/>
              <w:keepLines w:val="0"/>
              <w:widowControl/>
              <w:suppressLineNumbers w:val="0"/>
              <w:spacing w:before="0" w:after="0" w:line="240" w:lineRule="auto"/>
              <w:jc w:val="center"/>
              <w:textAlignment w:val="center"/>
              <w:rPr>
                <w:rFonts w:hint="eastAsia" w:asciiTheme="minorHAnsi" w:hAnsiTheme="minorHAnsi" w:eastAsiaTheme="minorEastAsia" w:cstheme="minorBidi"/>
                <w:kern w:val="2"/>
                <w:sz w:val="18"/>
                <w:szCs w:val="21"/>
                <w:lang w:val="en-US" w:eastAsia="zh-CN" w:bidi="ar-SA"/>
              </w:rPr>
            </w:pPr>
            <w:r>
              <w:rPr>
                <w:rFonts w:hint="eastAsia" w:asciiTheme="minorHAnsi" w:hAnsiTheme="minorHAnsi" w:eastAsiaTheme="minorEastAsia" w:cstheme="minorBidi"/>
                <w:b w:val="0"/>
                <w:color w:val="1D2738"/>
                <w:kern w:val="2"/>
                <w:sz w:val="18"/>
                <w:szCs w:val="21"/>
                <w:lang w:val="en-US" w:eastAsia="zh-CN" w:bidi="ar-SA"/>
              </w:rPr>
              <w:t>AT005</w:t>
            </w:r>
          </w:p>
        </w:tc>
        <w:tc>
          <w:tcPr>
            <w:tcW w:w="674" w:type="pct"/>
            <w:tcBorders>
              <w:top w:val="single" w:color="C9D5E2" w:sz="4" w:space="0"/>
              <w:left w:val="single" w:color="C9D5E2" w:sz="4" w:space="0"/>
              <w:bottom w:val="single" w:color="C9D5E2" w:sz="4" w:space="0"/>
              <w:right w:val="single" w:color="C9D5E2" w:sz="4" w:space="0"/>
            </w:tcBorders>
            <w:vAlign w:val="center"/>
          </w:tcPr>
          <w:p w14:paraId="4EDBBCE3">
            <w:pPr>
              <w:keepNext w:val="0"/>
              <w:keepLines w:val="0"/>
              <w:widowControl/>
              <w:suppressLineNumbers w:val="0"/>
              <w:spacing w:before="0" w:after="0" w:line="240" w:lineRule="auto"/>
              <w:jc w:val="center"/>
              <w:textAlignment w:val="center"/>
              <w:rPr>
                <w:rFonts w:hint="eastAsia" w:asciiTheme="minorHAnsi" w:hAnsiTheme="minorHAnsi" w:eastAsiaTheme="minorEastAsia" w:cstheme="minorBidi"/>
                <w:kern w:val="2"/>
                <w:sz w:val="18"/>
                <w:szCs w:val="21"/>
                <w:lang w:val="en-US" w:eastAsia="zh-CN" w:bidi="ar-SA"/>
              </w:rPr>
            </w:pPr>
            <w:r>
              <w:rPr>
                <w:rFonts w:hint="eastAsia" w:asciiTheme="minorHAnsi" w:hAnsiTheme="minorHAnsi" w:eastAsiaTheme="minorEastAsia" w:cstheme="minorBidi"/>
                <w:b w:val="0"/>
                <w:color w:val="1D2738"/>
                <w:kern w:val="2"/>
                <w:sz w:val="18"/>
                <w:szCs w:val="21"/>
                <w:lang w:val="en-US" w:eastAsia="zh-CN" w:bidi="ar-SA"/>
              </w:rPr>
              <w:t>Credit</w:t>
            </w:r>
          </w:p>
        </w:tc>
        <w:tc>
          <w:tcPr>
            <w:tcW w:w="972" w:type="pct"/>
            <w:tcBorders>
              <w:top w:val="single" w:color="C9D5E2" w:sz="4" w:space="0"/>
              <w:left w:val="single" w:color="C9D5E2" w:sz="4" w:space="0"/>
              <w:bottom w:val="single" w:color="C9D5E2" w:sz="4" w:space="0"/>
              <w:right w:val="single" w:color="C9D5E2" w:sz="4" w:space="0"/>
            </w:tcBorders>
            <w:vAlign w:val="center"/>
          </w:tcPr>
          <w:p w14:paraId="3200AFAA">
            <w:pPr>
              <w:keepNext w:val="0"/>
              <w:keepLines w:val="0"/>
              <w:widowControl/>
              <w:suppressLineNumbers w:val="0"/>
              <w:spacing w:before="0" w:after="0" w:line="240" w:lineRule="auto"/>
              <w:jc w:val="center"/>
              <w:textAlignment w:val="center"/>
              <w:rPr>
                <w:rFonts w:hint="eastAsia" w:asciiTheme="minorHAnsi" w:hAnsiTheme="minorHAnsi" w:eastAsiaTheme="minorEastAsia" w:cstheme="minorBidi"/>
                <w:kern w:val="2"/>
                <w:sz w:val="18"/>
                <w:szCs w:val="21"/>
                <w:lang w:val="en-US" w:eastAsia="zh-CN" w:bidi="ar-SA"/>
              </w:rPr>
            </w:pPr>
            <w:r>
              <w:rPr>
                <w:rFonts w:hint="eastAsia" w:asciiTheme="minorHAnsi" w:hAnsiTheme="minorHAnsi" w:eastAsiaTheme="minorEastAsia" w:cstheme="minorBidi"/>
                <w:b w:val="0"/>
                <w:color w:val="1D2738"/>
                <w:kern w:val="2"/>
                <w:sz w:val="18"/>
                <w:szCs w:val="21"/>
                <w:lang w:val="en-US" w:eastAsia="zh-CN" w:bidi="ar-SA"/>
              </w:rPr>
              <w:t>Index (MAS)</w:t>
            </w:r>
          </w:p>
        </w:tc>
        <w:tc>
          <w:tcPr>
            <w:tcW w:w="1106" w:type="pct"/>
            <w:tcBorders>
              <w:top w:val="single" w:color="C9D5E2" w:sz="4" w:space="0"/>
              <w:left w:val="single" w:color="C9D5E2" w:sz="4" w:space="0"/>
              <w:bottom w:val="single" w:color="C9D5E2" w:sz="4" w:space="0"/>
              <w:right w:val="single" w:color="C9D5E2" w:sz="4" w:space="0"/>
            </w:tcBorders>
            <w:vAlign w:val="center"/>
          </w:tcPr>
          <w:p w14:paraId="3678FFC6">
            <w:pPr>
              <w:keepNext w:val="0"/>
              <w:keepLines w:val="0"/>
              <w:widowControl/>
              <w:suppressLineNumbers w:val="0"/>
              <w:spacing w:before="0" w:after="0" w:line="240" w:lineRule="auto"/>
              <w:jc w:val="center"/>
              <w:textAlignment w:val="center"/>
              <w:rPr>
                <w:rFonts w:hint="eastAsia" w:asciiTheme="minorHAnsi" w:hAnsiTheme="minorHAnsi" w:eastAsiaTheme="minorEastAsia" w:cstheme="minorBidi"/>
                <w:kern w:val="2"/>
                <w:sz w:val="18"/>
                <w:szCs w:val="21"/>
                <w:lang w:val="en-US" w:eastAsia="zh-CN" w:bidi="ar-SA"/>
              </w:rPr>
            </w:pPr>
            <w:r>
              <w:rPr>
                <w:rFonts w:hint="eastAsia" w:asciiTheme="minorHAnsi" w:hAnsiTheme="minorHAnsi" w:eastAsiaTheme="minorEastAsia" w:cstheme="minorBidi"/>
                <w:b w:val="0"/>
                <w:color w:val="1D2738"/>
                <w:kern w:val="2"/>
                <w:sz w:val="18"/>
                <w:szCs w:val="21"/>
                <w:lang w:val="en-US" w:eastAsia="zh-CN" w:bidi="ar-SA"/>
              </w:rPr>
              <w:t>3x null margin</w:t>
            </w:r>
          </w:p>
        </w:tc>
        <w:tc>
          <w:tcPr>
            <w:tcW w:w="1720" w:type="pct"/>
            <w:tcBorders>
              <w:top w:val="single" w:color="C9D5E2" w:sz="4" w:space="0"/>
              <w:left w:val="single" w:color="C9D5E2" w:sz="4" w:space="0"/>
              <w:bottom w:val="single" w:color="C9D5E2" w:sz="4" w:space="0"/>
              <w:right w:val="single" w:color="C9D5E2" w:sz="4" w:space="0"/>
            </w:tcBorders>
            <w:vAlign w:val="center"/>
          </w:tcPr>
          <w:p w14:paraId="6E30F5E2">
            <w:pPr>
              <w:keepNext w:val="0"/>
              <w:keepLines w:val="0"/>
              <w:widowControl/>
              <w:suppressLineNumbers w:val="0"/>
              <w:spacing w:before="0" w:after="0" w:line="240" w:lineRule="auto"/>
              <w:jc w:val="center"/>
              <w:textAlignment w:val="center"/>
              <w:rPr>
                <w:rFonts w:hint="eastAsia" w:asciiTheme="minorHAnsi" w:hAnsiTheme="minorHAnsi" w:eastAsiaTheme="minorEastAsia" w:cstheme="minorBidi"/>
                <w:kern w:val="2"/>
                <w:sz w:val="18"/>
                <w:szCs w:val="21"/>
                <w:lang w:val="en-US" w:eastAsia="zh-CN" w:bidi="ar-SA"/>
              </w:rPr>
            </w:pPr>
            <w:r>
              <w:rPr>
                <w:rFonts w:hint="eastAsia" w:asciiTheme="minorHAnsi" w:hAnsiTheme="minorHAnsi" w:eastAsiaTheme="minorEastAsia" w:cstheme="minorBidi"/>
                <w:b w:val="0"/>
                <w:color w:val="1D2738"/>
                <w:kern w:val="2"/>
                <w:sz w:val="18"/>
                <w:szCs w:val="21"/>
                <w:lang w:val="en-US" w:eastAsia="zh-CN" w:bidi="ar-SA"/>
              </w:rPr>
              <w:t>EMIR_NULL_MARGIN NONCOMPLIANT</w:t>
            </w:r>
          </w:p>
        </w:tc>
      </w:tr>
    </w:tbl>
    <w:p w14:paraId="2965136A">
      <w:pPr>
        <w:pStyle w:val="3"/>
        <w:keepNext w:val="0"/>
        <w:keepLines w:val="0"/>
        <w:spacing w:before="0" w:after="120" w:line="259" w:lineRule="auto"/>
        <w:jc w:val="left"/>
        <w:rPr>
          <w:rFonts w:hint="eastAsia" w:eastAsiaTheme="minorEastAsia"/>
          <w:lang w:eastAsia="zh-CN"/>
        </w:rPr>
      </w:pPr>
      <w:r>
        <w:rPr>
          <w:rFonts w:hint="eastAsia" w:ascii="Times New Roman" w:hAnsi="Times New Roman" w:eastAsia="Times New Roman"/>
          <w:color w:val="1D2738"/>
          <w:sz w:val="22"/>
          <w:lang w:eastAsia="zh-CN"/>
        </w:rPr>
        <w:t>AT004 and AT005 are deliberately constructed to test LEI check-digit validation and second-regime null-margin detection respectively.</w:t>
      </w:r>
    </w:p>
    <w:p w14:paraId="35D975DA">
      <w:pPr>
        <w:sectPr>
          <w:footerReference r:id="rId5" w:type="default"/>
          <w:pgSz w:w="11906" w:h="16838"/>
          <w:pgMar w:top="1134" w:right="964" w:bottom="850" w:left="964" w:header="851" w:footer="992" w:gutter="0"/>
          <w:pgBorders>
            <w:top w:val="none" w:sz="0" w:space="0"/>
            <w:left w:val="none" w:sz="0" w:space="0"/>
            <w:bottom w:val="none" w:sz="0" w:space="0"/>
            <w:right w:val="none" w:sz="0" w:space="0"/>
          </w:pgBorders>
          <w:cols w:space="425" w:num="1"/>
          <w:docGrid w:type="lines" w:linePitch="312" w:charSpace="0"/>
        </w:sectPr>
      </w:pPr>
    </w:p>
    <w:p w14:paraId="6C0A1FEE">
      <w:pPr>
        <w:pBdr>
          <w:bottom w:val="single" w:color="0D2554" w:sz="10" w:space="6"/>
        </w:pBdr>
        <w:spacing w:before="0" w:after="80" w:line="240" w:lineRule="auto"/>
        <w:jc w:val="left"/>
      </w:pPr>
      <w:r>
        <w:rPr>
          <w:rFonts w:ascii="Georgia" w:hAnsi="Georgia" w:eastAsia="Georgia"/>
          <w:b/>
          <w:color w:val="0D2554"/>
          <w:sz w:val="32"/>
        </w:rPr>
        <w:t>Appendix C: Proposed EventContract Schema</w:t>
      </w:r>
    </w:p>
    <w:p w14:paraId="63178BBC">
      <w:pPr>
        <w:spacing w:before="0" w:after="100" w:line="240" w:lineRule="auto"/>
        <w:jc w:val="left"/>
      </w:pPr>
      <w:r>
        <w:rPr>
          <w:rFonts w:ascii="Times New Roman" w:hAnsi="Times New Roman" w:eastAsia="Times New Roman"/>
          <w:b w:val="0"/>
          <w:color w:val="1D2738"/>
          <w:sz w:val="20"/>
        </w:rPr>
        <w:t>This appendix summarises the event-specific fields used by the proposed EventContract design and reproduces the full implementation JSON schema in readable technical form.</w:t>
      </w:r>
    </w:p>
    <w:tbl>
      <w:tblPr>
        <w:tblStyle w:val="5"/>
        <w:tblW w:w="14256"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4400"/>
        <w:gridCol w:w="9856"/>
      </w:tblGrid>
      <w:tr w14:paraId="54CDD639">
        <w:tc>
          <w:tcPr>
            <w:tcW w:w="4400" w:type="dxa"/>
            <w:vAlign w:val="center"/>
          </w:tcPr>
          <w:p w14:paraId="696E6927">
            <w:pPr>
              <w:spacing w:before="0" w:after="80" w:line="240" w:lineRule="auto"/>
              <w:jc w:val="left"/>
            </w:pPr>
            <w:r>
              <w:rPr>
                <w:rFonts w:ascii="Georgia" w:hAnsi="Georgia" w:eastAsia="Georgia"/>
                <w:b/>
                <w:color w:val="0D2554"/>
                <w:sz w:val="23"/>
              </w:rPr>
              <w:t>C1. Schema field overview</w:t>
            </w:r>
          </w:p>
          <w:tbl>
            <w:tblPr>
              <w:tblStyle w:val="5"/>
              <w:tblW w:w="4320" w:type="dxa"/>
              <w:tblInd w:w="0" w:type="dxa"/>
              <w:tblBorders>
                <w:top w:val="single" w:color="D8E1EE" w:sz="4" w:space="0"/>
                <w:left w:val="single" w:color="D8E1EE" w:sz="4" w:space="0"/>
                <w:bottom w:val="single" w:color="D8E1EE" w:sz="4" w:space="0"/>
                <w:right w:val="single" w:color="D8E1EE" w:sz="4" w:space="0"/>
                <w:insideH w:val="single" w:color="D8E1EE" w:sz="4" w:space="0"/>
                <w:insideV w:val="single" w:color="D8E1EE" w:sz="4" w:space="0"/>
              </w:tblBorders>
              <w:tblLayout w:type="fixed"/>
              <w:tblCellMar>
                <w:top w:w="45" w:type="dxa"/>
                <w:left w:w="65" w:type="dxa"/>
                <w:bottom w:w="45" w:type="dxa"/>
                <w:right w:w="65" w:type="dxa"/>
              </w:tblCellMar>
            </w:tblPr>
            <w:tblGrid>
              <w:gridCol w:w="1280"/>
              <w:gridCol w:w="480"/>
              <w:gridCol w:w="2560"/>
            </w:tblGrid>
            <w:tr w14:paraId="7B6BC810">
              <w:tc>
                <w:tcPr>
                  <w:tcW w:w="1280" w:type="dxa"/>
                  <w:shd w:val="clear" w:color="auto" w:fill="0D2554"/>
                  <w:vAlign w:val="center"/>
                </w:tcPr>
                <w:p w14:paraId="34F59343">
                  <w:pPr>
                    <w:spacing w:before="0" w:after="0" w:line="240" w:lineRule="auto"/>
                    <w:jc w:val="left"/>
                  </w:pPr>
                  <w:r>
                    <w:rPr>
                      <w:rFonts w:ascii="Georgia" w:hAnsi="Georgia" w:eastAsia="Georgia"/>
                      <w:b/>
                      <w:color w:val="FFFFFF"/>
                      <w:sz w:val="15"/>
                    </w:rPr>
                    <w:t>Field</w:t>
                  </w:r>
                </w:p>
              </w:tc>
              <w:tc>
                <w:tcPr>
                  <w:tcW w:w="480" w:type="dxa"/>
                  <w:shd w:val="clear" w:color="auto" w:fill="0D2554"/>
                  <w:vAlign w:val="center"/>
                </w:tcPr>
                <w:p w14:paraId="542F4D37">
                  <w:pPr>
                    <w:spacing w:before="0" w:after="0" w:line="240" w:lineRule="auto"/>
                    <w:jc w:val="left"/>
                  </w:pPr>
                  <w:r>
                    <w:rPr>
                      <w:rFonts w:ascii="Georgia" w:hAnsi="Georgia" w:eastAsia="Georgia"/>
                      <w:b/>
                      <w:color w:val="FFFFFF"/>
                      <w:sz w:val="15"/>
                    </w:rPr>
                    <w:t>Req.</w:t>
                  </w:r>
                </w:p>
              </w:tc>
              <w:tc>
                <w:tcPr>
                  <w:tcW w:w="2560" w:type="dxa"/>
                  <w:shd w:val="clear" w:color="auto" w:fill="0D2554"/>
                  <w:vAlign w:val="center"/>
                </w:tcPr>
                <w:p w14:paraId="01B5A15C">
                  <w:pPr>
                    <w:spacing w:before="0" w:after="0" w:line="240" w:lineRule="auto"/>
                    <w:jc w:val="left"/>
                  </w:pPr>
                  <w:r>
                    <w:rPr>
                      <w:rFonts w:ascii="Georgia" w:hAnsi="Georgia" w:eastAsia="Georgia"/>
                      <w:b/>
                      <w:color w:val="FFFFFF"/>
                      <w:sz w:val="15"/>
                    </w:rPr>
                    <w:t>Purpose</w:t>
                  </w:r>
                </w:p>
              </w:tc>
            </w:tr>
            <w:tr w14:paraId="370F0216">
              <w:tc>
                <w:tcPr>
                  <w:tcW w:w="1280" w:type="dxa"/>
                </w:tcPr>
                <w:p w14:paraId="7F4FC621">
                  <w:pPr>
                    <w:spacing w:before="0" w:after="0" w:line="240" w:lineRule="auto"/>
                    <w:jc w:val="left"/>
                  </w:pPr>
                  <w:r>
                    <w:rPr>
                      <w:rFonts w:ascii="Times New Roman" w:hAnsi="Times New Roman" w:eastAsia="Times New Roman"/>
                      <w:b w:val="0"/>
                      <w:color w:val="1D2738"/>
                      <w:sz w:val="14"/>
                    </w:rPr>
                    <w:t>EventCategory</w:t>
                  </w:r>
                </w:p>
              </w:tc>
              <w:tc>
                <w:tcPr>
                  <w:tcW w:w="480" w:type="dxa"/>
                </w:tcPr>
                <w:p w14:paraId="38153F05">
                  <w:pPr>
                    <w:spacing w:before="0" w:after="0" w:line="240" w:lineRule="auto"/>
                    <w:jc w:val="left"/>
                  </w:pPr>
                  <w:r>
                    <w:rPr>
                      <w:rFonts w:ascii="Times New Roman" w:hAnsi="Times New Roman" w:eastAsia="Times New Roman"/>
                      <w:b w:val="0"/>
                      <w:color w:val="1D2738"/>
                      <w:sz w:val="14"/>
                    </w:rPr>
                    <w:t>Yes</w:t>
                  </w:r>
                </w:p>
              </w:tc>
              <w:tc>
                <w:tcPr>
                  <w:tcW w:w="2560" w:type="dxa"/>
                </w:tcPr>
                <w:p w14:paraId="1CB5B8F6">
                  <w:pPr>
                    <w:spacing w:before="0" w:after="0" w:line="240" w:lineRule="auto"/>
                    <w:jc w:val="left"/>
                  </w:pPr>
                  <w:r>
                    <w:rPr>
                      <w:rFonts w:ascii="Times New Roman" w:hAnsi="Times New Roman" w:eastAsia="Times New Roman"/>
                      <w:b w:val="0"/>
                      <w:color w:val="1D2738"/>
                      <w:sz w:val="14"/>
                    </w:rPr>
                    <w:t>Classifies political, macro, regulatory, weather, litigation, or other event types.</w:t>
                  </w:r>
                </w:p>
              </w:tc>
            </w:tr>
            <w:tr w14:paraId="580744E7">
              <w:tc>
                <w:tcPr>
                  <w:tcW w:w="1280" w:type="dxa"/>
                  <w:shd w:val="clear" w:color="auto" w:fill="F3F6FB"/>
                </w:tcPr>
                <w:p w14:paraId="52C9EAF8">
                  <w:pPr>
                    <w:spacing w:before="0" w:after="0" w:line="240" w:lineRule="auto"/>
                    <w:jc w:val="left"/>
                  </w:pPr>
                  <w:r>
                    <w:rPr>
                      <w:rFonts w:ascii="Times New Roman" w:hAnsi="Times New Roman" w:eastAsia="Times New Roman"/>
                      <w:b w:val="0"/>
                      <w:color w:val="1D2738"/>
                      <w:sz w:val="14"/>
                    </w:rPr>
                    <w:t>ReferenceEntity</w:t>
                  </w:r>
                </w:p>
              </w:tc>
              <w:tc>
                <w:tcPr>
                  <w:tcW w:w="480" w:type="dxa"/>
                  <w:shd w:val="clear" w:color="auto" w:fill="F3F6FB"/>
                </w:tcPr>
                <w:p w14:paraId="600E6B43">
                  <w:pPr>
                    <w:spacing w:before="0" w:after="0" w:line="240" w:lineRule="auto"/>
                    <w:jc w:val="left"/>
                  </w:pPr>
                  <w:r>
                    <w:rPr>
                      <w:rFonts w:ascii="Times New Roman" w:hAnsi="Times New Roman" w:eastAsia="Times New Roman"/>
                      <w:b w:val="0"/>
                      <w:color w:val="1D2738"/>
                      <w:sz w:val="14"/>
                    </w:rPr>
                    <w:t>Yes</w:t>
                  </w:r>
                </w:p>
              </w:tc>
              <w:tc>
                <w:tcPr>
                  <w:tcW w:w="2560" w:type="dxa"/>
                  <w:shd w:val="clear" w:color="auto" w:fill="F3F6FB"/>
                </w:tcPr>
                <w:p w14:paraId="11042919">
                  <w:pPr>
                    <w:spacing w:before="0" w:after="0" w:line="240" w:lineRule="auto"/>
                    <w:jc w:val="left"/>
                  </w:pPr>
                  <w:r>
                    <w:rPr>
                      <w:rFonts w:ascii="Times New Roman" w:hAnsi="Times New Roman" w:eastAsia="Times New Roman"/>
                      <w:b w:val="0"/>
                      <w:color w:val="1D2738"/>
                      <w:sz w:val="14"/>
                    </w:rPr>
                    <w:t>Identifies the official body, index, court, regulator, or source resolving the event.</w:t>
                  </w:r>
                </w:p>
              </w:tc>
            </w:tr>
            <w:tr w14:paraId="7293DC83">
              <w:tc>
                <w:tcPr>
                  <w:tcW w:w="1280" w:type="dxa"/>
                </w:tcPr>
                <w:p w14:paraId="5A88B295">
                  <w:pPr>
                    <w:spacing w:before="0" w:after="0" w:line="240" w:lineRule="auto"/>
                    <w:jc w:val="left"/>
                  </w:pPr>
                  <w:r>
                    <w:rPr>
                      <w:rFonts w:ascii="Times New Roman" w:hAnsi="Times New Roman" w:eastAsia="Times New Roman"/>
                      <w:b w:val="0"/>
                      <w:color w:val="1D2738"/>
                      <w:sz w:val="14"/>
                    </w:rPr>
                    <w:t>EventJurisdiction</w:t>
                  </w:r>
                </w:p>
              </w:tc>
              <w:tc>
                <w:tcPr>
                  <w:tcW w:w="480" w:type="dxa"/>
                </w:tcPr>
                <w:p w14:paraId="027DB75A">
                  <w:pPr>
                    <w:spacing w:before="0" w:after="0" w:line="240" w:lineRule="auto"/>
                    <w:jc w:val="left"/>
                  </w:pPr>
                  <w:r>
                    <w:rPr>
                      <w:rFonts w:ascii="Times New Roman" w:hAnsi="Times New Roman" w:eastAsia="Times New Roman"/>
                      <w:b w:val="0"/>
                      <w:color w:val="1D2738"/>
                      <w:sz w:val="14"/>
                    </w:rPr>
                    <w:t>Yes</w:t>
                  </w:r>
                </w:p>
              </w:tc>
              <w:tc>
                <w:tcPr>
                  <w:tcW w:w="2560" w:type="dxa"/>
                </w:tcPr>
                <w:p w14:paraId="7344EDCF">
                  <w:pPr>
                    <w:spacing w:before="0" w:after="0" w:line="240" w:lineRule="auto"/>
                    <w:jc w:val="left"/>
                  </w:pPr>
                  <w:r>
                    <w:rPr>
                      <w:rFonts w:ascii="Times New Roman" w:hAnsi="Times New Roman" w:eastAsia="Times New Roman"/>
                      <w:b w:val="0"/>
                      <w:color w:val="1D2738"/>
                      <w:sz w:val="14"/>
                    </w:rPr>
                    <w:t>Records the jurisdiction where the event is determined.</w:t>
                  </w:r>
                </w:p>
              </w:tc>
            </w:tr>
            <w:tr w14:paraId="067C8100">
              <w:tc>
                <w:tcPr>
                  <w:tcW w:w="1280" w:type="dxa"/>
                  <w:shd w:val="clear" w:color="auto" w:fill="F3F6FB"/>
                </w:tcPr>
                <w:p w14:paraId="6A4FBFFC">
                  <w:pPr>
                    <w:spacing w:before="0" w:after="0" w:line="240" w:lineRule="auto"/>
                    <w:jc w:val="left"/>
                  </w:pPr>
                  <w:r>
                    <w:rPr>
                      <w:rFonts w:ascii="Times New Roman" w:hAnsi="Times New Roman" w:eastAsia="Times New Roman"/>
                      <w:b w:val="0"/>
                      <w:color w:val="1D2738"/>
                      <w:sz w:val="14"/>
                    </w:rPr>
                    <w:t>EventDate</w:t>
                  </w:r>
                </w:p>
              </w:tc>
              <w:tc>
                <w:tcPr>
                  <w:tcW w:w="480" w:type="dxa"/>
                  <w:shd w:val="clear" w:color="auto" w:fill="F3F6FB"/>
                </w:tcPr>
                <w:p w14:paraId="49940DE9">
                  <w:pPr>
                    <w:spacing w:before="0" w:after="0" w:line="240" w:lineRule="auto"/>
                    <w:jc w:val="left"/>
                  </w:pPr>
                  <w:r>
                    <w:rPr>
                      <w:rFonts w:ascii="Times New Roman" w:hAnsi="Times New Roman" w:eastAsia="Times New Roman"/>
                      <w:b w:val="0"/>
                      <w:color w:val="1D2738"/>
                      <w:sz w:val="14"/>
                    </w:rPr>
                    <w:t>Yes</w:t>
                  </w:r>
                </w:p>
              </w:tc>
              <w:tc>
                <w:tcPr>
                  <w:tcW w:w="2560" w:type="dxa"/>
                  <w:shd w:val="clear" w:color="auto" w:fill="F3F6FB"/>
                </w:tcPr>
                <w:p w14:paraId="2F4C2122">
                  <w:pPr>
                    <w:spacing w:before="0" w:after="0" w:line="240" w:lineRule="auto"/>
                    <w:jc w:val="left"/>
                  </w:pPr>
                  <w:r>
                    <w:rPr>
                      <w:rFonts w:ascii="Times New Roman" w:hAnsi="Times New Roman" w:eastAsia="Times New Roman"/>
                      <w:b w:val="0"/>
                      <w:color w:val="1D2738"/>
                      <w:sz w:val="14"/>
                    </w:rPr>
                    <w:t>Records the event determination date.</w:t>
                  </w:r>
                </w:p>
              </w:tc>
            </w:tr>
            <w:tr w14:paraId="4CF174F9">
              <w:tc>
                <w:tcPr>
                  <w:tcW w:w="1280" w:type="dxa"/>
                </w:tcPr>
                <w:p w14:paraId="5EF74DA9">
                  <w:pPr>
                    <w:spacing w:before="0" w:after="0" w:line="240" w:lineRule="auto"/>
                    <w:jc w:val="left"/>
                  </w:pPr>
                  <w:r>
                    <w:rPr>
                      <w:rFonts w:ascii="Times New Roman" w:hAnsi="Times New Roman" w:eastAsia="Times New Roman"/>
                      <w:b w:val="0"/>
                      <w:color w:val="1D2738"/>
                      <w:sz w:val="14"/>
                    </w:rPr>
                    <w:t>ResolutionSource</w:t>
                  </w:r>
                </w:p>
              </w:tc>
              <w:tc>
                <w:tcPr>
                  <w:tcW w:w="480" w:type="dxa"/>
                </w:tcPr>
                <w:p w14:paraId="1FC7B98F">
                  <w:pPr>
                    <w:spacing w:before="0" w:after="0" w:line="240" w:lineRule="auto"/>
                    <w:jc w:val="left"/>
                  </w:pPr>
                  <w:r>
                    <w:rPr>
                      <w:rFonts w:ascii="Times New Roman" w:hAnsi="Times New Roman" w:eastAsia="Times New Roman"/>
                      <w:b w:val="0"/>
                      <w:color w:val="1D2738"/>
                      <w:sz w:val="14"/>
                    </w:rPr>
                    <w:t>Yes</w:t>
                  </w:r>
                </w:p>
              </w:tc>
              <w:tc>
                <w:tcPr>
                  <w:tcW w:w="2560" w:type="dxa"/>
                </w:tcPr>
                <w:p w14:paraId="7EF97439">
                  <w:pPr>
                    <w:spacing w:before="0" w:after="0" w:line="240" w:lineRule="auto"/>
                    <w:jc w:val="left"/>
                  </w:pPr>
                  <w:r>
                    <w:rPr>
                      <w:rFonts w:ascii="Times New Roman" w:hAnsi="Times New Roman" w:eastAsia="Times New Roman"/>
                      <w:b w:val="0"/>
                      <w:color w:val="1D2738"/>
                      <w:sz w:val="14"/>
                    </w:rPr>
                    <w:t>Defines the authoritative source used for settlement.</w:t>
                  </w:r>
                </w:p>
              </w:tc>
            </w:tr>
            <w:tr w14:paraId="1091889A">
              <w:tc>
                <w:tcPr>
                  <w:tcW w:w="1280" w:type="dxa"/>
                  <w:shd w:val="clear" w:color="auto" w:fill="F3F6FB"/>
                </w:tcPr>
                <w:p w14:paraId="2593C968">
                  <w:pPr>
                    <w:spacing w:before="0" w:after="0" w:line="240" w:lineRule="auto"/>
                    <w:jc w:val="left"/>
                  </w:pPr>
                  <w:r>
                    <w:rPr>
                      <w:rFonts w:ascii="Times New Roman" w:hAnsi="Times New Roman" w:eastAsia="Times New Roman"/>
                      <w:b w:val="0"/>
                      <w:color w:val="1D2738"/>
                      <w:sz w:val="14"/>
                    </w:rPr>
                    <w:t>PayoutType</w:t>
                  </w:r>
                </w:p>
              </w:tc>
              <w:tc>
                <w:tcPr>
                  <w:tcW w:w="480" w:type="dxa"/>
                  <w:shd w:val="clear" w:color="auto" w:fill="F3F6FB"/>
                </w:tcPr>
                <w:p w14:paraId="5FC0709A">
                  <w:pPr>
                    <w:spacing w:before="0" w:after="0" w:line="240" w:lineRule="auto"/>
                    <w:jc w:val="left"/>
                  </w:pPr>
                  <w:r>
                    <w:rPr>
                      <w:rFonts w:ascii="Times New Roman" w:hAnsi="Times New Roman" w:eastAsia="Times New Roman"/>
                      <w:b w:val="0"/>
                      <w:color w:val="1D2738"/>
                      <w:sz w:val="14"/>
                    </w:rPr>
                    <w:t>Yes</w:t>
                  </w:r>
                </w:p>
              </w:tc>
              <w:tc>
                <w:tcPr>
                  <w:tcW w:w="2560" w:type="dxa"/>
                  <w:shd w:val="clear" w:color="auto" w:fill="F3F6FB"/>
                </w:tcPr>
                <w:p w14:paraId="45EAFECA">
                  <w:pPr>
                    <w:spacing w:before="0" w:after="0" w:line="240" w:lineRule="auto"/>
                    <w:jc w:val="left"/>
                  </w:pPr>
                  <w:r>
                    <w:rPr>
                      <w:rFonts w:ascii="Times New Roman" w:hAnsi="Times New Roman" w:eastAsia="Times New Roman"/>
                      <w:b w:val="0"/>
                      <w:color w:val="1D2738"/>
                      <w:sz w:val="14"/>
                    </w:rPr>
                    <w:t>Captures binary, scalar, capped, floored, or multi-outcome payoff.</w:t>
                  </w:r>
                </w:p>
              </w:tc>
            </w:tr>
            <w:tr w14:paraId="3309CFB5">
              <w:tc>
                <w:tcPr>
                  <w:tcW w:w="1280" w:type="dxa"/>
                </w:tcPr>
                <w:p w14:paraId="68504DBF">
                  <w:pPr>
                    <w:spacing w:before="0" w:after="0" w:line="240" w:lineRule="auto"/>
                    <w:jc w:val="left"/>
                  </w:pPr>
                  <w:r>
                    <w:rPr>
                      <w:rFonts w:ascii="Times New Roman" w:hAnsi="Times New Roman" w:eastAsia="Times New Roman"/>
                      <w:b w:val="0"/>
                      <w:color w:val="1D2738"/>
                      <w:sz w:val="14"/>
                    </w:rPr>
                    <w:t>SettlementCurrency</w:t>
                  </w:r>
                </w:p>
              </w:tc>
              <w:tc>
                <w:tcPr>
                  <w:tcW w:w="480" w:type="dxa"/>
                </w:tcPr>
                <w:p w14:paraId="74157378">
                  <w:pPr>
                    <w:spacing w:before="0" w:after="0" w:line="240" w:lineRule="auto"/>
                    <w:jc w:val="left"/>
                  </w:pPr>
                  <w:r>
                    <w:rPr>
                      <w:rFonts w:ascii="Times New Roman" w:hAnsi="Times New Roman" w:eastAsia="Times New Roman"/>
                      <w:b w:val="0"/>
                      <w:color w:val="1D2738"/>
                      <w:sz w:val="14"/>
                    </w:rPr>
                    <w:t>Yes</w:t>
                  </w:r>
                </w:p>
              </w:tc>
              <w:tc>
                <w:tcPr>
                  <w:tcW w:w="2560" w:type="dxa"/>
                </w:tcPr>
                <w:p w14:paraId="0A05A304">
                  <w:pPr>
                    <w:spacing w:before="0" w:after="0" w:line="240" w:lineRule="auto"/>
                    <w:jc w:val="left"/>
                  </w:pPr>
                  <w:r>
                    <w:rPr>
                      <w:rFonts w:ascii="Times New Roman" w:hAnsi="Times New Roman" w:eastAsia="Times New Roman"/>
                      <w:b w:val="0"/>
                      <w:color w:val="1D2738"/>
                      <w:sz w:val="14"/>
                    </w:rPr>
                    <w:t>Captures fiat or stablecoin settlement and flags non-ISO identifiers.</w:t>
                  </w:r>
                </w:p>
              </w:tc>
            </w:tr>
            <w:tr w14:paraId="4F70CEC8">
              <w:tc>
                <w:tcPr>
                  <w:tcW w:w="1280" w:type="dxa"/>
                  <w:shd w:val="clear" w:color="auto" w:fill="F3F6FB"/>
                </w:tcPr>
                <w:p w14:paraId="2C60B721">
                  <w:pPr>
                    <w:spacing w:before="0" w:after="0" w:line="240" w:lineRule="auto"/>
                    <w:jc w:val="left"/>
                  </w:pPr>
                  <w:r>
                    <w:rPr>
                      <w:rFonts w:ascii="Times New Roman" w:hAnsi="Times New Roman" w:eastAsia="Times New Roman"/>
                      <w:b w:val="0"/>
                      <w:color w:val="1D2738"/>
                      <w:sz w:val="14"/>
                    </w:rPr>
                    <w:t>PlatformType</w:t>
                  </w:r>
                </w:p>
              </w:tc>
              <w:tc>
                <w:tcPr>
                  <w:tcW w:w="480" w:type="dxa"/>
                  <w:shd w:val="clear" w:color="auto" w:fill="F3F6FB"/>
                </w:tcPr>
                <w:p w14:paraId="0FE68D8F">
                  <w:pPr>
                    <w:spacing w:before="0" w:after="0" w:line="240" w:lineRule="auto"/>
                    <w:jc w:val="left"/>
                  </w:pPr>
                  <w:r>
                    <w:rPr>
                      <w:rFonts w:ascii="Times New Roman" w:hAnsi="Times New Roman" w:eastAsia="Times New Roman"/>
                      <w:b w:val="0"/>
                      <w:color w:val="1D2738"/>
                      <w:sz w:val="14"/>
                    </w:rPr>
                    <w:t>Yes</w:t>
                  </w:r>
                </w:p>
              </w:tc>
              <w:tc>
                <w:tcPr>
                  <w:tcW w:w="2560" w:type="dxa"/>
                  <w:shd w:val="clear" w:color="auto" w:fill="F3F6FB"/>
                </w:tcPr>
                <w:p w14:paraId="31691EE3">
                  <w:pPr>
                    <w:spacing w:before="0" w:after="0" w:line="240" w:lineRule="auto"/>
                    <w:jc w:val="left"/>
                  </w:pPr>
                  <w:r>
                    <w:rPr>
                      <w:rFonts w:ascii="Times New Roman" w:hAnsi="Times New Roman" w:eastAsia="Times New Roman"/>
                      <w:b w:val="0"/>
                      <w:color w:val="1D2738"/>
                      <w:sz w:val="14"/>
                    </w:rPr>
                    <w:t>Distinguishes CFTC DCM, offshore exchange, decentralised protocol, bilateral OTC, or other venues.</w:t>
                  </w:r>
                </w:p>
              </w:tc>
            </w:tr>
            <w:tr w14:paraId="055BB75D">
              <w:tc>
                <w:tcPr>
                  <w:tcW w:w="1280" w:type="dxa"/>
                </w:tcPr>
                <w:p w14:paraId="110E0A84">
                  <w:pPr>
                    <w:spacing w:before="0" w:after="0" w:line="240" w:lineRule="auto"/>
                    <w:jc w:val="left"/>
                  </w:pPr>
                  <w:r>
                    <w:rPr>
                      <w:rFonts w:ascii="Times New Roman" w:hAnsi="Times New Roman" w:eastAsia="Times New Roman"/>
                      <w:b w:val="0"/>
                      <w:color w:val="1D2738"/>
                      <w:sz w:val="14"/>
                    </w:rPr>
                    <w:t>RegulatoryStatus</w:t>
                  </w:r>
                </w:p>
              </w:tc>
              <w:tc>
                <w:tcPr>
                  <w:tcW w:w="480" w:type="dxa"/>
                </w:tcPr>
                <w:p w14:paraId="64F9AB08">
                  <w:pPr>
                    <w:spacing w:before="0" w:after="0" w:line="240" w:lineRule="auto"/>
                    <w:jc w:val="left"/>
                  </w:pPr>
                  <w:r>
                    <w:rPr>
                      <w:rFonts w:ascii="Times New Roman" w:hAnsi="Times New Roman" w:eastAsia="Times New Roman"/>
                      <w:b w:val="0"/>
                      <w:color w:val="1D2738"/>
                      <w:sz w:val="14"/>
                    </w:rPr>
                    <w:t>Yes</w:t>
                  </w:r>
                </w:p>
              </w:tc>
              <w:tc>
                <w:tcPr>
                  <w:tcW w:w="2560" w:type="dxa"/>
                </w:tcPr>
                <w:p w14:paraId="1DEA4102">
                  <w:pPr>
                    <w:spacing w:before="0" w:after="0" w:line="240" w:lineRule="auto"/>
                    <w:jc w:val="left"/>
                  </w:pPr>
                  <w:r>
                    <w:rPr>
                      <w:rFonts w:ascii="Times New Roman" w:hAnsi="Times New Roman" w:eastAsia="Times New Roman"/>
                      <w:b w:val="0"/>
                      <w:color w:val="1D2738"/>
                      <w:sz w:val="14"/>
                    </w:rPr>
                    <w:t>Records approved, conditional, prohibited, not applicable, or uncertain status.</w:t>
                  </w:r>
                </w:p>
              </w:tc>
            </w:tr>
          </w:tbl>
          <w:p w14:paraId="76D939CF"/>
          <w:p w14:paraId="70581228">
            <w:pPr>
              <w:shd w:val="clear" w:color="auto" w:fill="F3F6FB"/>
              <w:spacing w:before="0" w:after="0" w:line="240" w:lineRule="auto"/>
              <w:jc w:val="left"/>
            </w:pPr>
            <w:r>
              <w:rPr>
                <w:rFonts w:ascii="Georgia" w:hAnsi="Georgia" w:eastAsia="Georgia"/>
                <w:b w:val="0"/>
                <w:color w:val="0D2554"/>
                <w:sz w:val="16"/>
              </w:rPr>
              <w:t>Design note: The overview keeps the written report readable; the complete JSON continues on the next page in two compact code columns.</w:t>
            </w:r>
          </w:p>
        </w:tc>
        <w:tc>
          <w:tcPr>
            <w:tcW w:w="9856" w:type="dxa"/>
            <w:vAlign w:val="center"/>
          </w:tcPr>
          <w:p w14:paraId="1BD2F9D7">
            <w:pPr>
              <w:spacing w:before="0" w:after="80" w:line="240" w:lineRule="auto"/>
              <w:jc w:val="left"/>
            </w:pPr>
            <w:r>
              <w:rPr>
                <w:rFonts w:ascii="Georgia" w:hAnsi="Georgia" w:eastAsia="Georgia"/>
                <w:b/>
                <w:color w:val="0D2554"/>
                <w:sz w:val="23"/>
              </w:rPr>
              <w:t>C2.1 Full JSON schema — part 1 of 2</w:t>
            </w:r>
          </w:p>
          <w:tbl>
            <w:tblPr>
              <w:tblStyle w:val="5"/>
              <w:tblW w:w="9700" w:type="dxa"/>
              <w:tblInd w:w="0" w:type="dxa"/>
              <w:tblBorders>
                <w:top w:val="single" w:color="D8E1EE" w:sz="4" w:space="0"/>
                <w:left w:val="single" w:color="D8E1EE" w:sz="4" w:space="0"/>
                <w:bottom w:val="single" w:color="D8E1EE" w:sz="4" w:space="0"/>
                <w:right w:val="single" w:color="D8E1EE" w:sz="4" w:space="0"/>
                <w:insideH w:val="single" w:color="D8E1EE" w:sz="4" w:space="0"/>
                <w:insideV w:val="single" w:color="D8E1EE" w:sz="4" w:space="0"/>
              </w:tblBorders>
              <w:tblLayout w:type="fixed"/>
              <w:tblCellMar>
                <w:top w:w="36" w:type="dxa"/>
                <w:left w:w="48" w:type="dxa"/>
                <w:bottom w:w="36" w:type="dxa"/>
                <w:right w:w="48" w:type="dxa"/>
              </w:tblCellMar>
            </w:tblPr>
            <w:tblGrid>
              <w:gridCol w:w="9700"/>
            </w:tblGrid>
            <w:tr w14:paraId="5DC3025B">
              <w:tc>
                <w:tcPr>
                  <w:tcW w:w="9700" w:type="dxa"/>
                  <w:shd w:val="clear" w:color="auto" w:fill="F4F5F7"/>
                  <w:vAlign w:val="center"/>
                </w:tcPr>
                <w:p w14:paraId="11BAE2FB">
                  <w:pPr>
                    <w:spacing w:after="0" w:line="168" w:lineRule="auto"/>
                  </w:pPr>
                  <w:r>
                    <w:rPr>
                      <w:rFonts w:ascii="Consolas" w:hAnsi="Consolas" w:eastAsia="Consolas"/>
                      <w:b w:val="0"/>
                      <w:color w:val="1D2738"/>
                      <w:sz w:val="11"/>
                    </w:rPr>
                    <w:t>{</w:t>
                  </w:r>
                  <w:r>
                    <w:rPr>
                      <w:rFonts w:ascii="Consolas" w:hAnsi="Consolas" w:eastAsia="Consolas"/>
                      <w:b w:val="0"/>
                      <w:color w:val="1D2738"/>
                      <w:sz w:val="11"/>
                    </w:rPr>
                    <w:br w:type="textWrapping"/>
                  </w:r>
                  <w:r>
                    <w:rPr>
                      <w:rFonts w:ascii="Consolas" w:hAnsi="Consolas" w:eastAsia="Consolas"/>
                      <w:b w:val="0"/>
                      <w:color w:val="1D2738"/>
                      <w:sz w:val="11"/>
                    </w:rPr>
                    <w:t xml:space="preserve">  "TemplateVersion": "1.0",</w:t>
                  </w:r>
                  <w:r>
                    <w:rPr>
                      <w:rFonts w:ascii="Consolas" w:hAnsi="Consolas" w:eastAsia="Consolas"/>
                      <w:b w:val="0"/>
                      <w:color w:val="1D2738"/>
                      <w:sz w:val="11"/>
                    </w:rPr>
                    <w:br w:type="textWrapping"/>
                  </w:r>
                  <w:r>
                    <w:rPr>
                      <w:rFonts w:ascii="Consolas" w:hAnsi="Consolas" w:eastAsia="Consolas"/>
                      <w:b w:val="0"/>
                      <w:color w:val="1D2738"/>
                      <w:sz w:val="11"/>
                    </w:rPr>
                    <w:t xml:space="preserve">  "Header": {</w:t>
                  </w:r>
                  <w:r>
                    <w:rPr>
                      <w:rFonts w:ascii="Consolas" w:hAnsi="Consolas" w:eastAsia="Consolas"/>
                      <w:b w:val="0"/>
                      <w:color w:val="1D2738"/>
                      <w:sz w:val="11"/>
                    </w:rPr>
                    <w:br w:type="textWrapping"/>
                  </w:r>
                  <w:r>
                    <w:rPr>
                      <w:rFonts w:ascii="Consolas" w:hAnsi="Consolas" w:eastAsia="Consolas"/>
                      <w:b w:val="0"/>
                      <w:color w:val="1D2738"/>
                      <w:sz w:val="11"/>
                    </w:rPr>
                    <w:t xml:space="preserve">    "AssetClass": "EventContract",</w:t>
                  </w:r>
                  <w:r>
                    <w:rPr>
                      <w:rFonts w:ascii="Consolas" w:hAnsi="Consolas" w:eastAsia="Consolas"/>
                      <w:b w:val="0"/>
                      <w:color w:val="1D2738"/>
                      <w:sz w:val="11"/>
                    </w:rPr>
                    <w:br w:type="textWrapping"/>
                  </w:r>
                  <w:r>
                    <w:rPr>
                      <w:rFonts w:ascii="Consolas" w:hAnsi="Consolas" w:eastAsia="Consolas"/>
                      <w:b w:val="0"/>
                      <w:color w:val="1D2738"/>
                      <w:sz w:val="11"/>
                    </w:rPr>
                    <w:t xml:space="preserve">    "InstrumentType": "BinaryContract",</w:t>
                  </w:r>
                  <w:r>
                    <w:rPr>
                      <w:rFonts w:ascii="Consolas" w:hAnsi="Consolas" w:eastAsia="Consolas"/>
                      <w:b w:val="0"/>
                      <w:color w:val="1D2738"/>
                      <w:sz w:val="11"/>
                    </w:rPr>
                    <w:br w:type="textWrapping"/>
                  </w:r>
                  <w:r>
                    <w:rPr>
                      <w:rFonts w:ascii="Consolas" w:hAnsi="Consolas" w:eastAsia="Consolas"/>
                      <w:b w:val="0"/>
                      <w:color w:val="1D2738"/>
                      <w:sz w:val="11"/>
                    </w:rPr>
                    <w:t xml:space="preserve">    "UseCase": "PoliticalOutcome",</w:t>
                  </w:r>
                  <w:r>
                    <w:rPr>
                      <w:rFonts w:ascii="Consolas" w:hAnsi="Consolas" w:eastAsia="Consolas"/>
                      <w:b w:val="0"/>
                      <w:color w:val="1D2738"/>
                      <w:sz w:val="11"/>
                    </w:rPr>
                    <w:br w:type="textWrapping"/>
                  </w:r>
                  <w:r>
                    <w:rPr>
                      <w:rFonts w:ascii="Consolas" w:hAnsi="Consolas" w:eastAsia="Consolas"/>
                      <w:b w:val="0"/>
                      <w:color w:val="1D2738"/>
                      <w:sz w:val="11"/>
                    </w:rPr>
                    <w:t xml:space="preserve">    "Level": "Unique Product Identifier (UPI)",</w:t>
                  </w:r>
                  <w:r>
                    <w:rPr>
                      <w:rFonts w:ascii="Consolas" w:hAnsi="Consolas" w:eastAsia="Consolas"/>
                      <w:b w:val="0"/>
                      <w:color w:val="1D2738"/>
                      <w:sz w:val="11"/>
                    </w:rPr>
                    <w:br w:type="textWrapping"/>
                  </w:r>
                  <w:r>
                    <w:rPr>
                      <w:rFonts w:ascii="Consolas" w:hAnsi="Consolas" w:eastAsia="Consolas"/>
                      <w:b w:val="0"/>
                      <w:color w:val="1D2738"/>
                      <w:sz w:val="11"/>
                    </w:rPr>
                    <w:t xml:space="preserve">    "Identifier": {</w:t>
                  </w:r>
                  <w:r>
                    <w:rPr>
                      <w:rFonts w:ascii="Consolas" w:hAnsi="Consolas" w:eastAsia="Consolas"/>
                      <w:b w:val="0"/>
                      <w:color w:val="1D2738"/>
                      <w:sz w:val="11"/>
                    </w:rPr>
                    <w:br w:type="textWrapping"/>
                  </w:r>
                  <w:r>
                    <w:rPr>
                      <w:rFonts w:ascii="Consolas" w:hAnsi="Consolas" w:eastAsia="Consolas"/>
                      <w:b w:val="0"/>
                      <w:color w:val="1D2738"/>
                      <w:sz w:val="11"/>
                    </w:rPr>
                    <w:t xml:space="preserve">      "UPI": "PENDING_ISSUANCE"</w:t>
                  </w:r>
                  <w:r>
                    <w:rPr>
                      <w:rFonts w:ascii="Consolas" w:hAnsi="Consolas" w:eastAsia="Consolas"/>
                      <w:b w:val="0"/>
                      <w:color w:val="1D2738"/>
                      <w:sz w:val="11"/>
                    </w:rPr>
                    <w:br w:type="textWrapping"/>
                  </w:r>
                  <w:r>
                    <w:rPr>
                      <w:rFonts w:ascii="Consolas" w:hAnsi="Consolas" w:eastAsia="Consolas"/>
                      <w:b w:val="0"/>
                      <w:color w:val="1D2738"/>
                      <w:sz w:val="11"/>
                    </w:rPr>
                    <w:t xml:space="preserve">    },</w:t>
                  </w:r>
                  <w:r>
                    <w:rPr>
                      <w:rFonts w:ascii="Consolas" w:hAnsi="Consolas" w:eastAsia="Consolas"/>
                      <w:b w:val="0"/>
                      <w:color w:val="1D2738"/>
                      <w:sz w:val="11"/>
                    </w:rPr>
                    <w:br w:type="textWrapping"/>
                  </w:r>
                  <w:r>
                    <w:rPr>
                      <w:rFonts w:ascii="Consolas" w:hAnsi="Consolas" w:eastAsia="Consolas"/>
                      <w:b w:val="0"/>
                      <w:color w:val="1D2738"/>
                      <w:sz w:val="11"/>
                    </w:rPr>
                    <w:t xml:space="preserve">    "Status": "PROPOSED",</w:t>
                  </w:r>
                  <w:r>
                    <w:rPr>
                      <w:rFonts w:ascii="Consolas" w:hAnsi="Consolas" w:eastAsia="Consolas"/>
                      <w:b w:val="0"/>
                      <w:color w:val="1D2738"/>
                      <w:sz w:val="11"/>
                    </w:rPr>
                    <w:br w:type="textWrapping"/>
                  </w:r>
                  <w:r>
                    <w:rPr>
                      <w:rFonts w:ascii="Consolas" w:hAnsi="Consolas" w:eastAsia="Consolas"/>
                      <w:b w:val="0"/>
                      <w:color w:val="1D2738"/>
                      <w:sz w:val="11"/>
                    </w:rPr>
                    <w:t xml:space="preserve">    "LastUpdateDateTime": "2026-05-11T00:00:00Z"</w:t>
                  </w:r>
                  <w:r>
                    <w:rPr>
                      <w:rFonts w:ascii="Consolas" w:hAnsi="Consolas" w:eastAsia="Consolas"/>
                      <w:b w:val="0"/>
                      <w:color w:val="1D2738"/>
                      <w:sz w:val="11"/>
                    </w:rPr>
                    <w:br w:type="textWrapping"/>
                  </w:r>
                  <w:r>
                    <w:rPr>
                      <w:rFonts w:ascii="Consolas" w:hAnsi="Consolas" w:eastAsia="Consolas"/>
                      <w:b w:val="0"/>
                      <w:color w:val="1D2738"/>
                      <w:sz w:val="11"/>
                    </w:rPr>
                    <w:t xml:space="preserve">  },</w:t>
                  </w:r>
                  <w:r>
                    <w:rPr>
                      <w:rFonts w:ascii="Consolas" w:hAnsi="Consolas" w:eastAsia="Consolas"/>
                      <w:b w:val="0"/>
                      <w:color w:val="1D2738"/>
                      <w:sz w:val="11"/>
                    </w:rPr>
                    <w:br w:type="textWrapping"/>
                  </w:r>
                  <w:r>
                    <w:rPr>
                      <w:rFonts w:ascii="Consolas" w:hAnsi="Consolas" w:eastAsia="Consolas"/>
                      <w:b w:val="0"/>
                      <w:color w:val="1D2738"/>
                      <w:sz w:val="11"/>
                    </w:rPr>
                    <w:t xml:space="preserve">  "Attributes": {</w:t>
                  </w:r>
                  <w:r>
                    <w:rPr>
                      <w:rFonts w:ascii="Consolas" w:hAnsi="Consolas" w:eastAsia="Consolas"/>
                      <w:b w:val="0"/>
                      <w:color w:val="1D2738"/>
                      <w:sz w:val="11"/>
                    </w:rPr>
                    <w:br w:type="textWrapping"/>
                  </w:r>
                  <w:r>
                    <w:rPr>
                      <w:rFonts w:ascii="Consolas" w:hAnsi="Consolas" w:eastAsia="Consolas"/>
                      <w:b w:val="0"/>
                      <w:color w:val="1D2738"/>
                      <w:sz w:val="11"/>
                    </w:rPr>
                    <w:t xml:space="preserve">    "EventCategory": {</w:t>
                  </w:r>
                  <w:r>
                    <w:rPr>
                      <w:rFonts w:ascii="Consolas" w:hAnsi="Consolas" w:eastAsia="Consolas"/>
                      <w:b w:val="0"/>
                      <w:color w:val="1D2738"/>
                      <w:sz w:val="11"/>
                    </w:rPr>
                    <w:br w:type="textWrapping"/>
                  </w:r>
                  <w:r>
                    <w:rPr>
                      <w:rFonts w:ascii="Consolas" w:hAnsi="Consolas" w:eastAsia="Consolas"/>
                      <w:b w:val="0"/>
                      <w:color w:val="1D2738"/>
                      <w:sz w:val="11"/>
                    </w:rPr>
                    <w:t xml:space="preserve">      "Description": "Category of the reference event that determines settlement",</w:t>
                  </w:r>
                  <w:r>
                    <w:rPr>
                      <w:rFonts w:ascii="Consolas" w:hAnsi="Consolas" w:eastAsia="Consolas"/>
                      <w:b w:val="0"/>
                      <w:color w:val="1D2738"/>
                      <w:sz w:val="11"/>
                    </w:rPr>
                    <w:br w:type="textWrapping"/>
                  </w:r>
                  <w:r>
                    <w:rPr>
                      <w:rFonts w:ascii="Consolas" w:hAnsi="Consolas" w:eastAsia="Consolas"/>
                      <w:b w:val="0"/>
                      <w:color w:val="1D2738"/>
                      <w:sz w:val="11"/>
                    </w:rPr>
                    <w:t xml:space="preserve">      "AllowedValues": [</w:t>
                  </w:r>
                  <w:r>
                    <w:rPr>
                      <w:rFonts w:ascii="Consolas" w:hAnsi="Consolas" w:eastAsia="Consolas"/>
                      <w:b w:val="0"/>
                      <w:color w:val="1D2738"/>
                      <w:sz w:val="11"/>
                    </w:rPr>
                    <w:br w:type="textWrapping"/>
                  </w:r>
                  <w:r>
                    <w:rPr>
                      <w:rFonts w:ascii="Consolas" w:hAnsi="Consolas" w:eastAsia="Consolas"/>
                      <w:b w:val="0"/>
                      <w:color w:val="1D2738"/>
                      <w:sz w:val="11"/>
                    </w:rPr>
                    <w:t xml:space="preserve">        "PoliticalOutcome",</w:t>
                  </w:r>
                  <w:r>
                    <w:rPr>
                      <w:rFonts w:ascii="Consolas" w:hAnsi="Consolas" w:eastAsia="Consolas"/>
                      <w:b w:val="0"/>
                      <w:color w:val="1D2738"/>
                      <w:sz w:val="11"/>
                    </w:rPr>
                    <w:br w:type="textWrapping"/>
                  </w:r>
                  <w:r>
                    <w:rPr>
                      <w:rFonts w:ascii="Consolas" w:hAnsi="Consolas" w:eastAsia="Consolas"/>
                      <w:b w:val="0"/>
                      <w:color w:val="1D2738"/>
                      <w:sz w:val="11"/>
                    </w:rPr>
                    <w:t xml:space="preserve">        "MacroeconomicIndicator",</w:t>
                  </w:r>
                  <w:r>
                    <w:rPr>
                      <w:rFonts w:ascii="Consolas" w:hAnsi="Consolas" w:eastAsia="Consolas"/>
                      <w:b w:val="0"/>
                      <w:color w:val="1D2738"/>
                      <w:sz w:val="11"/>
                    </w:rPr>
                    <w:br w:type="textWrapping"/>
                  </w:r>
                  <w:r>
                    <w:rPr>
                      <w:rFonts w:ascii="Consolas" w:hAnsi="Consolas" w:eastAsia="Consolas"/>
                      <w:b w:val="0"/>
                      <w:color w:val="1D2738"/>
                      <w:sz w:val="11"/>
                    </w:rPr>
                    <w:t xml:space="preserve">        "RegulatoryDecision",</w:t>
                  </w:r>
                  <w:r>
                    <w:rPr>
                      <w:rFonts w:ascii="Consolas" w:hAnsi="Consolas" w:eastAsia="Consolas"/>
                      <w:b w:val="0"/>
                      <w:color w:val="1D2738"/>
                      <w:sz w:val="11"/>
                    </w:rPr>
                    <w:br w:type="textWrapping"/>
                  </w:r>
                  <w:r>
                    <w:rPr>
                      <w:rFonts w:ascii="Consolas" w:hAnsi="Consolas" w:eastAsia="Consolas"/>
                      <w:b w:val="0"/>
                      <w:color w:val="1D2738"/>
                      <w:sz w:val="11"/>
                    </w:rPr>
                    <w:t xml:space="preserve">        "WeatherOrClimate",</w:t>
                  </w:r>
                  <w:r>
                    <w:rPr>
                      <w:rFonts w:ascii="Consolas" w:hAnsi="Consolas" w:eastAsia="Consolas"/>
                      <w:b w:val="0"/>
                      <w:color w:val="1D2738"/>
                      <w:sz w:val="11"/>
                    </w:rPr>
                    <w:br w:type="textWrapping"/>
                  </w:r>
                  <w:r>
                    <w:rPr>
                      <w:rFonts w:ascii="Consolas" w:hAnsi="Consolas" w:eastAsia="Consolas"/>
                      <w:b w:val="0"/>
                      <w:color w:val="1D2738"/>
                      <w:sz w:val="11"/>
                    </w:rPr>
                    <w:t xml:space="preserve">        "CorporateAction",</w:t>
                  </w:r>
                  <w:r>
                    <w:rPr>
                      <w:rFonts w:ascii="Consolas" w:hAnsi="Consolas" w:eastAsia="Consolas"/>
                      <w:b w:val="0"/>
                      <w:color w:val="1D2738"/>
                      <w:sz w:val="11"/>
                    </w:rPr>
                    <w:br w:type="textWrapping"/>
                  </w:r>
                  <w:r>
                    <w:rPr>
                      <w:rFonts w:ascii="Consolas" w:hAnsi="Consolas" w:eastAsia="Consolas"/>
                      <w:b w:val="0"/>
                      <w:color w:val="1D2738"/>
                      <w:sz w:val="11"/>
                    </w:rPr>
                    <w:t xml:space="preserve">        "LitigationOutcome",</w:t>
                  </w:r>
                  <w:r>
                    <w:rPr>
                      <w:rFonts w:ascii="Consolas" w:hAnsi="Consolas" w:eastAsia="Consolas"/>
                      <w:b w:val="0"/>
                      <w:color w:val="1D2738"/>
                      <w:sz w:val="11"/>
                    </w:rPr>
                    <w:br w:type="textWrapping"/>
                  </w:r>
                  <w:r>
                    <w:rPr>
                      <w:rFonts w:ascii="Consolas" w:hAnsi="Consolas" w:eastAsia="Consolas"/>
                      <w:b w:val="0"/>
                      <w:color w:val="1D2738"/>
                      <w:sz w:val="11"/>
                    </w:rPr>
                    <w:t xml:space="preserve">        "Other"</w:t>
                  </w:r>
                  <w:r>
                    <w:rPr>
                      <w:rFonts w:ascii="Consolas" w:hAnsi="Consolas" w:eastAsia="Consolas"/>
                      <w:b w:val="0"/>
                      <w:color w:val="1D2738"/>
                      <w:sz w:val="11"/>
                    </w:rPr>
                    <w:br w:type="textWrapping"/>
                  </w:r>
                  <w:r>
                    <w:rPr>
                      <w:rFonts w:ascii="Consolas" w:hAnsi="Consolas" w:eastAsia="Consolas"/>
                      <w:b w:val="0"/>
                      <w:color w:val="1D2738"/>
                      <w:sz w:val="11"/>
                    </w:rPr>
                    <w:t xml:space="preserve">      ],</w:t>
                  </w:r>
                  <w:r>
                    <w:rPr>
                      <w:rFonts w:ascii="Consolas" w:hAnsi="Consolas" w:eastAsia="Consolas"/>
                      <w:b w:val="0"/>
                      <w:color w:val="1D2738"/>
                      <w:sz w:val="11"/>
                    </w:rPr>
                    <w:br w:type="textWrapping"/>
                  </w:r>
                  <w:r>
                    <w:rPr>
                      <w:rFonts w:ascii="Consolas" w:hAnsi="Consolas" w:eastAsia="Consolas"/>
                      <w:b w:val="0"/>
                      <w:color w:val="1D2738"/>
                      <w:sz w:val="11"/>
                    </w:rPr>
                    <w:t xml:space="preserve">      "Required": true</w:t>
                  </w:r>
                  <w:r>
                    <w:rPr>
                      <w:rFonts w:ascii="Consolas" w:hAnsi="Consolas" w:eastAsia="Consolas"/>
                      <w:b w:val="0"/>
                      <w:color w:val="1D2738"/>
                      <w:sz w:val="11"/>
                    </w:rPr>
                    <w:br w:type="textWrapping"/>
                  </w:r>
                  <w:r>
                    <w:rPr>
                      <w:rFonts w:ascii="Consolas" w:hAnsi="Consolas" w:eastAsia="Consolas"/>
                      <w:b w:val="0"/>
                      <w:color w:val="1D2738"/>
                      <w:sz w:val="11"/>
                    </w:rPr>
                    <w:t xml:space="preserve">    },</w:t>
                  </w:r>
                </w:p>
              </w:tc>
            </w:tr>
          </w:tbl>
          <w:p w14:paraId="38ECFAD3"/>
        </w:tc>
      </w:tr>
    </w:tbl>
    <w:p w14:paraId="3F1225D8">
      <w:pPr>
        <w:spacing w:before="0" w:after="80" w:line="240" w:lineRule="auto"/>
        <w:jc w:val="left"/>
      </w:pPr>
      <w:r>
        <w:rPr>
          <w:rFonts w:ascii="Georgia" w:hAnsi="Georgia" w:eastAsia="Georgia"/>
          <w:b/>
          <w:color w:val="0D2554"/>
          <w:sz w:val="24"/>
        </w:rPr>
        <w:t>C2.2 Full JSON schema — continued</w:t>
      </w:r>
    </w:p>
    <w:tbl>
      <w:tblPr>
        <w:tblStyle w:val="5"/>
        <w:tblW w:w="14256"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7068"/>
        <w:gridCol w:w="7188"/>
      </w:tblGrid>
      <w:tr w14:paraId="71968457">
        <w:tc>
          <w:tcPr>
            <w:tcW w:w="7068" w:type="dxa"/>
            <w:vAlign w:val="center"/>
          </w:tcPr>
          <w:p w14:paraId="053BA002"/>
          <w:tbl>
            <w:tblPr>
              <w:tblStyle w:val="5"/>
              <w:tblW w:w="6940" w:type="dxa"/>
              <w:tblInd w:w="0" w:type="dxa"/>
              <w:tblBorders>
                <w:top w:val="single" w:color="D8E1EE" w:sz="4" w:space="0"/>
                <w:left w:val="single" w:color="D8E1EE" w:sz="4" w:space="0"/>
                <w:bottom w:val="single" w:color="D8E1EE" w:sz="4" w:space="0"/>
                <w:right w:val="single" w:color="D8E1EE" w:sz="4" w:space="0"/>
                <w:insideH w:val="single" w:color="D8E1EE" w:sz="4" w:space="0"/>
                <w:insideV w:val="single" w:color="D8E1EE" w:sz="4" w:space="0"/>
              </w:tblBorders>
              <w:tblLayout w:type="fixed"/>
              <w:tblCellMar>
                <w:top w:w="36" w:type="dxa"/>
                <w:left w:w="48" w:type="dxa"/>
                <w:bottom w:w="36" w:type="dxa"/>
                <w:right w:w="48" w:type="dxa"/>
              </w:tblCellMar>
            </w:tblPr>
            <w:tblGrid>
              <w:gridCol w:w="6940"/>
            </w:tblGrid>
            <w:tr w14:paraId="4ACE0EB6">
              <w:tc>
                <w:tcPr>
                  <w:tcW w:w="6940" w:type="dxa"/>
                  <w:shd w:val="clear" w:color="auto" w:fill="F4F5F7"/>
                  <w:vAlign w:val="center"/>
                </w:tcPr>
                <w:p w14:paraId="049EA13F">
                  <w:pPr>
                    <w:spacing w:after="0" w:line="168" w:lineRule="auto"/>
                  </w:pPr>
                  <w:r>
                    <w:rPr>
                      <w:rFonts w:ascii="Consolas" w:hAnsi="Consolas" w:eastAsia="Consolas"/>
                      <w:b w:val="0"/>
                      <w:color w:val="1D2738"/>
                      <w:sz w:val="10"/>
                    </w:rPr>
                    <w:t xml:space="preserve">    "ReferenceEntity": {</w:t>
                  </w:r>
                  <w:r>
                    <w:rPr>
                      <w:rFonts w:ascii="Consolas" w:hAnsi="Consolas" w:eastAsia="Consolas"/>
                      <w:b w:val="0"/>
                      <w:color w:val="1D2738"/>
                      <w:sz w:val="10"/>
                    </w:rPr>
                    <w:br w:type="textWrapping"/>
                  </w:r>
                  <w:r>
                    <w:rPr>
                      <w:rFonts w:ascii="Consolas" w:hAnsi="Consolas" w:eastAsia="Consolas"/>
                      <w:b w:val="0"/>
                      <w:color w:val="1D2738"/>
                      <w:sz w:val="10"/>
                    </w:rPr>
                    <w:t xml:space="preserve">      "Description": "Body or index whose decision or outcome defines the event",</w:t>
                  </w:r>
                  <w:r>
                    <w:rPr>
                      <w:rFonts w:ascii="Consolas" w:hAnsi="Consolas" w:eastAsia="Consolas"/>
                      <w:b w:val="0"/>
                      <w:color w:val="1D2738"/>
                      <w:sz w:val="10"/>
                    </w:rPr>
                    <w:br w:type="textWrapping"/>
                  </w:r>
                  <w:r>
                    <w:rPr>
                      <w:rFonts w:ascii="Consolas" w:hAnsi="Consolas" w:eastAsia="Consolas"/>
                      <w:b w:val="0"/>
                      <w:color w:val="1D2738"/>
                      <w:sz w:val="10"/>
                    </w:rPr>
                    <w:t xml:space="preserve">      "Example": "German Federal Election Commission | US Bureau of Labor Statistics | ESMA",</w:t>
                  </w:r>
                  <w:r>
                    <w:rPr>
                      <w:rFonts w:ascii="Consolas" w:hAnsi="Consolas" w:eastAsia="Consolas"/>
                      <w:b w:val="0"/>
                      <w:color w:val="1D2738"/>
                      <w:sz w:val="10"/>
                    </w:rPr>
                    <w:br w:type="textWrapping"/>
                  </w:r>
                  <w:r>
                    <w:rPr>
                      <w:rFonts w:ascii="Consolas" w:hAnsi="Consolas" w:eastAsia="Consolas"/>
                      <w:b w:val="0"/>
                      <w:color w:val="1D2738"/>
                      <w:sz w:val="10"/>
                    </w:rPr>
                    <w:t xml:space="preserve">      "Required": true</w:t>
                  </w:r>
                  <w:r>
                    <w:rPr>
                      <w:rFonts w:ascii="Consolas" w:hAnsi="Consolas" w:eastAsia="Consolas"/>
                      <w:b w:val="0"/>
                      <w:color w:val="1D2738"/>
                      <w:sz w:val="10"/>
                    </w:rPr>
                    <w:br w:type="textWrapping"/>
                  </w:r>
                  <w:r>
                    <w:rPr>
                      <w:rFonts w:ascii="Consolas" w:hAnsi="Consolas" w:eastAsia="Consolas"/>
                      <w:b w:val="0"/>
                      <w:color w:val="1D2738"/>
                      <w:sz w:val="10"/>
                    </w:rPr>
                    <w:t xml:space="preserve">    },</w:t>
                  </w:r>
                  <w:r>
                    <w:rPr>
                      <w:rFonts w:ascii="Consolas" w:hAnsi="Consolas" w:eastAsia="Consolas"/>
                      <w:b w:val="0"/>
                      <w:color w:val="1D2738"/>
                      <w:sz w:val="10"/>
                    </w:rPr>
                    <w:br w:type="textWrapping"/>
                  </w:r>
                  <w:r>
                    <w:rPr>
                      <w:rFonts w:ascii="Consolas" w:hAnsi="Consolas" w:eastAsia="Consolas"/>
                      <w:b w:val="0"/>
                      <w:color w:val="1D2738"/>
                      <w:sz w:val="10"/>
                    </w:rPr>
                    <w:t xml:space="preserve">    "EventJurisdiction": {</w:t>
                  </w:r>
                  <w:r>
                    <w:rPr>
                      <w:rFonts w:ascii="Consolas" w:hAnsi="Consolas" w:eastAsia="Consolas"/>
                      <w:b w:val="0"/>
                      <w:color w:val="1D2738"/>
                      <w:sz w:val="10"/>
                    </w:rPr>
                    <w:br w:type="textWrapping"/>
                  </w:r>
                  <w:r>
                    <w:rPr>
                      <w:rFonts w:ascii="Consolas" w:hAnsi="Consolas" w:eastAsia="Consolas"/>
                      <w:b w:val="0"/>
                      <w:color w:val="1D2738"/>
                      <w:sz w:val="10"/>
                    </w:rPr>
                    <w:t xml:space="preserve">      "Description": "ISO 3166-1 alpha-2 country code of the primary jurisdiction",</w:t>
                  </w:r>
                  <w:r>
                    <w:rPr>
                      <w:rFonts w:ascii="Consolas" w:hAnsi="Consolas" w:eastAsia="Consolas"/>
                      <w:b w:val="0"/>
                      <w:color w:val="1D2738"/>
                      <w:sz w:val="10"/>
                    </w:rPr>
                    <w:br w:type="textWrapping"/>
                  </w:r>
                  <w:r>
                    <w:rPr>
                      <w:rFonts w:ascii="Consolas" w:hAnsi="Consolas" w:eastAsia="Consolas"/>
                      <w:b w:val="0"/>
                      <w:color w:val="1D2738"/>
                      <w:sz w:val="10"/>
                    </w:rPr>
                    <w:t xml:space="preserve">      "Example": "DE | US | EU",</w:t>
                  </w:r>
                  <w:r>
                    <w:rPr>
                      <w:rFonts w:ascii="Consolas" w:hAnsi="Consolas" w:eastAsia="Consolas"/>
                      <w:b w:val="0"/>
                      <w:color w:val="1D2738"/>
                      <w:sz w:val="10"/>
                    </w:rPr>
                    <w:br w:type="textWrapping"/>
                  </w:r>
                  <w:r>
                    <w:rPr>
                      <w:rFonts w:ascii="Consolas" w:hAnsi="Consolas" w:eastAsia="Consolas"/>
                      <w:b w:val="0"/>
                      <w:color w:val="1D2738"/>
                      <w:sz w:val="10"/>
                    </w:rPr>
                    <w:t xml:space="preserve">      "Required": true</w:t>
                  </w:r>
                  <w:r>
                    <w:rPr>
                      <w:rFonts w:ascii="Consolas" w:hAnsi="Consolas" w:eastAsia="Consolas"/>
                      <w:b w:val="0"/>
                      <w:color w:val="1D2738"/>
                      <w:sz w:val="10"/>
                    </w:rPr>
                    <w:br w:type="textWrapping"/>
                  </w:r>
                  <w:r>
                    <w:rPr>
                      <w:rFonts w:ascii="Consolas" w:hAnsi="Consolas" w:eastAsia="Consolas"/>
                      <w:b w:val="0"/>
                      <w:color w:val="1D2738"/>
                      <w:sz w:val="10"/>
                    </w:rPr>
                    <w:t xml:space="preserve">    },</w:t>
                  </w:r>
                  <w:r>
                    <w:rPr>
                      <w:rFonts w:ascii="Consolas" w:hAnsi="Consolas" w:eastAsia="Consolas"/>
                      <w:b w:val="0"/>
                      <w:color w:val="1D2738"/>
                      <w:sz w:val="10"/>
                    </w:rPr>
                    <w:br w:type="textWrapping"/>
                  </w:r>
                  <w:r>
                    <w:rPr>
                      <w:rFonts w:ascii="Consolas" w:hAnsi="Consolas" w:eastAsia="Consolas"/>
                      <w:b w:val="0"/>
                      <w:color w:val="1D2738"/>
                      <w:sz w:val="10"/>
                    </w:rPr>
                    <w:t xml:space="preserve">    "EventDate": {</w:t>
                  </w:r>
                  <w:r>
                    <w:rPr>
                      <w:rFonts w:ascii="Consolas" w:hAnsi="Consolas" w:eastAsia="Consolas"/>
                      <w:b w:val="0"/>
                      <w:color w:val="1D2738"/>
                      <w:sz w:val="10"/>
                    </w:rPr>
                    <w:br w:type="textWrapping"/>
                  </w:r>
                  <w:r>
                    <w:rPr>
                      <w:rFonts w:ascii="Consolas" w:hAnsi="Consolas" w:eastAsia="Consolas"/>
                      <w:b w:val="0"/>
                      <w:color w:val="1D2738"/>
                      <w:sz w:val="10"/>
                    </w:rPr>
                    <w:t xml:space="preserve">      "Description": "Expected event determination date in ISO 8601 format",</w:t>
                  </w:r>
                  <w:r>
                    <w:rPr>
                      <w:rFonts w:ascii="Consolas" w:hAnsi="Consolas" w:eastAsia="Consolas"/>
                      <w:b w:val="0"/>
                      <w:color w:val="1D2738"/>
                      <w:sz w:val="10"/>
                    </w:rPr>
                    <w:br w:type="textWrapping"/>
                  </w:r>
                  <w:r>
                    <w:rPr>
                      <w:rFonts w:ascii="Consolas" w:hAnsi="Consolas" w:eastAsia="Consolas"/>
                      <w:b w:val="0"/>
                      <w:color w:val="1D2738"/>
                      <w:sz w:val="10"/>
                    </w:rPr>
                    <w:t xml:space="preserve">      "Example": "2025-09-28",</w:t>
                  </w:r>
                  <w:r>
                    <w:rPr>
                      <w:rFonts w:ascii="Consolas" w:hAnsi="Consolas" w:eastAsia="Consolas"/>
                      <w:b w:val="0"/>
                      <w:color w:val="1D2738"/>
                      <w:sz w:val="10"/>
                    </w:rPr>
                    <w:br w:type="textWrapping"/>
                  </w:r>
                  <w:r>
                    <w:rPr>
                      <w:rFonts w:ascii="Consolas" w:hAnsi="Consolas" w:eastAsia="Consolas"/>
                      <w:b w:val="0"/>
                      <w:color w:val="1D2738"/>
                      <w:sz w:val="10"/>
                    </w:rPr>
                    <w:t xml:space="preserve">      "Required": true</w:t>
                  </w:r>
                  <w:r>
                    <w:rPr>
                      <w:rFonts w:ascii="Consolas" w:hAnsi="Consolas" w:eastAsia="Consolas"/>
                      <w:b w:val="0"/>
                      <w:color w:val="1D2738"/>
                      <w:sz w:val="10"/>
                    </w:rPr>
                    <w:br w:type="textWrapping"/>
                  </w:r>
                  <w:r>
                    <w:rPr>
                      <w:rFonts w:ascii="Consolas" w:hAnsi="Consolas" w:eastAsia="Consolas"/>
                      <w:b w:val="0"/>
                      <w:color w:val="1D2738"/>
                      <w:sz w:val="10"/>
                    </w:rPr>
                    <w:t xml:space="preserve">    },</w:t>
                  </w:r>
                  <w:r>
                    <w:rPr>
                      <w:rFonts w:ascii="Consolas" w:hAnsi="Consolas" w:eastAsia="Consolas"/>
                      <w:b w:val="0"/>
                      <w:color w:val="1D2738"/>
                      <w:sz w:val="10"/>
                    </w:rPr>
                    <w:br w:type="textWrapping"/>
                  </w:r>
                  <w:r>
                    <w:rPr>
                      <w:rFonts w:ascii="Consolas" w:hAnsi="Consolas" w:eastAsia="Consolas"/>
                      <w:b w:val="0"/>
                      <w:color w:val="1D2738"/>
                      <w:sz w:val="10"/>
                    </w:rPr>
                    <w:t xml:space="preserve">    "ResolutionSource": {</w:t>
                  </w:r>
                  <w:r>
                    <w:rPr>
                      <w:rFonts w:ascii="Consolas" w:hAnsi="Consolas" w:eastAsia="Consolas"/>
                      <w:b w:val="0"/>
                      <w:color w:val="1D2738"/>
                      <w:sz w:val="10"/>
                    </w:rPr>
                    <w:br w:type="textWrapping"/>
                  </w:r>
                  <w:r>
                    <w:rPr>
                      <w:rFonts w:ascii="Consolas" w:hAnsi="Consolas" w:eastAsia="Consolas"/>
                      <w:b w:val="0"/>
                      <w:color w:val="1D2738"/>
                      <w:sz w:val="10"/>
                    </w:rPr>
                    <w:t xml:space="preserve">      "Description": "Official authoritative source used to determine final settlement outcome",</w:t>
                  </w:r>
                  <w:r>
                    <w:rPr>
                      <w:rFonts w:ascii="Consolas" w:hAnsi="Consolas" w:eastAsia="Consolas"/>
                      <w:b w:val="0"/>
                      <w:color w:val="1D2738"/>
                      <w:sz w:val="10"/>
                    </w:rPr>
                    <w:br w:type="textWrapping"/>
                  </w:r>
                  <w:r>
                    <w:rPr>
                      <w:rFonts w:ascii="Consolas" w:hAnsi="Consolas" w:eastAsia="Consolas"/>
                      <w:b w:val="0"/>
                      <w:color w:val="1D2738"/>
                      <w:sz w:val="10"/>
                    </w:rPr>
                    <w:t xml:space="preserve">      "Example": "Official federal election results | BLS CPI release | ESMA register",</w:t>
                  </w:r>
                  <w:r>
                    <w:rPr>
                      <w:rFonts w:ascii="Consolas" w:hAnsi="Consolas" w:eastAsia="Consolas"/>
                      <w:b w:val="0"/>
                      <w:color w:val="1D2738"/>
                      <w:sz w:val="10"/>
                    </w:rPr>
                    <w:br w:type="textWrapping"/>
                  </w:r>
                  <w:r>
                    <w:rPr>
                      <w:rFonts w:ascii="Consolas" w:hAnsi="Consolas" w:eastAsia="Consolas"/>
                      <w:b w:val="0"/>
                      <w:color w:val="1D2738"/>
                      <w:sz w:val="10"/>
                    </w:rPr>
                    <w:t xml:space="preserve">      "Required": true</w:t>
                  </w:r>
                  <w:r>
                    <w:rPr>
                      <w:rFonts w:ascii="Consolas" w:hAnsi="Consolas" w:eastAsia="Consolas"/>
                      <w:b w:val="0"/>
                      <w:color w:val="1D2738"/>
                      <w:sz w:val="10"/>
                    </w:rPr>
                    <w:br w:type="textWrapping"/>
                  </w:r>
                  <w:r>
                    <w:rPr>
                      <w:rFonts w:ascii="Consolas" w:hAnsi="Consolas" w:eastAsia="Consolas"/>
                      <w:b w:val="0"/>
                      <w:color w:val="1D2738"/>
                      <w:sz w:val="10"/>
                    </w:rPr>
                    <w:t xml:space="preserve">    },</w:t>
                  </w:r>
                  <w:r>
                    <w:rPr>
                      <w:rFonts w:ascii="Consolas" w:hAnsi="Consolas" w:eastAsia="Consolas"/>
                      <w:b w:val="0"/>
                      <w:color w:val="1D2738"/>
                      <w:sz w:val="10"/>
                    </w:rPr>
                    <w:br w:type="textWrapping"/>
                  </w:r>
                  <w:r>
                    <w:rPr>
                      <w:rFonts w:ascii="Consolas" w:hAnsi="Consolas" w:eastAsia="Consolas"/>
                      <w:b w:val="0"/>
                      <w:color w:val="1D2738"/>
                      <w:sz w:val="10"/>
                    </w:rPr>
                    <w:t xml:space="preserve">    "PayoutType": {</w:t>
                  </w:r>
                  <w:r>
                    <w:rPr>
                      <w:rFonts w:ascii="Consolas" w:hAnsi="Consolas" w:eastAsia="Consolas"/>
                      <w:b w:val="0"/>
                      <w:color w:val="1D2738"/>
                      <w:sz w:val="10"/>
                    </w:rPr>
                    <w:br w:type="textWrapping"/>
                  </w:r>
                  <w:r>
                    <w:rPr>
                      <w:rFonts w:ascii="Consolas" w:hAnsi="Consolas" w:eastAsia="Consolas"/>
                      <w:b w:val="0"/>
                      <w:color w:val="1D2738"/>
                      <w:sz w:val="10"/>
                    </w:rPr>
                    <w:t xml:space="preserve">      "Description": "Payout structure at settlement",</w:t>
                  </w:r>
                  <w:r>
                    <w:rPr>
                      <w:rFonts w:ascii="Consolas" w:hAnsi="Consolas" w:eastAsia="Consolas"/>
                      <w:b w:val="0"/>
                      <w:color w:val="1D2738"/>
                      <w:sz w:val="10"/>
                    </w:rPr>
                    <w:br w:type="textWrapping"/>
                  </w:r>
                  <w:r>
                    <w:rPr>
                      <w:rFonts w:ascii="Consolas" w:hAnsi="Consolas" w:eastAsia="Consolas"/>
                      <w:b w:val="0"/>
                      <w:color w:val="1D2738"/>
                      <w:sz w:val="10"/>
                    </w:rPr>
                    <w:t xml:space="preserve">      "AllowedValues": [</w:t>
                  </w:r>
                  <w:r>
                    <w:rPr>
                      <w:rFonts w:ascii="Consolas" w:hAnsi="Consolas" w:eastAsia="Consolas"/>
                      <w:b w:val="0"/>
                      <w:color w:val="1D2738"/>
                      <w:sz w:val="10"/>
                    </w:rPr>
                    <w:br w:type="textWrapping"/>
                  </w:r>
                  <w:r>
                    <w:rPr>
                      <w:rFonts w:ascii="Consolas" w:hAnsi="Consolas" w:eastAsia="Consolas"/>
                      <w:b w:val="0"/>
                      <w:color w:val="1D2738"/>
                      <w:sz w:val="10"/>
                    </w:rPr>
                    <w:t xml:space="preserve">        "Binary",</w:t>
                  </w:r>
                  <w:r>
                    <w:rPr>
                      <w:rFonts w:ascii="Consolas" w:hAnsi="Consolas" w:eastAsia="Consolas"/>
                      <w:b w:val="0"/>
                      <w:color w:val="1D2738"/>
                      <w:sz w:val="10"/>
                    </w:rPr>
                    <w:br w:type="textWrapping"/>
                  </w:r>
                  <w:r>
                    <w:rPr>
                      <w:rFonts w:ascii="Consolas" w:hAnsi="Consolas" w:eastAsia="Consolas"/>
                      <w:b w:val="0"/>
                      <w:color w:val="1D2738"/>
                      <w:sz w:val="10"/>
                    </w:rPr>
                    <w:t xml:space="preserve">        "Scalar",</w:t>
                  </w:r>
                  <w:r>
                    <w:rPr>
                      <w:rFonts w:ascii="Consolas" w:hAnsi="Consolas" w:eastAsia="Consolas"/>
                      <w:b w:val="0"/>
                      <w:color w:val="1D2738"/>
                      <w:sz w:val="10"/>
                    </w:rPr>
                    <w:br w:type="textWrapping"/>
                  </w:r>
                  <w:r>
                    <w:rPr>
                      <w:rFonts w:ascii="Consolas" w:hAnsi="Consolas" w:eastAsia="Consolas"/>
                      <w:b w:val="0"/>
                      <w:color w:val="1D2738"/>
                      <w:sz w:val="10"/>
                    </w:rPr>
                    <w:t xml:space="preserve">        "Capped",</w:t>
                  </w:r>
                  <w:r>
                    <w:rPr>
                      <w:rFonts w:ascii="Consolas" w:hAnsi="Consolas" w:eastAsia="Consolas"/>
                      <w:b w:val="0"/>
                      <w:color w:val="1D2738"/>
                      <w:sz w:val="10"/>
                    </w:rPr>
                    <w:br w:type="textWrapping"/>
                  </w:r>
                  <w:r>
                    <w:rPr>
                      <w:rFonts w:ascii="Consolas" w:hAnsi="Consolas" w:eastAsia="Consolas"/>
                      <w:b w:val="0"/>
                      <w:color w:val="1D2738"/>
                      <w:sz w:val="10"/>
                    </w:rPr>
                    <w:t xml:space="preserve">        "Floored",</w:t>
                  </w:r>
                  <w:r>
                    <w:rPr>
                      <w:rFonts w:ascii="Consolas" w:hAnsi="Consolas" w:eastAsia="Consolas"/>
                      <w:b w:val="0"/>
                      <w:color w:val="1D2738"/>
                      <w:sz w:val="10"/>
                    </w:rPr>
                    <w:br w:type="textWrapping"/>
                  </w:r>
                  <w:r>
                    <w:rPr>
                      <w:rFonts w:ascii="Consolas" w:hAnsi="Consolas" w:eastAsia="Consolas"/>
                      <w:b w:val="0"/>
                      <w:color w:val="1D2738"/>
                      <w:sz w:val="10"/>
                    </w:rPr>
                    <w:t xml:space="preserve">        "MultiOutcome"</w:t>
                  </w:r>
                  <w:r>
                    <w:rPr>
                      <w:rFonts w:ascii="Consolas" w:hAnsi="Consolas" w:eastAsia="Consolas"/>
                      <w:b w:val="0"/>
                      <w:color w:val="1D2738"/>
                      <w:sz w:val="10"/>
                    </w:rPr>
                    <w:br w:type="textWrapping"/>
                  </w:r>
                  <w:r>
                    <w:rPr>
                      <w:rFonts w:ascii="Consolas" w:hAnsi="Consolas" w:eastAsia="Consolas"/>
                      <w:b w:val="0"/>
                      <w:color w:val="1D2738"/>
                      <w:sz w:val="10"/>
                    </w:rPr>
                    <w:t xml:space="preserve">      ],</w:t>
                  </w:r>
                  <w:r>
                    <w:rPr>
                      <w:rFonts w:ascii="Consolas" w:hAnsi="Consolas" w:eastAsia="Consolas"/>
                      <w:b w:val="0"/>
                      <w:color w:val="1D2738"/>
                      <w:sz w:val="10"/>
                    </w:rPr>
                    <w:br w:type="textWrapping"/>
                  </w:r>
                  <w:r>
                    <w:rPr>
                      <w:rFonts w:ascii="Consolas" w:hAnsi="Consolas" w:eastAsia="Consolas"/>
                      <w:b w:val="0"/>
                      <w:color w:val="1D2738"/>
                      <w:sz w:val="10"/>
                    </w:rPr>
                    <w:t xml:space="preserve">      "Required": true</w:t>
                  </w:r>
                  <w:r>
                    <w:rPr>
                      <w:rFonts w:ascii="Consolas" w:hAnsi="Consolas" w:eastAsia="Consolas"/>
                      <w:b w:val="0"/>
                      <w:color w:val="1D2738"/>
                      <w:sz w:val="10"/>
                    </w:rPr>
                    <w:br w:type="textWrapping"/>
                  </w:r>
                  <w:r>
                    <w:rPr>
                      <w:rFonts w:ascii="Consolas" w:hAnsi="Consolas" w:eastAsia="Consolas"/>
                      <w:b w:val="0"/>
                      <w:color w:val="1D2738"/>
                      <w:sz w:val="10"/>
                    </w:rPr>
                    <w:t xml:space="preserve">    },</w:t>
                  </w:r>
                  <w:r>
                    <w:rPr>
                      <w:rFonts w:ascii="Consolas" w:hAnsi="Consolas" w:eastAsia="Consolas"/>
                      <w:b w:val="0"/>
                      <w:color w:val="1D2738"/>
                      <w:sz w:val="10"/>
                    </w:rPr>
                    <w:br w:type="textWrapping"/>
                  </w:r>
                  <w:r>
                    <w:rPr>
                      <w:rFonts w:ascii="Consolas" w:hAnsi="Consolas" w:eastAsia="Consolas"/>
                      <w:b w:val="0"/>
                      <w:color w:val="1D2738"/>
                      <w:sz w:val="10"/>
                    </w:rPr>
                    <w:t xml:space="preserve">    "SettlementCurrency": {</w:t>
                  </w:r>
                  <w:r>
                    <w:rPr>
                      <w:rFonts w:ascii="Consolas" w:hAnsi="Consolas" w:eastAsia="Consolas"/>
                      <w:b w:val="0"/>
                      <w:color w:val="1D2738"/>
                      <w:sz w:val="10"/>
                    </w:rPr>
                    <w:br w:type="textWrapping"/>
                  </w:r>
                  <w:r>
                    <w:rPr>
                      <w:rFonts w:ascii="Consolas" w:hAnsi="Consolas" w:eastAsia="Consolas"/>
                      <w:b w:val="0"/>
                      <w:color w:val="1D2738"/>
                      <w:sz w:val="10"/>
                    </w:rPr>
                    <w:t xml:space="preserve">      "Description": "Settlement currency: ISO 4217 fiat or stablecoin identifier",</w:t>
                  </w:r>
                  <w:r>
                    <w:rPr>
                      <w:rFonts w:ascii="Consolas" w:hAnsi="Consolas" w:eastAsia="Consolas"/>
                      <w:b w:val="0"/>
                      <w:color w:val="1D2738"/>
                      <w:sz w:val="10"/>
                    </w:rPr>
                    <w:br w:type="textWrapping"/>
                  </w:r>
                  <w:r>
                    <w:rPr>
                      <w:rFonts w:ascii="Consolas" w:hAnsi="Consolas" w:eastAsia="Consolas"/>
                      <w:b w:val="0"/>
                      <w:color w:val="1D2738"/>
                      <w:sz w:val="10"/>
                    </w:rPr>
                    <w:t xml:space="preserve">      "Note": "Stablecoin codes such as USDC are not ISO 4217 and require a supplemental identifier scheme",</w:t>
                  </w:r>
                </w:p>
              </w:tc>
            </w:tr>
          </w:tbl>
          <w:p w14:paraId="6865D180"/>
        </w:tc>
        <w:tc>
          <w:tcPr>
            <w:tcW w:w="7188" w:type="dxa"/>
            <w:vAlign w:val="center"/>
          </w:tcPr>
          <w:p w14:paraId="294D1F56"/>
          <w:tbl>
            <w:tblPr>
              <w:tblStyle w:val="5"/>
              <w:tblW w:w="7060" w:type="dxa"/>
              <w:tblInd w:w="0" w:type="dxa"/>
              <w:tblBorders>
                <w:top w:val="single" w:color="D8E1EE" w:sz="4" w:space="0"/>
                <w:left w:val="single" w:color="D8E1EE" w:sz="4" w:space="0"/>
                <w:bottom w:val="single" w:color="D8E1EE" w:sz="4" w:space="0"/>
                <w:right w:val="single" w:color="D8E1EE" w:sz="4" w:space="0"/>
                <w:insideH w:val="single" w:color="D8E1EE" w:sz="4" w:space="0"/>
                <w:insideV w:val="single" w:color="D8E1EE" w:sz="4" w:space="0"/>
              </w:tblBorders>
              <w:tblLayout w:type="fixed"/>
              <w:tblCellMar>
                <w:top w:w="36" w:type="dxa"/>
                <w:left w:w="48" w:type="dxa"/>
                <w:bottom w:w="36" w:type="dxa"/>
                <w:right w:w="48" w:type="dxa"/>
              </w:tblCellMar>
            </w:tblPr>
            <w:tblGrid>
              <w:gridCol w:w="7060"/>
            </w:tblGrid>
            <w:tr w14:paraId="72C28D77">
              <w:tc>
                <w:tcPr>
                  <w:tcW w:w="7060" w:type="dxa"/>
                  <w:shd w:val="clear" w:color="auto" w:fill="F4F5F7"/>
                  <w:vAlign w:val="center"/>
                </w:tcPr>
                <w:p w14:paraId="3141A864">
                  <w:pPr>
                    <w:spacing w:after="0" w:line="168" w:lineRule="auto"/>
                  </w:pPr>
                  <w:r>
                    <w:rPr>
                      <w:rFonts w:ascii="Consolas" w:hAnsi="Consolas" w:eastAsia="Consolas"/>
                      <w:b w:val="0"/>
                      <w:color w:val="1D2738"/>
                      <w:sz w:val="10"/>
                    </w:rPr>
                    <w:t xml:space="preserve">      "Required": true</w:t>
                  </w:r>
                  <w:r>
                    <w:rPr>
                      <w:rFonts w:ascii="Consolas" w:hAnsi="Consolas" w:eastAsia="Consolas"/>
                      <w:b w:val="0"/>
                      <w:color w:val="1D2738"/>
                      <w:sz w:val="10"/>
                    </w:rPr>
                    <w:br w:type="textWrapping"/>
                  </w:r>
                  <w:r>
                    <w:rPr>
                      <w:rFonts w:ascii="Consolas" w:hAnsi="Consolas" w:eastAsia="Consolas"/>
                      <w:b w:val="0"/>
                      <w:color w:val="1D2738"/>
                      <w:sz w:val="10"/>
                    </w:rPr>
                    <w:t xml:space="preserve">    },</w:t>
                  </w:r>
                  <w:r>
                    <w:rPr>
                      <w:rFonts w:ascii="Consolas" w:hAnsi="Consolas" w:eastAsia="Consolas"/>
                      <w:b w:val="0"/>
                      <w:color w:val="1D2738"/>
                      <w:sz w:val="10"/>
                    </w:rPr>
                    <w:br w:type="textWrapping"/>
                  </w:r>
                  <w:r>
                    <w:rPr>
                      <w:rFonts w:ascii="Consolas" w:hAnsi="Consolas" w:eastAsia="Consolas"/>
                      <w:b w:val="0"/>
                      <w:color w:val="1D2738"/>
                      <w:sz w:val="10"/>
                    </w:rPr>
                    <w:t xml:space="preserve">    "PlatformType": {</w:t>
                  </w:r>
                  <w:r>
                    <w:rPr>
                      <w:rFonts w:ascii="Consolas" w:hAnsi="Consolas" w:eastAsia="Consolas"/>
                      <w:b w:val="0"/>
                      <w:color w:val="1D2738"/>
                      <w:sz w:val="10"/>
                    </w:rPr>
                    <w:br w:type="textWrapping"/>
                  </w:r>
                  <w:r>
                    <w:rPr>
                      <w:rFonts w:ascii="Consolas" w:hAnsi="Consolas" w:eastAsia="Consolas"/>
                      <w:b w:val="0"/>
                      <w:color w:val="1D2738"/>
                      <w:sz w:val="10"/>
                    </w:rPr>
                    <w:t xml:space="preserve">      "Description": "Legal and operational classification of the trading venue",</w:t>
                  </w:r>
                  <w:r>
                    <w:rPr>
                      <w:rFonts w:ascii="Consolas" w:hAnsi="Consolas" w:eastAsia="Consolas"/>
                      <w:b w:val="0"/>
                      <w:color w:val="1D2738"/>
                      <w:sz w:val="10"/>
                    </w:rPr>
                    <w:br w:type="textWrapping"/>
                  </w:r>
                  <w:r>
                    <w:rPr>
                      <w:rFonts w:ascii="Consolas" w:hAnsi="Consolas" w:eastAsia="Consolas"/>
                      <w:b w:val="0"/>
                      <w:color w:val="1D2738"/>
                      <w:sz w:val="10"/>
                    </w:rPr>
                    <w:t xml:space="preserve">      "AllowedValues": [</w:t>
                  </w:r>
                  <w:r>
                    <w:rPr>
                      <w:rFonts w:ascii="Consolas" w:hAnsi="Consolas" w:eastAsia="Consolas"/>
                      <w:b w:val="0"/>
                      <w:color w:val="1D2738"/>
                      <w:sz w:val="10"/>
                    </w:rPr>
                    <w:br w:type="textWrapping"/>
                  </w:r>
                  <w:r>
                    <w:rPr>
                      <w:rFonts w:ascii="Consolas" w:hAnsi="Consolas" w:eastAsia="Consolas"/>
                      <w:b w:val="0"/>
                      <w:color w:val="1D2738"/>
                      <w:sz w:val="10"/>
                    </w:rPr>
                    <w:t xml:space="preserve">        "CFTC_DCM",</w:t>
                  </w:r>
                  <w:r>
                    <w:rPr>
                      <w:rFonts w:ascii="Consolas" w:hAnsi="Consolas" w:eastAsia="Consolas"/>
                      <w:b w:val="0"/>
                      <w:color w:val="1D2738"/>
                      <w:sz w:val="10"/>
                    </w:rPr>
                    <w:br w:type="textWrapping"/>
                  </w:r>
                  <w:r>
                    <w:rPr>
                      <w:rFonts w:ascii="Consolas" w:hAnsi="Consolas" w:eastAsia="Consolas"/>
                      <w:b w:val="0"/>
                      <w:color w:val="1D2738"/>
                      <w:sz w:val="10"/>
                    </w:rPr>
                    <w:t xml:space="preserve">        "CFTC_SEF",</w:t>
                  </w:r>
                  <w:r>
                    <w:rPr>
                      <w:rFonts w:ascii="Consolas" w:hAnsi="Consolas" w:eastAsia="Consolas"/>
                      <w:b w:val="0"/>
                      <w:color w:val="1D2738"/>
                      <w:sz w:val="10"/>
                    </w:rPr>
                    <w:br w:type="textWrapping"/>
                  </w:r>
                  <w:r>
                    <w:rPr>
                      <w:rFonts w:ascii="Consolas" w:hAnsi="Consolas" w:eastAsia="Consolas"/>
                      <w:b w:val="0"/>
                      <w:color w:val="1D2738"/>
                      <w:sz w:val="10"/>
                    </w:rPr>
                    <w:t xml:space="preserve">        "OffshoreExchange",</w:t>
                  </w:r>
                  <w:r>
                    <w:rPr>
                      <w:rFonts w:ascii="Consolas" w:hAnsi="Consolas" w:eastAsia="Consolas"/>
                      <w:b w:val="0"/>
                      <w:color w:val="1D2738"/>
                      <w:sz w:val="10"/>
                    </w:rPr>
                    <w:br w:type="textWrapping"/>
                  </w:r>
                  <w:r>
                    <w:rPr>
                      <w:rFonts w:ascii="Consolas" w:hAnsi="Consolas" w:eastAsia="Consolas"/>
                      <w:b w:val="0"/>
                      <w:color w:val="1D2738"/>
                      <w:sz w:val="10"/>
                    </w:rPr>
                    <w:t xml:space="preserve">        "DecentralisedProtocol",</w:t>
                  </w:r>
                  <w:r>
                    <w:rPr>
                      <w:rFonts w:ascii="Consolas" w:hAnsi="Consolas" w:eastAsia="Consolas"/>
                      <w:b w:val="0"/>
                      <w:color w:val="1D2738"/>
                      <w:sz w:val="10"/>
                    </w:rPr>
                    <w:br w:type="textWrapping"/>
                  </w:r>
                  <w:r>
                    <w:rPr>
                      <w:rFonts w:ascii="Consolas" w:hAnsi="Consolas" w:eastAsia="Consolas"/>
                      <w:b w:val="0"/>
                      <w:color w:val="1D2738"/>
                      <w:sz w:val="10"/>
                    </w:rPr>
                    <w:t xml:space="preserve">        "BilateralOTC",</w:t>
                  </w:r>
                  <w:r>
                    <w:rPr>
                      <w:rFonts w:ascii="Consolas" w:hAnsi="Consolas" w:eastAsia="Consolas"/>
                      <w:b w:val="0"/>
                      <w:color w:val="1D2738"/>
                      <w:sz w:val="10"/>
                    </w:rPr>
                    <w:br w:type="textWrapping"/>
                  </w:r>
                  <w:r>
                    <w:rPr>
                      <w:rFonts w:ascii="Consolas" w:hAnsi="Consolas" w:eastAsia="Consolas"/>
                      <w:b w:val="0"/>
                      <w:color w:val="1D2738"/>
                      <w:sz w:val="10"/>
                    </w:rPr>
                    <w:t xml:space="preserve">        "Other"</w:t>
                  </w:r>
                  <w:r>
                    <w:rPr>
                      <w:rFonts w:ascii="Consolas" w:hAnsi="Consolas" w:eastAsia="Consolas"/>
                      <w:b w:val="0"/>
                      <w:color w:val="1D2738"/>
                      <w:sz w:val="10"/>
                    </w:rPr>
                    <w:br w:type="textWrapping"/>
                  </w:r>
                  <w:r>
                    <w:rPr>
                      <w:rFonts w:ascii="Consolas" w:hAnsi="Consolas" w:eastAsia="Consolas"/>
                      <w:b w:val="0"/>
                      <w:color w:val="1D2738"/>
                      <w:sz w:val="10"/>
                    </w:rPr>
                    <w:t xml:space="preserve">      ],</w:t>
                  </w:r>
                  <w:r>
                    <w:rPr>
                      <w:rFonts w:ascii="Consolas" w:hAnsi="Consolas" w:eastAsia="Consolas"/>
                      <w:b w:val="0"/>
                      <w:color w:val="1D2738"/>
                      <w:sz w:val="10"/>
                    </w:rPr>
                    <w:br w:type="textWrapping"/>
                  </w:r>
                  <w:r>
                    <w:rPr>
                      <w:rFonts w:ascii="Consolas" w:hAnsi="Consolas" w:eastAsia="Consolas"/>
                      <w:b w:val="0"/>
                      <w:color w:val="1D2738"/>
                      <w:sz w:val="10"/>
                    </w:rPr>
                    <w:t xml:space="preserve">      "Required": true</w:t>
                  </w:r>
                  <w:r>
                    <w:rPr>
                      <w:rFonts w:ascii="Consolas" w:hAnsi="Consolas" w:eastAsia="Consolas"/>
                      <w:b w:val="0"/>
                      <w:color w:val="1D2738"/>
                      <w:sz w:val="10"/>
                    </w:rPr>
                    <w:br w:type="textWrapping"/>
                  </w:r>
                  <w:r>
                    <w:rPr>
                      <w:rFonts w:ascii="Consolas" w:hAnsi="Consolas" w:eastAsia="Consolas"/>
                      <w:b w:val="0"/>
                      <w:color w:val="1D2738"/>
                      <w:sz w:val="10"/>
                    </w:rPr>
                    <w:t xml:space="preserve">    },</w:t>
                  </w:r>
                  <w:r>
                    <w:rPr>
                      <w:rFonts w:ascii="Consolas" w:hAnsi="Consolas" w:eastAsia="Consolas"/>
                      <w:b w:val="0"/>
                      <w:color w:val="1D2738"/>
                      <w:sz w:val="10"/>
                    </w:rPr>
                    <w:br w:type="textWrapping"/>
                  </w:r>
                  <w:r>
                    <w:rPr>
                      <w:rFonts w:ascii="Consolas" w:hAnsi="Consolas" w:eastAsia="Consolas"/>
                      <w:b w:val="0"/>
                      <w:color w:val="1D2738"/>
                      <w:sz w:val="10"/>
                    </w:rPr>
                    <w:t xml:space="preserve">    "RegulatoryStatus": {</w:t>
                  </w:r>
                  <w:r>
                    <w:rPr>
                      <w:rFonts w:ascii="Consolas" w:hAnsi="Consolas" w:eastAsia="Consolas"/>
                      <w:b w:val="0"/>
                      <w:color w:val="1D2738"/>
                      <w:sz w:val="10"/>
                    </w:rPr>
                    <w:br w:type="textWrapping"/>
                  </w:r>
                  <w:r>
                    <w:rPr>
                      <w:rFonts w:ascii="Consolas" w:hAnsi="Consolas" w:eastAsia="Consolas"/>
                      <w:b w:val="0"/>
                      <w:color w:val="1D2738"/>
                      <w:sz w:val="10"/>
                    </w:rPr>
                    <w:t xml:space="preserve">      "Description": "Regulatory classification in the applicable jurisdiction",</w:t>
                  </w:r>
                  <w:r>
                    <w:rPr>
                      <w:rFonts w:ascii="Consolas" w:hAnsi="Consolas" w:eastAsia="Consolas"/>
                      <w:b w:val="0"/>
                      <w:color w:val="1D2738"/>
                      <w:sz w:val="10"/>
                    </w:rPr>
                    <w:br w:type="textWrapping"/>
                  </w:r>
                  <w:r>
                    <w:rPr>
                      <w:rFonts w:ascii="Consolas" w:hAnsi="Consolas" w:eastAsia="Consolas"/>
                      <w:b w:val="0"/>
                      <w:color w:val="1D2738"/>
                      <w:sz w:val="10"/>
                    </w:rPr>
                    <w:t xml:space="preserve">      "AllowedValues": [</w:t>
                  </w:r>
                  <w:r>
                    <w:rPr>
                      <w:rFonts w:ascii="Consolas" w:hAnsi="Consolas" w:eastAsia="Consolas"/>
                      <w:b w:val="0"/>
                      <w:color w:val="1D2738"/>
                      <w:sz w:val="10"/>
                    </w:rPr>
                    <w:br w:type="textWrapping"/>
                  </w:r>
                  <w:r>
                    <w:rPr>
                      <w:rFonts w:ascii="Consolas" w:hAnsi="Consolas" w:eastAsia="Consolas"/>
                      <w:b w:val="0"/>
                      <w:color w:val="1D2738"/>
                      <w:sz w:val="10"/>
                    </w:rPr>
                    <w:t xml:space="preserve">        "Approved",</w:t>
                  </w:r>
                  <w:r>
                    <w:rPr>
                      <w:rFonts w:ascii="Consolas" w:hAnsi="Consolas" w:eastAsia="Consolas"/>
                      <w:b w:val="0"/>
                      <w:color w:val="1D2738"/>
                      <w:sz w:val="10"/>
                    </w:rPr>
                    <w:br w:type="textWrapping"/>
                  </w:r>
                  <w:r>
                    <w:rPr>
                      <w:rFonts w:ascii="Consolas" w:hAnsi="Consolas" w:eastAsia="Consolas"/>
                      <w:b w:val="0"/>
                      <w:color w:val="1D2738"/>
                      <w:sz w:val="10"/>
                    </w:rPr>
                    <w:t xml:space="preserve">        "Conditional",</w:t>
                  </w:r>
                  <w:r>
                    <w:rPr>
                      <w:rFonts w:ascii="Consolas" w:hAnsi="Consolas" w:eastAsia="Consolas"/>
                      <w:b w:val="0"/>
                      <w:color w:val="1D2738"/>
                      <w:sz w:val="10"/>
                    </w:rPr>
                    <w:br w:type="textWrapping"/>
                  </w:r>
                  <w:r>
                    <w:rPr>
                      <w:rFonts w:ascii="Consolas" w:hAnsi="Consolas" w:eastAsia="Consolas"/>
                      <w:b w:val="0"/>
                      <w:color w:val="1D2738"/>
                      <w:sz w:val="10"/>
                    </w:rPr>
                    <w:t xml:space="preserve">        "GamblingProhibited",</w:t>
                  </w:r>
                  <w:r>
                    <w:rPr>
                      <w:rFonts w:ascii="Consolas" w:hAnsi="Consolas" w:eastAsia="Consolas"/>
                      <w:b w:val="0"/>
                      <w:color w:val="1D2738"/>
                      <w:sz w:val="10"/>
                    </w:rPr>
                    <w:br w:type="textWrapping"/>
                  </w:r>
                  <w:r>
                    <w:rPr>
                      <w:rFonts w:ascii="Consolas" w:hAnsi="Consolas" w:eastAsia="Consolas"/>
                      <w:b w:val="0"/>
                      <w:color w:val="1D2738"/>
                      <w:sz w:val="10"/>
                    </w:rPr>
                    <w:t xml:space="preserve">        "PublicPolicyProhibited",</w:t>
                  </w:r>
                  <w:r>
                    <w:rPr>
                      <w:rFonts w:ascii="Consolas" w:hAnsi="Consolas" w:eastAsia="Consolas"/>
                      <w:b w:val="0"/>
                      <w:color w:val="1D2738"/>
                      <w:sz w:val="10"/>
                    </w:rPr>
                    <w:br w:type="textWrapping"/>
                  </w:r>
                  <w:r>
                    <w:rPr>
                      <w:rFonts w:ascii="Consolas" w:hAnsi="Consolas" w:eastAsia="Consolas"/>
                      <w:b w:val="0"/>
                      <w:color w:val="1D2738"/>
                      <w:sz w:val="10"/>
                    </w:rPr>
                    <w:t xml:space="preserve">        "NotApplicable",</w:t>
                  </w:r>
                  <w:r>
                    <w:rPr>
                      <w:rFonts w:ascii="Consolas" w:hAnsi="Consolas" w:eastAsia="Consolas"/>
                      <w:b w:val="0"/>
                      <w:color w:val="1D2738"/>
                      <w:sz w:val="10"/>
                    </w:rPr>
                    <w:br w:type="textWrapping"/>
                  </w:r>
                  <w:r>
                    <w:rPr>
                      <w:rFonts w:ascii="Consolas" w:hAnsi="Consolas" w:eastAsia="Consolas"/>
                      <w:b w:val="0"/>
                      <w:color w:val="1D2738"/>
                      <w:sz w:val="10"/>
                    </w:rPr>
                    <w:t xml:space="preserve">        "Uncertain"</w:t>
                  </w:r>
                  <w:r>
                    <w:rPr>
                      <w:rFonts w:ascii="Consolas" w:hAnsi="Consolas" w:eastAsia="Consolas"/>
                      <w:b w:val="0"/>
                      <w:color w:val="1D2738"/>
                      <w:sz w:val="10"/>
                    </w:rPr>
                    <w:br w:type="textWrapping"/>
                  </w:r>
                  <w:r>
                    <w:rPr>
                      <w:rFonts w:ascii="Consolas" w:hAnsi="Consolas" w:eastAsia="Consolas"/>
                      <w:b w:val="0"/>
                      <w:color w:val="1D2738"/>
                      <w:sz w:val="10"/>
                    </w:rPr>
                    <w:t xml:space="preserve">      ],</w:t>
                  </w:r>
                  <w:r>
                    <w:rPr>
                      <w:rFonts w:ascii="Consolas" w:hAnsi="Consolas" w:eastAsia="Consolas"/>
                      <w:b w:val="0"/>
                      <w:color w:val="1D2738"/>
                      <w:sz w:val="10"/>
                    </w:rPr>
                    <w:br w:type="textWrapping"/>
                  </w:r>
                  <w:r>
                    <w:rPr>
                      <w:rFonts w:ascii="Consolas" w:hAnsi="Consolas" w:eastAsia="Consolas"/>
                      <w:b w:val="0"/>
                      <w:color w:val="1D2738"/>
                      <w:sz w:val="10"/>
                    </w:rPr>
                    <w:t xml:space="preserve">      "Required": true</w:t>
                  </w:r>
                  <w:r>
                    <w:rPr>
                      <w:rFonts w:ascii="Consolas" w:hAnsi="Consolas" w:eastAsia="Consolas"/>
                      <w:b w:val="0"/>
                      <w:color w:val="1D2738"/>
                      <w:sz w:val="10"/>
                    </w:rPr>
                    <w:br w:type="textWrapping"/>
                  </w:r>
                  <w:r>
                    <w:rPr>
                      <w:rFonts w:ascii="Consolas" w:hAnsi="Consolas" w:eastAsia="Consolas"/>
                      <w:b w:val="0"/>
                      <w:color w:val="1D2738"/>
                      <w:sz w:val="10"/>
                    </w:rPr>
                    <w:t xml:space="preserve">    }</w:t>
                  </w:r>
                  <w:r>
                    <w:rPr>
                      <w:rFonts w:ascii="Consolas" w:hAnsi="Consolas" w:eastAsia="Consolas"/>
                      <w:b w:val="0"/>
                      <w:color w:val="1D2738"/>
                      <w:sz w:val="10"/>
                    </w:rPr>
                    <w:br w:type="textWrapping"/>
                  </w:r>
                  <w:r>
                    <w:rPr>
                      <w:rFonts w:ascii="Consolas" w:hAnsi="Consolas" w:eastAsia="Consolas"/>
                      <w:b w:val="0"/>
                      <w:color w:val="1D2738"/>
                      <w:sz w:val="10"/>
                    </w:rPr>
                    <w:t xml:space="preserve">  },</w:t>
                  </w:r>
                  <w:r>
                    <w:rPr>
                      <w:rFonts w:ascii="Consolas" w:hAnsi="Consolas" w:eastAsia="Consolas"/>
                      <w:b w:val="0"/>
                      <w:color w:val="1D2738"/>
                      <w:sz w:val="10"/>
                    </w:rPr>
                    <w:br w:type="textWrapping"/>
                  </w:r>
                  <w:r>
                    <w:rPr>
                      <w:rFonts w:ascii="Consolas" w:hAnsi="Consolas" w:eastAsia="Consolas"/>
                      <w:b w:val="0"/>
                      <w:color w:val="1D2738"/>
                      <w:sz w:val="10"/>
                    </w:rPr>
                    <w:t xml:space="preserve">  "Derived": {</w:t>
                  </w:r>
                  <w:r>
                    <w:rPr>
                      <w:rFonts w:ascii="Consolas" w:hAnsi="Consolas" w:eastAsia="Consolas"/>
                      <w:b w:val="0"/>
                      <w:color w:val="1D2738"/>
                      <w:sz w:val="10"/>
                    </w:rPr>
                    <w:br w:type="textWrapping"/>
                  </w:r>
                  <w:r>
                    <w:rPr>
                      <w:rFonts w:ascii="Consolas" w:hAnsi="Consolas" w:eastAsia="Consolas"/>
                      <w:b w:val="0"/>
                      <w:color w:val="1D2738"/>
                      <w:sz w:val="10"/>
                    </w:rPr>
                    <w:t xml:space="preserve">    "ClassificationType": "EventContract",</w:t>
                  </w:r>
                  <w:r>
                    <w:rPr>
                      <w:rFonts w:ascii="Consolas" w:hAnsi="Consolas" w:eastAsia="Consolas"/>
                      <w:b w:val="0"/>
                      <w:color w:val="1D2738"/>
                      <w:sz w:val="10"/>
                    </w:rPr>
                    <w:br w:type="textWrapping"/>
                  </w:r>
                  <w:r>
                    <w:rPr>
                      <w:rFonts w:ascii="Consolas" w:hAnsi="Consolas" w:eastAsia="Consolas"/>
                      <w:b w:val="0"/>
                      <w:color w:val="1D2738"/>
                      <w:sz w:val="10"/>
                    </w:rPr>
                    <w:t xml:space="preserve">    "ShortName": "EventContract.Binary.PoliticalOutcome",</w:t>
                  </w:r>
                  <w:r>
                    <w:rPr>
                      <w:rFonts w:ascii="Consolas" w:hAnsi="Consolas" w:eastAsia="Consolas"/>
                      <w:b w:val="0"/>
                      <w:color w:val="1D2738"/>
                      <w:sz w:val="10"/>
                    </w:rPr>
                    <w:br w:type="textWrapping"/>
                  </w:r>
                  <w:r>
                    <w:rPr>
                      <w:rFonts w:ascii="Consolas" w:hAnsi="Consolas" w:eastAsia="Consolas"/>
                      <w:b w:val="0"/>
                      <w:color w:val="1D2738"/>
                      <w:sz w:val="10"/>
                    </w:rPr>
                    <w:t xml:space="preserve">    "UnderlierName": "{ReferenceEntity} {EventDate}",</w:t>
                  </w:r>
                  <w:r>
                    <w:rPr>
                      <w:rFonts w:ascii="Consolas" w:hAnsi="Consolas" w:eastAsia="Consolas"/>
                      <w:b w:val="0"/>
                      <w:color w:val="1D2738"/>
                      <w:sz w:val="10"/>
                    </w:rPr>
                    <w:br w:type="textWrapping"/>
                  </w:r>
                  <w:r>
                    <w:rPr>
                      <w:rFonts w:ascii="Consolas" w:hAnsi="Consolas" w:eastAsia="Consolas"/>
                      <w:b w:val="0"/>
                      <w:color w:val="1D2738"/>
                      <w:sz w:val="10"/>
                    </w:rPr>
                    <w:t xml:space="preserve">    "UnderlyingAssetType": "Event"</w:t>
                  </w:r>
                  <w:r>
                    <w:rPr>
                      <w:rFonts w:ascii="Consolas" w:hAnsi="Consolas" w:eastAsia="Consolas"/>
                      <w:b w:val="0"/>
                      <w:color w:val="1D2738"/>
                      <w:sz w:val="10"/>
                    </w:rPr>
                    <w:br w:type="textWrapping"/>
                  </w:r>
                  <w:r>
                    <w:rPr>
                      <w:rFonts w:ascii="Consolas" w:hAnsi="Consolas" w:eastAsia="Consolas"/>
                      <w:b w:val="0"/>
                      <w:color w:val="1D2738"/>
                      <w:sz w:val="10"/>
                    </w:rPr>
                    <w:t xml:space="preserve">  }</w:t>
                  </w:r>
                  <w:r>
                    <w:rPr>
                      <w:rFonts w:ascii="Consolas" w:hAnsi="Consolas" w:eastAsia="Consolas"/>
                      <w:b w:val="0"/>
                      <w:color w:val="1D2738"/>
                      <w:sz w:val="10"/>
                    </w:rPr>
                    <w:br w:type="textWrapping"/>
                  </w:r>
                  <w:r>
                    <w:rPr>
                      <w:rFonts w:ascii="Consolas" w:hAnsi="Consolas" w:eastAsia="Consolas"/>
                      <w:b w:val="0"/>
                      <w:color w:val="1D2738"/>
                      <w:sz w:val="10"/>
                    </w:rPr>
                    <w:t>}</w:t>
                  </w:r>
                </w:p>
              </w:tc>
            </w:tr>
          </w:tbl>
          <w:p w14:paraId="2A8F1EC1"/>
        </w:tc>
      </w:tr>
    </w:tbl>
    <w:p w14:paraId="2533172F"/>
    <w:sectPr>
      <w:pgSz w:w="15840" w:h="12240" w:orient="landscape"/>
      <w:pgMar w:top="403" w:right="792" w:bottom="403" w:left="792" w:header="851" w:footer="992" w:gutter="0"/>
      <w:pgBorders>
        <w:top w:val="none" w:sz="0" w:space="0"/>
        <w:left w:val="none" w:sz="0" w:space="0"/>
        <w:bottom w:val="none" w:sz="0" w:space="0"/>
        <w:right w:val="none" w:sz="0" w:space="0"/>
      </w:pgBorders>
      <w:cols w:space="425" w:num="1"/>
      <w:titlePg/>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汉仪书宋二KW"/>
    <w:panose1 w:val="00000000000000000000"/>
    <w:charset w:val="86"/>
    <w:family w:val="auto"/>
    <w:pitch w:val="default"/>
    <w:sig w:usb0="00000000" w:usb1="00000000" w:usb2="00000000" w:usb3="00000000" w:csb0="00000000" w:csb1="00000000"/>
  </w:font>
  <w:font w:name="Arial">
    <w:panose1 w:val="020B0604020202090204"/>
    <w:charset w:val="00"/>
    <w:family w:val="swiss"/>
    <w:pitch w:val="default"/>
    <w:sig w:usb0="E0000AFF" w:usb1="00007843" w:usb2="00000001" w:usb3="00000000" w:csb0="400001BF" w:csb1="DFF70000"/>
  </w:font>
  <w:font w:name="SimHei">
    <w:altName w:val="汉仪中黑KW"/>
    <w:panose1 w:val="02010600030101010101"/>
    <w:charset w:val="00"/>
    <w:family w:val="auto"/>
    <w:pitch w:val="default"/>
    <w:sig w:usb0="00000001" w:usb1="080E0000" w:usb2="00000010" w:usb3="00000000" w:csb0="00040000" w:csb1="00000000"/>
  </w:font>
  <w:font w:name="Courier New">
    <w:panose1 w:val="02070409020205090404"/>
    <w:charset w:val="00"/>
    <w:family w:val="modern"/>
    <w:pitch w:val="default"/>
    <w:sig w:usb0="E0000AFF" w:usb1="40007843" w:usb2="00000001" w:usb3="00000000" w:csb0="400001BF" w:csb1="DFF7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汉仪中等线KW"/>
    <w:panose1 w:val="00000000000000000000"/>
    <w:charset w:val="86"/>
    <w:family w:val="auto"/>
    <w:pitch w:val="default"/>
    <w:sig w:usb0="00000000" w:usb1="00000000" w:usb2="00000000" w:usb3="00000000" w:csb0="00000000"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SimSun">
    <w:altName w:val="汉仪书宋二KW"/>
    <w:panose1 w:val="02010600030101010101"/>
    <w:charset w:val="86"/>
    <w:family w:val="auto"/>
    <w:pitch w:val="default"/>
    <w:sig w:usb0="00000000" w:usb1="00000000" w:usb2="00000010" w:usb3="00000000" w:csb0="00040001" w:csb1="00000000"/>
  </w:font>
  <w:font w:name="Calibri Light">
    <w:altName w:val="Helvetica Neue"/>
    <w:panose1 w:val="00000000000000000000"/>
    <w:charset w:val="00"/>
    <w:family w:val="auto"/>
    <w:pitch w:val="default"/>
    <w:sig w:usb0="00000000" w:usb1="00000000" w:usb2="00000000" w:usb3="00000000" w:csb0="00000000" w:csb1="00000000"/>
  </w:font>
  <w:font w:name="汉仪中等线KW">
    <w:panose1 w:val="01010104010101010101"/>
    <w:charset w:val="86"/>
    <w:family w:val="auto"/>
    <w:pitch w:val="default"/>
    <w:sig w:usb0="800002BF" w:usb1="004F7CFA" w:usb2="00000000" w:usb3="00000000" w:csb0="00040001" w:csb1="00000000"/>
  </w:font>
  <w:font w:name="方正兰亭黑_GBK">
    <w:altName w:val="汉仪中黑KW"/>
    <w:panose1 w:val="02000000000000000000"/>
    <w:charset w:val="86"/>
    <w:family w:val="auto"/>
    <w:pitch w:val="default"/>
    <w:sig w:usb0="00000000" w:usb1="00000000" w:usb2="00000016" w:usb3="00000000" w:csb0="00040000" w:csb1="00000000"/>
  </w:font>
  <w:font w:name="汉仪中黑KW">
    <w:panose1 w:val="00020600040101010101"/>
    <w:charset w:val="86"/>
    <w:family w:val="auto"/>
    <w:pitch w:val="default"/>
    <w:sig w:usb0="A00002BF" w:usb1="18EF7CFA" w:usb2="00000016" w:usb3="00000000" w:csb0="00040000" w:csb1="00000000"/>
  </w:font>
  <w:font w:name="Consolas">
    <w:altName w:val="苹方-简"/>
    <w:panose1 w:val="020B0609020204030204"/>
    <w:charset w:val="00"/>
    <w:family w:val="modern"/>
    <w:pitch w:val="default"/>
    <w:sig w:usb0="00000000" w:usb1="00000000" w:usb2="00000009" w:usb3="00000000" w:csb0="0000019F" w:csb1="00000000"/>
  </w:font>
  <w:font w:name="苹方-简">
    <w:panose1 w:val="020B0400000000000000"/>
    <w:charset w:val="86"/>
    <w:family w:val="auto"/>
    <w:pitch w:val="default"/>
    <w:sig w:usb0="A00002FF" w:usb1="7ACFFDFB" w:usb2="00000017" w:usb3="00000000" w:csb0="00040001" w:csb1="00000000"/>
  </w:font>
  <w:font w:name="Georgia">
    <w:panose1 w:val="02040502050405090303"/>
    <w:charset w:val="00"/>
    <w:family w:val="auto"/>
    <w:pitch w:val="default"/>
    <w:sig w:usb0="00000287" w:usb1="00000000" w:usb2="00000000" w:usb3="00000000" w:csb0="2000009F" w:csb1="00000000"/>
  </w:font>
  <w:font w:name="Symbol">
    <w:altName w:val="Kingsoft Sign"/>
    <w:panose1 w:val="05050102010706020507"/>
    <w:charset w:val="02"/>
    <w:family w:val="roman"/>
    <w:pitch w:val="default"/>
    <w:sig w:usb0="00000000" w:usb1="00000000" w:usb2="00000000" w:usb3="00000000" w:csb0="80000000" w:csb1="00000000"/>
  </w:font>
  <w:font w:name="Kingsoft Sign">
    <w:panose1 w:val="05050102010706020507"/>
    <w:charset w:val="00"/>
    <w:family w:val="auto"/>
    <w:pitch w:val="default"/>
    <w:sig w:usb0="00000000" w:usb1="10000000" w:usb2="00000000" w:usb3="00000000" w:csb0="00000001" w:csb1="00000000"/>
  </w:font>
  <w:font w:name="Aptos">
    <w:altName w:val="Helvetica Neue"/>
    <w:panose1 w:val="00000000000000000000"/>
    <w:charset w:val="00"/>
    <w:family w:val="auto"/>
    <w:pitch w:val="default"/>
    <w:sig w:usb0="00000000" w:usb1="00000000" w:usb2="00000000" w:usb3="00000000" w:csb0="00000000" w:csb1="00000000"/>
  </w:font>
  <w:font w:name="Hiragino Sans CNS">
    <w:panose1 w:val="020B0300000000000000"/>
    <w:charset w:val="88"/>
    <w:family w:val="auto"/>
    <w:pitch w:val="default"/>
    <w:sig w:usb0="00000001" w:usb1="1A0F1900" w:usb2="00000016" w:usb3="00000000" w:csb0="00120005" w:csb1="00000000"/>
  </w:font>
  <w:font w:name="Farah">
    <w:panose1 w:val="00000400000000000000"/>
    <w:charset w:val="00"/>
    <w:family w:val="auto"/>
    <w:pitch w:val="default"/>
    <w:sig w:usb0="00000003" w:usb1="00000000" w:usb2="00000000" w:usb3="00000000" w:csb0="00000001" w:csb1="00000000"/>
  </w:font>
  <w:font w:name="宋体-简">
    <w:panose1 w:val="02010800040101010101"/>
    <w:charset w:val="86"/>
    <w:family w:val="auto"/>
    <w:pitch w:val="default"/>
    <w:sig w:usb0="00000001" w:usb1="080F0000" w:usb2="00000000" w:usb3="00000000" w:csb0="00040000" w:csb1="00000000"/>
  </w:font>
  <w:font w:name="Times New Roman Bold">
    <w:panose1 w:val="02020503050405090304"/>
    <w:charset w:val="00"/>
    <w:family w:val="auto"/>
    <w:pitch w:val="default"/>
    <w:sig w:usb0="E0000AFF" w:usb1="00007843" w:usb2="00000001" w:usb3="00000000" w:csb0="400001BF" w:csb1="DFF70000"/>
  </w:font>
  <w:font w:name="Times New Roman Regular">
    <w:panose1 w:val="02020503050405090304"/>
    <w:charset w:val="00"/>
    <w:family w:val="auto"/>
    <w:pitch w:val="default"/>
    <w:sig w:usb0="E0000AFF" w:usb1="00007843" w:usb2="00000001" w:usb3="00000000" w:csb0="400001BF" w:csb1="DFF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81A9595">
    <w:pPr>
      <w:jc w:val="center"/>
    </w:pPr>
    <w:r>
      <w:fldChar w:fldCharType="begin"/>
    </w:r>
    <w:r>
      <w:instrText xml:space="preserve"> PAGE </w:instrText>
    </w:r>
    <w:r>
      <w:fldChar w:fldCharType="separate"/>
    </w:r>
    <w:r>
      <w:t>1</w:t>
    </w:r>
    <w: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F692681"/>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E6F52D4">
    <w:pPr>
      <w:jc w:val="center"/>
    </w:pPr>
    <w:r>
      <w:fldChar w:fldCharType="begin"/>
    </w:r>
    <w:r>
      <w:instrText xml:space="preserve"> PAGE </w:instrText>
    </w:r>
    <w:r>
      <w:fldChar w:fldCharType="separate"/>
    </w:r>
    <w:r>
      <w:t>1</w:t>
    </w:r>
    <w:r>
      <w:fldChar w:fldCharType="end"/>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F5ABC64"/>
    <w:multiLevelType w:val="multilevel"/>
    <w:tmpl w:val="CF5ABC64"/>
    <w:lvl w:ilvl="0" w:tentative="0">
      <w:start w:val="1"/>
      <w:numFmt w:val="decimal"/>
      <w:suff w:val="space"/>
      <w:lvlText w:val="%1."/>
      <w:lvlJc w:val="left"/>
    </w:lvl>
    <w:lvl w:ilvl="1" w:tentative="0">
      <w:start w:val="1"/>
      <w:numFmt w:val="decimal"/>
      <w:suff w:val="space"/>
      <w:lvlText w:val="%1.%2."/>
      <w:lvlJc w:val="left"/>
      <w:pPr>
        <w:ind w:left="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abstractNum w:abstractNumId="1">
    <w:nsid w:val="0000A991"/>
    <w:multiLevelType w:val="multilevel"/>
    <w:tmpl w:val="0000A991"/>
    <w:lvl w:ilvl="0" w:tentative="0">
      <w:start w:val="0"/>
      <w:numFmt w:val="bullet"/>
      <w:lvlText w:val=""/>
      <w:lvlJc w:val="left"/>
      <w:pPr>
        <w:ind w:left="720" w:hanging="360"/>
      </w:pPr>
      <w:rPr>
        <w:rFonts w:hint="default" w:ascii="Symbol" w:hAnsi="Symbol" w:cs="Symbol"/>
      </w:rPr>
    </w:lvl>
    <w:lvl w:ilvl="1" w:tentative="0">
      <w:start w:val="0"/>
      <w:numFmt w:val="bullet"/>
      <w:lvlText w:val="o"/>
      <w:lvlJc w:val="left"/>
      <w:pPr>
        <w:ind w:left="1440" w:hanging="360"/>
      </w:pPr>
      <w:rPr>
        <w:rFonts w:hint="default" w:ascii="Courier New" w:hAnsi="Courier New" w:cs="Courier New"/>
      </w:rPr>
    </w:lvl>
    <w:lvl w:ilvl="2" w:tentative="0">
      <w:start w:val="0"/>
      <w:numFmt w:val="bullet"/>
      <w:lvlText w:val=""/>
      <w:lvlJc w:val="left"/>
      <w:pPr>
        <w:ind w:left="2160" w:hanging="360"/>
      </w:pPr>
      <w:rPr>
        <w:rFonts w:hint="default" w:ascii="Wingdings" w:hAnsi="Wingdings" w:cs="Wingdings"/>
      </w:rPr>
    </w:lvl>
    <w:lvl w:ilvl="3" w:tentative="0">
      <w:start w:val="0"/>
      <w:numFmt w:val="bullet"/>
      <w:lvlText w:val=""/>
      <w:lvlJc w:val="left"/>
      <w:pPr>
        <w:ind w:left="2880" w:hanging="360"/>
      </w:pPr>
      <w:rPr>
        <w:rFonts w:hint="default" w:ascii="Symbol" w:hAnsi="Symbol" w:cs="Symbol"/>
      </w:rPr>
    </w:lvl>
    <w:lvl w:ilvl="4" w:tentative="0">
      <w:start w:val="0"/>
      <w:numFmt w:val="bullet"/>
      <w:lvlText w:val="o"/>
      <w:lvlJc w:val="left"/>
      <w:pPr>
        <w:ind w:left="3600" w:hanging="360"/>
      </w:pPr>
      <w:rPr>
        <w:rFonts w:hint="default" w:ascii="Courier New" w:hAnsi="Courier New" w:cs="Courier New"/>
      </w:rPr>
    </w:lvl>
    <w:lvl w:ilvl="5" w:tentative="0">
      <w:start w:val="0"/>
      <w:numFmt w:val="bullet"/>
      <w:lvlText w:val=""/>
      <w:lvlJc w:val="left"/>
      <w:pPr>
        <w:ind w:left="4320" w:hanging="360"/>
      </w:pPr>
      <w:rPr>
        <w:rFonts w:hint="default" w:ascii="Wingdings" w:hAnsi="Wingdings" w:cs="Wingdings"/>
      </w:rPr>
    </w:lvl>
    <w:lvl w:ilvl="6" w:tentative="0">
      <w:start w:val="0"/>
      <w:numFmt w:val="bullet"/>
      <w:lvlText w:val=""/>
      <w:lvlJc w:val="left"/>
      <w:pPr>
        <w:ind w:left="5040" w:hanging="360"/>
      </w:pPr>
      <w:rPr>
        <w:rFonts w:hint="default" w:ascii="Symbol" w:hAnsi="Symbol" w:cs="Symbol"/>
      </w:rPr>
    </w:lvl>
    <w:lvl w:ilvl="7" w:tentative="0">
      <w:start w:val="0"/>
      <w:numFmt w:val="bullet"/>
      <w:lvlText w:val="o"/>
      <w:lvlJc w:val="left"/>
      <w:pPr>
        <w:ind w:left="5760" w:hanging="360"/>
      </w:pPr>
      <w:rPr>
        <w:rFonts w:hint="default" w:ascii="Courier New" w:hAnsi="Courier New" w:cs="Courier New"/>
      </w:rPr>
    </w:lvl>
    <w:lvl w:ilvl="8" w:tentative="0">
      <w:start w:val="0"/>
      <w:numFmt w:val="bullet"/>
      <w:lvlText w:val=""/>
      <w:lvlJc w:val="left"/>
      <w:pPr>
        <w:ind w:left="6480" w:hanging="360"/>
      </w:pPr>
      <w:rPr>
        <w:rFonts w:hint="default" w:ascii="Wingdings" w:hAnsi="Wingdings" w:cs="Wingdings"/>
      </w:rPr>
    </w:lvl>
  </w:abstractNum>
  <w:abstractNum w:abstractNumId="2">
    <w:nsid w:val="00A99411"/>
    <w:multiLevelType w:val="multilevel"/>
    <w:tmpl w:val="00A99411"/>
    <w:lvl w:ilvl="0" w:tentative="0">
      <w:start w:val="1"/>
      <w:numFmt w:val="decimal"/>
      <w:lvlText w:val="%1."/>
      <w:lvlJc w:val="left"/>
      <w:pPr>
        <w:ind w:left="720" w:hanging="360"/>
      </w:pPr>
    </w:lvl>
    <w:lvl w:ilvl="1" w:tentative="0">
      <w:start w:val="1"/>
      <w:numFmt w:val="decimal"/>
      <w:lvlText w:val="%2."/>
      <w:lvlJc w:val="left"/>
      <w:pPr>
        <w:ind w:left="1440" w:hanging="360"/>
      </w:pPr>
    </w:lvl>
    <w:lvl w:ilvl="2" w:tentative="0">
      <w:start w:val="1"/>
      <w:numFmt w:val="decimal"/>
      <w:lvlText w:val="%3."/>
      <w:lvlJc w:val="left"/>
      <w:pPr>
        <w:ind w:left="2160" w:hanging="360"/>
      </w:pPr>
    </w:lvl>
    <w:lvl w:ilvl="3" w:tentative="0">
      <w:start w:val="1"/>
      <w:numFmt w:val="decimal"/>
      <w:lvlText w:val="%4."/>
      <w:lvlJc w:val="left"/>
      <w:pPr>
        <w:ind w:left="2880" w:hanging="360"/>
      </w:pPr>
    </w:lvl>
    <w:lvl w:ilvl="4" w:tentative="0">
      <w:start w:val="1"/>
      <w:numFmt w:val="decimal"/>
      <w:lvlText w:val="%5."/>
      <w:lvlJc w:val="left"/>
      <w:pPr>
        <w:ind w:left="3600" w:hanging="360"/>
      </w:pPr>
    </w:lvl>
    <w:lvl w:ilvl="5" w:tentative="0">
      <w:start w:val="1"/>
      <w:numFmt w:val="decimal"/>
      <w:lvlText w:val="%6."/>
      <w:lvlJc w:val="left"/>
      <w:pPr>
        <w:ind w:left="4320" w:hanging="360"/>
      </w:pPr>
    </w:lvl>
    <w:lvl w:ilvl="6" w:tentative="0">
      <w:start w:val="1"/>
      <w:numFmt w:val="decimal"/>
      <w:lvlText w:val="%7."/>
      <w:lvlJc w:val="left"/>
      <w:pPr>
        <w:ind w:left="5040" w:hanging="360"/>
      </w:pPr>
    </w:lvl>
    <w:lvl w:ilvl="7" w:tentative="0">
      <w:start w:val="1"/>
      <w:numFmt w:val="decimal"/>
      <w:lvlText w:val="%8."/>
      <w:lvlJc w:val="left"/>
      <w:pPr>
        <w:ind w:left="5760" w:hanging="360"/>
      </w:pPr>
    </w:lvl>
    <w:lvl w:ilvl="8" w:tentative="0">
      <w:start w:val="1"/>
      <w:numFmt w:val="decimal"/>
      <w:lvlText w:val="%9."/>
      <w:lvlJc w:val="left"/>
      <w:pPr>
        <w:ind w:left="6480" w:hanging="360"/>
      </w:pPr>
    </w:lvl>
  </w:abstractNum>
  <w:num w:numId="1">
    <w:abstractNumId w:val="0"/>
  </w:num>
  <w:num w:numId="2">
    <w:abstractNumId w:val="1"/>
  </w:num>
  <w:num w:numId="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7"/>
  <w:doNotDisplayPageBoundaries w:val="1"/>
  <w:embedSystemFonts/>
  <w:bordersDoNotSurroundHeader w:val="0"/>
  <w:bordersDoNotSurroundFooter w:val="0"/>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doNotWrapTextWithPunct/>
    <w:doNotUseEastAsianBreakRules/>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FE3DCC5"/>
    <w:rsid w:val="3AFF2357"/>
    <w:rsid w:val="3D2872DD"/>
    <w:rsid w:val="3DFE3E83"/>
    <w:rsid w:val="53DCA1C4"/>
    <w:rsid w:val="56936E3F"/>
    <w:rsid w:val="6F55D8B0"/>
    <w:rsid w:val="6FE3DCC5"/>
    <w:rsid w:val="7F9709D3"/>
    <w:rsid w:val="7FBE79D8"/>
    <w:rsid w:val="97FF3E14"/>
    <w:rsid w:val="9ADBFC10"/>
    <w:rsid w:val="9DEF091E"/>
    <w:rsid w:val="BF898AE0"/>
    <w:rsid w:val="EFFFE114"/>
    <w:rsid w:val="F29768D6"/>
    <w:rsid w:val="F6571782"/>
    <w:rsid w:val="FBBFB7B1"/>
    <w:rsid w:val="FFC272D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9"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iPriority="39" w:semiHidden="0" w:name="toc 1"/>
    <w:lsdException w:uiPriority="39" w:semiHidden="0" w:name="toc 2"/>
    <w:lsdException w:uiPriority="39"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unhideWhenUsed="0" w:uiPriority="0" w:semiHidden="0" w:name="caption"/>
    <w:lsdException w:uiPriority="99"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iPriority="99"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left"/>
    </w:pPr>
    <w:rPr>
      <w:rFonts w:asciiTheme="minorHAnsi" w:hAnsiTheme="minorHAnsi" w:eastAsiaTheme="minorEastAsia" w:cstheme="minorBidi"/>
      <w:color w:val="1D2738"/>
      <w:kern w:val="2"/>
      <w:sz w:val="22"/>
      <w:szCs w:val="24"/>
      <w:lang w:val="en-US" w:eastAsia="zh-CN" w:bidi="ar-SA"/>
    </w:rPr>
  </w:style>
  <w:style w:type="paragraph" w:styleId="2">
    <w:name w:val="heading 2"/>
    <w:basedOn w:val="1"/>
    <w:next w:val="3"/>
    <w:semiHidden/>
    <w:unhideWhenUsed/>
    <w:qFormat/>
    <w:uiPriority w:val="9"/>
    <w:pPr>
      <w:keepNext/>
      <w:keepLines/>
      <w:spacing w:before="160" w:after="80"/>
      <w:outlineLvl w:val="1"/>
    </w:pPr>
    <w:rPr>
      <w:rFonts w:asciiTheme="majorHAnsi" w:hAnsiTheme="majorHAnsi" w:eastAsiaTheme="majorEastAsia" w:cstheme="majorBidi"/>
      <w:b/>
      <w:color w:val="0D2554"/>
      <w:sz w:val="26"/>
      <w:szCs w:val="32"/>
    </w:rPr>
  </w:style>
  <w:style w:type="character" w:default="1" w:styleId="4">
    <w:name w:val="Default Paragraph Font"/>
    <w:semiHidden/>
    <w:uiPriority w:val="0"/>
  </w:style>
  <w:style w:type="table" w:default="1" w:styleId="5">
    <w:name w:val="Normal Table"/>
    <w:semiHidden/>
    <w:uiPriority w:val="0"/>
    <w:tblPr>
      <w:tblCellMar>
        <w:top w:w="0" w:type="dxa"/>
        <w:left w:w="108" w:type="dxa"/>
        <w:bottom w:w="0" w:type="dxa"/>
        <w:right w:w="108" w:type="dxa"/>
      </w:tblCellMar>
    </w:tblPr>
  </w:style>
  <w:style w:type="paragraph" w:styleId="3">
    <w:name w:val="Body Text"/>
    <w:basedOn w:val="1"/>
    <w:qFormat/>
    <w:uiPriority w:val="0"/>
    <w:pPr>
      <w:spacing w:before="180" w:after="180"/>
      <w:jc w:val="left"/>
    </w:pPr>
  </w:style>
  <w:style w:type="paragraph" w:styleId="6">
    <w:name w:val="Block Text"/>
    <w:basedOn w:val="3"/>
    <w:next w:val="3"/>
    <w:unhideWhenUsed/>
    <w:qFormat/>
    <w:uiPriority w:val="9"/>
    <w:pPr>
      <w:pBdr>
        <w:top w:val="none" w:color="auto" w:sz="0" w:space="1"/>
        <w:left w:val="none" w:color="auto" w:sz="0" w:space="4"/>
        <w:bottom w:val="none" w:color="auto" w:sz="0" w:space="1"/>
        <w:right w:val="none" w:color="auto" w:sz="0" w:space="4"/>
      </w:pBdr>
      <w:spacing w:before="100" w:after="100"/>
      <w:ind w:left="480" w:right="480"/>
    </w:pPr>
    <w:rPr>
      <w:rFonts w:asciiTheme="minorAscii" w:hAnsiTheme="minorAscii"/>
    </w:rPr>
  </w:style>
  <w:style w:type="paragraph" w:styleId="7">
    <w:name w:val="caption"/>
    <w:basedOn w:val="1"/>
    <w:link w:val="19"/>
    <w:uiPriority w:val="0"/>
    <w:pPr>
      <w:spacing w:after="120"/>
    </w:pPr>
    <w:rPr>
      <w:i/>
    </w:rPr>
  </w:style>
  <w:style w:type="paragraph" w:styleId="8">
    <w:name w:val="Document Map"/>
    <w:basedOn w:val="1"/>
    <w:uiPriority w:val="0"/>
    <w:pPr>
      <w:shd w:val="clear" w:color="auto" w:fill="000080"/>
    </w:pPr>
  </w:style>
  <w:style w:type="paragraph" w:styleId="9">
    <w:name w:val="Normal (Web)"/>
    <w:basedOn w:val="1"/>
    <w:uiPriority w:val="0"/>
    <w:rPr>
      <w:sz w:val="24"/>
    </w:rPr>
  </w:style>
  <w:style w:type="table" w:styleId="10">
    <w:name w:val="Table Grid"/>
    <w:basedOn w:val="5"/>
    <w:uiPriority w:val="0"/>
    <w:pPr>
      <w:spacing w:after="0"/>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1">
    <w:name w:val="table of figures"/>
    <w:basedOn w:val="1"/>
    <w:next w:val="1"/>
    <w:unhideWhenUsed/>
    <w:uiPriority w:val="99"/>
    <w:pPr>
      <w:ind w:leftChars="200" w:hanging="200" w:hangingChars="200"/>
    </w:pPr>
  </w:style>
  <w:style w:type="table" w:styleId="12">
    <w:name w:val="Table Professional"/>
    <w:basedOn w:val="5"/>
    <w:unhideWhenUsed/>
    <w:uiPriority w:val="99"/>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firstRow">
      <w:rPr>
        <w:b/>
        <w:bCs/>
        <w:color w:val="auto"/>
      </w:rPr>
      <w:tblPr/>
      <w:tcPr>
        <w:tcBorders>
          <w:tl2br w:val="nil"/>
          <w:tr2bl w:val="nil"/>
        </w:tcBorders>
        <w:shd w:val="solid" w:color="000000" w:fill="FFFFFF"/>
      </w:tcPr>
    </w:tblStylePr>
  </w:style>
  <w:style w:type="paragraph" w:styleId="13">
    <w:name w:val="toc 2"/>
    <w:basedOn w:val="1"/>
    <w:next w:val="1"/>
    <w:unhideWhenUsed/>
    <w:uiPriority w:val="39"/>
    <w:pPr>
      <w:ind w:left="420" w:leftChars="200"/>
    </w:pPr>
  </w:style>
  <w:style w:type="paragraph" w:customStyle="1" w:styleId="14">
    <w:name w:val="First Paragraph"/>
    <w:basedOn w:val="3"/>
    <w:next w:val="3"/>
    <w:qFormat/>
    <w:uiPriority w:val="0"/>
    <w:pPr>
      <w:jc w:val="left"/>
    </w:pPr>
  </w:style>
  <w:style w:type="paragraph" w:customStyle="1" w:styleId="15">
    <w:name w:val="TF_Styles_Table_Title_Suo"/>
    <w:qFormat/>
    <w:uiPriority w:val="0"/>
    <w:pPr>
      <w:widowControl w:val="0"/>
      <w:suppressAutoHyphens/>
      <w:ind w:left="2552"/>
    </w:pPr>
    <w:rPr>
      <w:rFonts w:ascii="等线" w:hAnsi="等线" w:eastAsia="方正兰亭黑_GBK" w:cs="Times New Roman"/>
      <w:b/>
      <w:color w:val="4D4D4F"/>
      <w:kern w:val="2"/>
      <w:sz w:val="16"/>
      <w:szCs w:val="22"/>
      <w:lang w:val="en-US" w:eastAsia="zh-CN" w:bidi="ar-SA"/>
    </w:rPr>
  </w:style>
  <w:style w:type="paragraph" w:customStyle="1" w:styleId="16">
    <w:name w:val="Compact"/>
    <w:basedOn w:val="3"/>
    <w:qFormat/>
    <w:uiPriority w:val="0"/>
    <w:pPr>
      <w:spacing w:before="36" w:after="36"/>
      <w:jc w:val="left"/>
    </w:pPr>
  </w:style>
  <w:style w:type="table" w:customStyle="1" w:styleId="17">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character" w:customStyle="1" w:styleId="18">
    <w:name w:val="Verbatim Char"/>
    <w:basedOn w:val="19"/>
    <w:link w:val="20"/>
    <w:uiPriority w:val="0"/>
  </w:style>
  <w:style w:type="character" w:customStyle="1" w:styleId="19">
    <w:name w:val="题注 字符"/>
    <w:basedOn w:val="4"/>
    <w:link w:val="7"/>
    <w:uiPriority w:val="0"/>
    <w:rPr>
      <w:i/>
    </w:rPr>
  </w:style>
  <w:style w:type="paragraph" w:customStyle="1" w:styleId="20">
    <w:name w:val="Source Code"/>
    <w:basedOn w:val="1"/>
    <w:link w:val="18"/>
    <w:uiPriority w:val="0"/>
    <w:pPr>
      <w:wordWrap w:val="0"/>
    </w:pPr>
  </w:style>
  <w:style w:type="character" w:customStyle="1" w:styleId="21">
    <w:name w:val="ExtensionTok"/>
    <w:basedOn w:val="18"/>
    <w:uiPriority w:val="0"/>
    <w:rPr>
      <w:rFonts w:ascii="Consolas" w:hAnsi="Consolas"/>
      <w:sz w:val="22"/>
    </w:rPr>
  </w:style>
  <w:style w:type="character" w:customStyle="1" w:styleId="22">
    <w:name w:val="NormalTok"/>
    <w:basedOn w:val="18"/>
    <w:uiPriority w:val="0"/>
    <w:rPr>
      <w:rFonts w:ascii="Consolas" w:hAnsi="Consolas"/>
      <w:sz w:val="22"/>
    </w:rPr>
  </w:style>
  <w:style w:type="character" w:customStyle="1" w:styleId="23">
    <w:name w:val="AttributeTok"/>
    <w:basedOn w:val="18"/>
    <w:uiPriority w:val="0"/>
    <w:rPr>
      <w:rFonts w:ascii="Consolas" w:hAnsi="Consolas"/>
      <w:color w:val="7D9029"/>
      <w:sz w:val="22"/>
    </w:rPr>
  </w:style>
  <w:style w:type="table" w:customStyle="1" w:styleId="24">
    <w:name w:val="Plain Table 2"/>
    <w:basedOn w:val="5"/>
    <w:uiPriority w:val="0"/>
    <w:pPr>
      <w:spacing w:after="0"/>
    </w:pPr>
    <w:tblPr>
      <w:tblBorders>
        <w:top w:val="single" w:color="7E7E7E" w:themeColor="text1" w:themeTint="80" w:sz="4" w:space="0"/>
        <w:bottom w:val="single" w:color="7E7E7E" w:themeColor="text1" w:themeTint="80" w:sz="4" w:space="0"/>
      </w:tblBorders>
    </w:tblPr>
    <w:tblStylePr w:type="firstRow">
      <w:rPr>
        <w:b/>
        <w:bCs/>
      </w:rPr>
      <w:tcPr>
        <w:tcBorders>
          <w:bottom w:val="single" w:color="7E7E7E" w:themeColor="text1" w:themeTint="80" w:sz="4" w:space="0"/>
        </w:tcBorders>
      </w:tcPr>
    </w:tblStylePr>
    <w:tblStylePr w:type="lastRow">
      <w:rPr>
        <w:b/>
        <w:bCs/>
      </w:rPr>
      <w:tcPr>
        <w:tcBorders>
          <w:top w:val="single" w:color="7E7E7E" w:themeColor="text1" w:themeTint="80" w:sz="4" w:space="0"/>
        </w:tcBorders>
      </w:tcPr>
    </w:tblStylePr>
    <w:tblStylePr w:type="firstCol">
      <w:rPr>
        <w:b/>
        <w:bCs/>
      </w:rPr>
    </w:tblStylePr>
    <w:tblStylePr w:type="lastCol">
      <w:rPr>
        <w:b/>
        <w:bCs/>
      </w:rPr>
    </w:tblStylePr>
    <w:tblStylePr w:type="band1Vert">
      <w:tcPr>
        <w:tcBorders>
          <w:left w:val="single" w:color="7E7E7E" w:themeColor="text1" w:themeTint="80" w:sz="4" w:space="0"/>
          <w:right w:val="single" w:color="7E7E7E" w:themeColor="text1" w:themeTint="80" w:sz="4" w:space="0"/>
        </w:tcBorders>
      </w:tcPr>
    </w:tblStylePr>
    <w:tblStylePr w:type="band2Vert">
      <w:tcPr>
        <w:tcBorders>
          <w:left w:val="single" w:color="7E7E7E" w:themeColor="text1" w:themeTint="80" w:sz="4" w:space="0"/>
          <w:right w:val="single" w:color="7E7E7E" w:themeColor="text1" w:themeTint="80" w:sz="4" w:space="0"/>
        </w:tcBorders>
      </w:tcPr>
    </w:tblStylePr>
    <w:tblStylePr w:type="band1Horz">
      <w:tcPr>
        <w:tcBorders>
          <w:top w:val="single" w:color="7E7E7E" w:themeColor="text1" w:themeTint="80" w:sz="4" w:space="0"/>
          <w:bottom w:val="single" w:color="7E7E7E" w:themeColor="text1" w:themeTint="80" w:sz="4" w:space="0"/>
        </w:tcBorders>
      </w:tcPr>
    </w:tblStylePr>
  </w:style>
  <w:style w:type="character" w:customStyle="1" w:styleId="25">
    <w:name w:val="font21"/>
    <w:basedOn w:val="4"/>
    <w:uiPriority w:val="0"/>
    <w:rPr>
      <w:rFonts w:hint="eastAsia" w:ascii="SimSun" w:hAnsi="SimSun" w:eastAsia="SimSun" w:cs="SimSun"/>
      <w:color w:val="000000"/>
      <w:sz w:val="22"/>
      <w:szCs w:val="22"/>
      <w:u w:val="none"/>
    </w:rPr>
  </w:style>
  <w:style w:type="character" w:customStyle="1" w:styleId="26">
    <w:name w:val="样式1"/>
    <w:basedOn w:val="4"/>
    <w:uiPriority w:val="0"/>
    <w:rPr>
      <w:rFonts w:ascii="Times New Roman" w:hAnsi="Times New Roman" w:eastAsiaTheme="majorAscii"/>
    </w:rPr>
  </w:style>
  <w:style w:type="paragraph" w:customStyle="1" w:styleId="27">
    <w:name w:val="TF_Styles_Graph_Title"/>
    <w:basedOn w:val="28"/>
    <w:qFormat/>
    <w:uiPriority w:val="0"/>
    <w:pPr>
      <w:widowControl w:val="0"/>
      <w:spacing w:before="0" w:beforeLines="0" w:after="0" w:line="240" w:lineRule="auto"/>
      <w:ind w:left="2552" w:leftChars="0"/>
    </w:pPr>
    <w:rPr>
      <w:color w:val="4D4D4F"/>
      <w:sz w:val="16"/>
    </w:rPr>
  </w:style>
  <w:style w:type="paragraph" w:customStyle="1" w:styleId="28">
    <w:name w:val="TF_Styles_Mulu_Title"/>
    <w:uiPriority w:val="0"/>
    <w:pPr>
      <w:spacing w:before="100" w:beforeLines="100" w:after="156" w:line="240" w:lineRule="exact"/>
      <w:ind w:left="1215" w:leftChars="1215"/>
    </w:pPr>
    <w:rPr>
      <w:rFonts w:ascii="等线" w:hAnsi="等线" w:eastAsia="方正兰亭黑_GBK" w:cs="Times New Roman"/>
      <w:b/>
      <w:color w:val="F58220"/>
      <w:kern w:val="2"/>
      <w:sz w:val="28"/>
      <w:szCs w:val="22"/>
      <w:lang w:val="en-US" w:eastAsia="zh-CN" w:bidi="ar-SA"/>
    </w:rPr>
  </w:style>
  <w:style w:type="paragraph" w:customStyle="1" w:styleId="29">
    <w:name w:val="TF_Styles_Graph_Source"/>
    <w:qFormat/>
    <w:uiPriority w:val="0"/>
    <w:rPr>
      <w:rFonts w:ascii="等线" w:hAnsi="等线" w:eastAsia="方正兰亭黑_GBK" w:cs="Times New Roman"/>
      <w:color w:val="4D4D4F"/>
      <w:kern w:val="2"/>
      <w:sz w:val="14"/>
      <w:szCs w:val="22"/>
      <w:lang w:val="en-US" w:eastAsia="zh-CN" w:bidi="ar-SA"/>
    </w:r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3.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4" Type="http://schemas.openxmlformats.org/officeDocument/2006/relationships/glossaryDocument" Target="glossary/document.xml"/><Relationship Id="rId13" Type="http://schemas.openxmlformats.org/officeDocument/2006/relationships/fontTable" Target="fontTable.xml"/><Relationship Id="rId12" Type="http://schemas.openxmlformats.org/officeDocument/2006/relationships/numbering" Target="numbering.xml"/><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glossary/_rels/document.xml.rels><?xml version="1.0" encoding="UTF-8" standalone="yes"?>
<Relationships xmlns="http://schemas.openxmlformats.org/package/2006/relationships"><Relationship Id="rId3"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docParts>
    <w:docPart>
      <w:docPartPr>
        <w:name w:val="{ffb22cae-2d36-4357-b4b7-c458cc33ef3b}"/>
        <w:style w:val=""/>
        <w:category>
          <w:name w:val="常规"/>
          <w:gallery w:val="placeholder"/>
        </w:category>
        <w:types>
          <w:type w:val="bbPlcHdr"/>
        </w:types>
        <w:behaviors>
          <w:behavior w:val="content"/>
        </w:behaviors>
        <w:description w:val=""/>
        <w:guid w:val="{ffb22cae-2d36-4357-b4b7-c458cc33ef3b}"/>
      </w:docPartPr>
      <w:docPartBody>
        <w:p w14:paraId="65360DD7">
          <w:pPr>
            <w:pStyle w:val="3"/>
          </w:pPr>
          <w:r>
            <w:rPr>
              <w:rStyle w:val="4"/>
            </w:rPr>
            <w:t>单击此处输入文字。</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汉仪书宋二KW"/>
    <w:panose1 w:val="00000000000000000000"/>
    <w:charset w:val="86"/>
    <w:family w:val="auto"/>
    <w:pitch w:val="default"/>
    <w:sig w:usb0="00000000" w:usb1="00000000" w:usb2="00000000" w:usb3="00000000" w:csb0="00000000" w:csb1="00000000"/>
  </w:font>
  <w:font w:name="Arial">
    <w:panose1 w:val="020B0604020202090204"/>
    <w:charset w:val="00"/>
    <w:family w:val="swiss"/>
    <w:pitch w:val="default"/>
    <w:sig w:usb0="E0000AFF" w:usb1="00007843" w:usb2="00000001" w:usb3="00000000" w:csb0="400001BF" w:csb1="DFF70000"/>
  </w:font>
  <w:font w:name="SimHei">
    <w:altName w:val="汉仪中黑KW"/>
    <w:panose1 w:val="02010600030101010101"/>
    <w:charset w:val="00"/>
    <w:family w:val="auto"/>
    <w:pitch w:val="default"/>
    <w:sig w:usb0="00000001" w:usb1="080E0000" w:usb2="00000010" w:usb3="00000000" w:csb0="00040000" w:csb1="00000000"/>
  </w:font>
  <w:font w:name="Courier New">
    <w:panose1 w:val="02070409020205090404"/>
    <w:charset w:val="00"/>
    <w:family w:val="modern"/>
    <w:pitch w:val="default"/>
    <w:sig w:usb0="E0000AFF" w:usb1="40007843" w:usb2="00000001" w:usb3="00000000" w:csb0="400001BF" w:csb1="DFF7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汉仪中等线KW"/>
    <w:panose1 w:val="00000000000000000000"/>
    <w:charset w:val="86"/>
    <w:family w:val="auto"/>
    <w:pitch w:val="default"/>
    <w:sig w:usb0="00000000" w:usb1="00000000" w:usb2="00000000" w:usb3="00000000" w:csb0="00000000" w:csb1="00000000"/>
  </w:font>
  <w:font w:name="Helvetica Neue">
    <w:panose1 w:val="02000503000000020004"/>
    <w:charset w:val="00"/>
    <w:family w:val="auto"/>
    <w:pitch w:val="default"/>
    <w:sig w:usb0="E50002FF" w:usb1="500079DB" w:usb2="00000010" w:usb3="00000000" w:csb0="00000000" w:csb1="00000000"/>
  </w:font>
  <w:font w:name="SimSun">
    <w:altName w:val="汉仪书宋二KW"/>
    <w:panose1 w:val="02010600030101010101"/>
    <w:charset w:val="86"/>
    <w:family w:val="auto"/>
    <w:pitch w:val="default"/>
    <w:sig w:usb0="00000000" w:usb1="00000000" w:usb2="00000010" w:usb3="00000000" w:csb0="00040001" w:csb1="00000000"/>
  </w:font>
  <w:font w:name="汉仪书宋二KW">
    <w:panose1 w:val="00020600040101010101"/>
    <w:charset w:val="86"/>
    <w:family w:val="auto"/>
    <w:pitch w:val="default"/>
    <w:sig w:usb0="A00002BF" w:usb1="18EF7CFA" w:usb2="00000016" w:usb3="00000000" w:csb0="00040000" w:csb1="00000000"/>
  </w:font>
  <w:font w:name="汉仪中黑KW">
    <w:panose1 w:val="00020600040101010101"/>
    <w:charset w:val="86"/>
    <w:family w:val="auto"/>
    <w:pitch w:val="default"/>
    <w:sig w:usb0="A00002BF" w:usb1="18EF7CFA" w:usb2="00000016" w:usb3="00000000" w:csb0="00040000" w:csb1="00000000"/>
  </w:font>
  <w:font w:name="汉仪中等线KW">
    <w:panose1 w:val="01010104010101010101"/>
    <w:charset w:val="86"/>
    <w:family w:val="auto"/>
    <w:pitch w:val="default"/>
    <w:sig w:usb0="800002BF" w:usb1="004F7CFA" w:usb2="00000000" w:usb3="00000000" w:csb0="00040001"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doNotDisplayPageBoundaries w:val="1"/>
  <w:compat>
    <w:splitPgBreakAndParaMark/>
    <w:compatSetting w:name="compatibilityMode" w:uri="http://schemas.microsoft.com/office/word" w:val="14"/>
  </w:compat>
  <w:rsids>
    <w:rsidRoot w:val="00000000"/>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glossary/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uiPriority="1" w:name="Default Paragraph Font"/>
    <w:lsdException w:unhideWhenUsed="0" w:uiPriority="99" w:name="Placeholder Text"/>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2">
    <w:name w:val="Default Paragraph Font"/>
    <w:semiHidden/>
    <w:unhideWhenUsed/>
    <w:uiPriority w:val="1"/>
  </w:style>
  <w:style w:type="paragraph" w:customStyle="1" w:styleId="3">
    <w:name w:val="F51D515E04FB486582AEFC51CCAC8BD1"/>
    <w:uiPriority w:val="0"/>
    <w:pPr>
      <w:widowControl w:val="0"/>
      <w:jc w:val="both"/>
    </w:pPr>
    <w:rPr>
      <w:rFonts w:asciiTheme="minorHAnsi" w:hAnsiTheme="minorHAnsi" w:eastAsiaTheme="minorEastAsia" w:cstheme="minorBidi"/>
      <w:kern w:val="2"/>
      <w:sz w:val="21"/>
      <w:szCs w:val="22"/>
      <w:lang w:val="en-US" w:eastAsia="zh-CN" w:bidi="ar-SA"/>
    </w:rPr>
  </w:style>
  <w:style w:type="character" w:styleId="4">
    <w:name w:val="Placeholder Text"/>
    <w:basedOn w:val="2"/>
    <w:semiHidden/>
    <w:uiPriority w:val="99"/>
    <w:rPr>
      <w:color w:val="808080"/>
    </w:rPr>
  </w:style>
</w:style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21</Pages>
  <Words>0</Words>
  <Characters>0</Characters>
  <Lines>1</Lines>
  <Paragraphs>1</Paragraphs>
  <TotalTime>8</TotalTime>
  <ScaleCrop>false</ScaleCrop>
  <LinksUpToDate>false</LinksUpToDate>
  <CharactersWithSpaces>0</CharactersWithSpaces>
  <Application>WPS Office_12.1.23540.23540_F1E327BC-269C-435d-A152-05C5408002CA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2026-05-16T18:45:00Z</dcterms:created>
  <dc:creator>君泽</dc:creator>
  <cp:lastModifiedBy>会飞的豆</cp:lastModifiedBy>
  <dcterms:modified xsi:type="dcterms:W3CDTF">2026-05-18T18:18:29Z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1033-12.1.23540.23540</vt:lpwstr>
  </property>
  <property fmtid="{D5CDD505-2E9C-101B-9397-08002B2CF9AE}" pid="3" name="ICV">
    <vt:lpwstr>95E2D0CCC1376C55D977076AE6A14E2F_41</vt:lpwstr>
  </property>
</Properties>
</file>