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E1E1E"/>
          <w:sz w:val="36"/>
          <w:szCs w:val="36"/>
        </w:rPr>
        <w:t xml:space="preserve">Der Stromkrieg (War of Currents)</w:t>
      </w:r>
    </w:p>
    <w:p>
      <w:pPr>
        <w:spacing w:after="60"/>
      </w:pPr>
      <w:r>
        <w:rPr>
          <w:rFonts w:ascii="Arial" w:cs="Arial" w:eastAsia="Arial" w:hAnsi="Arial"/>
          <w:color w:val="0E7C9E"/>
          <w:sz w:val="22"/>
          <w:szCs w:val="22"/>
        </w:rPr>
        <w:t xml:space="preserve">Edison vs. Westinghouse – der Kampf um Amerikas Stromnetz und die Rolle von Nikola Tesla</w:t>
      </w:r>
    </w:p>
    <w:p>
      <w:pPr>
        <w:pBdr>
          <w:bottom w:val="single" w:color="C9D3D8" w:sz="6" w:space="6"/>
        </w:pBdr>
        <w:spacing w:after="160"/>
      </w:pPr>
      <w:r>
        <w:rPr>
          <w:rFonts w:ascii="Arial" w:cs="Arial" w:eastAsia="Arial" w:hAnsi="Arial"/>
          <w:color w:val="5F5D58"/>
          <w:sz w:val="18"/>
          <w:szCs w:val="18"/>
        </w:rPr>
        <w:t xml:space="preserve">Handout zum Referat · Modul «Weltmacht USA» (FHNW) · Dozent: Stephan Schwarz · Simon Bruder · 10.12.2026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5F8" w:color="auto" w:val="clear"/>
            <w:tcMar>
              <w:top w:type="dxa" w:w="120"/>
              <w:left w:type="dxa" w:w="160"/>
              <w:bottom w:type="dxa" w:w="80"/>
              <w:right w:type="dxa" w:w="160"/>
            </w:tcMar>
          </w:tcPr>
          <w:p>
            <w:pPr>
              <w:spacing w:after="100" w:line="264"/>
            </w:pPr>
            <w:r>
              <w:rPr>
                <w:rFonts w:ascii="Arial" w:cs="Arial" w:eastAsia="Arial" w:hAnsi="Arial"/>
                <w:b/>
                <w:bCs/>
                <w:color w:val="1E1E1E"/>
              </w:rPr>
              <w:t xml:space="preserve">Leitfrage:</w:t>
            </w:r>
            <w:r>
              <w:rPr>
                <w:rFonts w:ascii="Arial" w:cs="Arial" w:eastAsia="Arial" w:hAnsi="Arial"/>
                <w:color w:val="1E1E1E"/>
              </w:rPr>
              <w:t xml:space="preserve"> Warum setzte sich in den USA der Wechselstrom gegen Edisons Gleichstrom durch – und was zeigt dieser Konflikt über den Aufstieg der USA zur führenden Industriemacht?</w:t>
            </w:r>
          </w:p>
          <w:p>
            <w:pPr>
              <w:spacing w:after="100" w:line="264"/>
            </w:pPr>
            <w:r>
              <w:rPr>
                <w:rFonts w:ascii="Arial" w:cs="Arial" w:eastAsia="Arial" w:hAnsi="Arial"/>
                <w:b/>
                <w:bCs/>
                <w:color w:val="1E1E1E"/>
              </w:rPr>
              <w:t xml:space="preserve">These:</w:t>
            </w:r>
            <w:r>
              <w:rPr>
                <w:rFonts w:ascii="Arial" w:cs="Arial" w:eastAsia="Arial" w:hAnsi="Arial"/>
                <w:color w:val="1E1E1E"/>
              </w:rPr>
              <w:t xml:space="preserve"> Den «Stromkrieg» (etwa 1886–1892) entschieden nicht Propaganda oder ein einzelnes Genie, sondern Kosten, Kapital und Netzlogik. Die anschliessende Konsolidierung zu Grosskonzernen wie General Electric wurde zum Muster des amerikanischen Industriekapitalismus.</w:t>
            </w:r>
          </w:p>
        </w:tc>
      </w:tr>
    </w:tbl>
    <w:p>
      <w:pPr>
        <w:pStyle w:val="Heading1"/>
        <w:keepNext/>
        <w:spacing w:after="80" w:before="220"/>
      </w:pPr>
      <w:r>
        <w:rPr>
          <w:rFonts w:ascii="Arial" w:cs="Arial" w:eastAsia="Arial" w:hAnsi="Arial"/>
          <w:b/>
          <w:bCs/>
          <w:color w:val="0E7C9E"/>
          <w:sz w:val="26"/>
          <w:szCs w:val="26"/>
        </w:rPr>
        <w:t xml:space="preserve">1  Der technische Kern: Warum die Spannung entscheidet</w:t>
      </w:r>
    </w:p>
    <w:p>
      <w:pPr>
        <w:spacing w:after="100" w:line="264"/>
      </w:pPr>
      <w:r>
        <w:rPr>
          <w:rFonts w:ascii="Arial" w:cs="Arial" w:eastAsia="Arial" w:hAnsi="Arial"/>
          <w:color w:val="1E1E1E"/>
        </w:rPr>
        <w:t xml:space="preserve">Strom lässt sich nur mit hoher Spannung billig über weite Strecken schicken – und die liess sich um 1890 nur beim Wechselstrom mit Transformatoren hoch- und heruntersetzen. Denn der Leitungsverlust wächst mit dem Quadrat der Stromstärke (Verlust = </w:t>
      </w:r>
      <w:r>
        <w:rPr>
          <w:rFonts w:ascii="Arial" w:cs="Arial" w:eastAsia="Arial" w:hAnsi="Arial"/>
          <w:i/>
          <w:iCs/>
          <w:color w:val="1E1E1E"/>
        </w:rPr>
        <w:t xml:space="preserve">I</w:t>
      </w:r>
      <w:r>
        <w:rPr>
          <w:rFonts w:ascii="Arial" w:cs="Arial" w:eastAsia="Arial" w:hAnsi="Arial"/>
          <w:color w:val="1E1E1E"/>
        </w:rPr>
        <w:t xml:space="preserve">² · </w:t>
      </w:r>
      <w:r>
        <w:rPr>
          <w:rFonts w:ascii="Arial" w:cs="Arial" w:eastAsia="Arial" w:hAnsi="Arial"/>
          <w:i/>
          <w:iCs/>
          <w:color w:val="1E1E1E"/>
        </w:rPr>
        <w:t xml:space="preserve">R</w:t>
      </w:r>
      <w:r>
        <w:rPr>
          <w:rFonts w:ascii="Arial" w:cs="Arial" w:eastAsia="Arial" w:hAnsi="Arial"/>
          <w:color w:val="1E1E1E"/>
        </w:rPr>
        <w:t xml:space="preserve">): Zehnfache Spannung bedeutet bei gleicher Leistung ein Zehntel des Stroms und ein Hundertstel des Verlusts.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969"/>
        <w:gridCol w:w="3969"/>
      </w:tblGrid>
      <w:tr>
        <w:trPr>
          <w:tblHeader/>
        </w:trPr>
        <w:tc>
          <w:tcPr>
            <w:tcW w:type="dxa" w:w="17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DCEB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</w:p>
        </w:tc>
        <w:tc>
          <w:tcPr>
            <w:tcW w:type="dxa" w:w="396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DCEB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b/>
                <w:bCs/>
                <w:color w:val="1E1E1E"/>
                <w:sz w:val="19"/>
                <w:szCs w:val="19"/>
              </w:rPr>
              <w:t xml:space="preserve">Gleichstrom (Edison)</w:t>
            </w:r>
          </w:p>
        </w:tc>
        <w:tc>
          <w:tcPr>
            <w:tcW w:type="dxa" w:w="396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DCEB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b/>
                <w:bCs/>
                <w:color w:val="1E1E1E"/>
                <w:sz w:val="19"/>
                <w:szCs w:val="19"/>
              </w:rPr>
              <w:t xml:space="preserve">Wechselstrom (Westinghouse, Tesla)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b/>
                <w:bCs/>
                <w:color w:val="1E1E1E"/>
                <w:sz w:val="19"/>
                <w:szCs w:val="19"/>
              </w:rPr>
              <w:t xml:space="preserve">Spannung</w:t>
            </w:r>
          </w:p>
        </w:tc>
        <w:tc>
          <w:tcPr>
            <w:tcW w:type="dxa" w:w="396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color w:val="1E1E1E"/>
                <w:sz w:val="19"/>
                <w:szCs w:val="19"/>
              </w:rPr>
              <w:t xml:space="preserve">rund 110 V, nicht transformierbar</w:t>
            </w:r>
          </w:p>
        </w:tc>
        <w:tc>
          <w:tcPr>
            <w:tcW w:type="dxa" w:w="396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color w:val="1E1E1E"/>
                <w:sz w:val="19"/>
                <w:szCs w:val="19"/>
              </w:rPr>
              <w:t xml:space="preserve">transformierbar: hoch im Netz, tief beim Kunden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b/>
                <w:bCs/>
                <w:color w:val="1E1E1E"/>
                <w:sz w:val="19"/>
                <w:szCs w:val="19"/>
              </w:rPr>
              <w:t xml:space="preserve">Reichweite</w:t>
            </w:r>
          </w:p>
        </w:tc>
        <w:tc>
          <w:tcPr>
            <w:tcW w:type="dxa" w:w="396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color w:val="1E1E1E"/>
                <w:sz w:val="19"/>
                <w:szCs w:val="19"/>
              </w:rPr>
              <w:t xml:space="preserve">ein Stadtquartier, viele kleine Zentralen (Pearl Street 1882: 0,65 km²)</w:t>
            </w:r>
          </w:p>
        </w:tc>
        <w:tc>
          <w:tcPr>
            <w:tcW w:type="dxa" w:w="396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color w:val="1E1E1E"/>
                <w:sz w:val="19"/>
                <w:szCs w:val="19"/>
              </w:rPr>
              <w:t xml:space="preserve">Dutzende Kilometer, wenige grosse Kraftwerke (Niagara–Buffalo 1896: über 30 km)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b/>
                <w:bCs/>
                <w:color w:val="1E1E1E"/>
                <w:sz w:val="19"/>
                <w:szCs w:val="19"/>
              </w:rPr>
              <w:t xml:space="preserve">Schwachpunkt</w:t>
            </w:r>
          </w:p>
        </w:tc>
        <w:tc>
          <w:tcPr>
            <w:tcW w:type="dxa" w:w="396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color w:val="1E1E1E"/>
                <w:sz w:val="19"/>
                <w:szCs w:val="19"/>
              </w:rPr>
              <w:t xml:space="preserve">hoher Kupferbedarf</w:t>
            </w:r>
          </w:p>
        </w:tc>
        <w:tc>
          <w:tcPr>
            <w:tcW w:type="dxa" w:w="396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color w:val="1E1E1E"/>
                <w:sz w:val="19"/>
                <w:szCs w:val="19"/>
              </w:rPr>
              <w:t xml:space="preserve">Hochspannung gefährlich; brauchbarer Motor erst ab 1888</w:t>
            </w:r>
          </w:p>
        </w:tc>
      </w:tr>
    </w:tbl>
    <w:p>
      <w:pPr>
        <w:spacing w:after="120" w:before="60"/>
      </w:pPr>
      <w:r>
        <w:rPr>
          <w:rFonts w:ascii="Arial" w:cs="Arial" w:eastAsia="Arial" w:hAnsi="Arial"/>
          <w:color w:val="5F5D58"/>
          <w:sz w:val="17"/>
          <w:szCs w:val="17"/>
        </w:rPr>
        <w:t xml:space="preserve">Quellen: [1]–[3].</w:t>
      </w:r>
    </w:p>
    <w:p>
      <w:pPr>
        <w:pStyle w:val="Heading1"/>
        <w:keepNext/>
        <w:spacing w:after="80" w:before="220"/>
      </w:pPr>
      <w:r>
        <w:rPr>
          <w:rFonts w:ascii="Arial" w:cs="Arial" w:eastAsia="Arial" w:hAnsi="Arial"/>
          <w:b/>
          <w:bCs/>
          <w:color w:val="0E7C9E"/>
          <w:sz w:val="26"/>
          <w:szCs w:val="26"/>
        </w:rPr>
        <w:t xml:space="preserve">2  Akteure und Interessen</w:t>
      </w:r>
    </w:p>
    <w:p>
      <w:pPr>
        <w:spacing w:after="100" w:line="264"/>
      </w:pPr>
      <w:r>
        <w:rPr>
          <w:rFonts w:ascii="Arial" w:cs="Arial" w:eastAsia="Arial" w:hAnsi="Arial"/>
          <w:color w:val="1E1E1E"/>
        </w:rPr>
        <w:t xml:space="preserve">Im Kern stritten zwei Aktiengesellschaften mit ihren Investoren – nicht bloss zwei Erfinder [2].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DCEB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b/>
                <w:bCs/>
                <w:color w:val="1E1E1E"/>
                <w:sz w:val="19"/>
                <w:szCs w:val="19"/>
              </w:rPr>
              <w:t xml:space="preserve">Akteur</w:t>
            </w:r>
          </w:p>
        </w:tc>
        <w:tc>
          <w:tcPr>
            <w:tcW w:type="dxa" w:w="663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DCEB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b/>
                <w:bCs/>
                <w:color w:val="1E1E1E"/>
                <w:sz w:val="19"/>
                <w:szCs w:val="19"/>
              </w:rPr>
              <w:t xml:space="preserve">Rolle und Interesse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b/>
                <w:bCs/>
                <w:color w:val="1E1E1E"/>
                <w:sz w:val="19"/>
                <w:szCs w:val="19"/>
              </w:rPr>
              <w:t xml:space="preserve">Thomas A. Edison</w:t>
            </w:r>
            <w:r>
              <w:rPr>
                <w:rFonts w:ascii="Arial" w:cs="Arial" w:eastAsia="Arial" w:hAnsi="Arial"/>
                <w:color w:val="1E1E1E"/>
                <w:sz w:val="19"/>
                <w:szCs w:val="19"/>
              </w:rPr>
              <w:t xml:space="preserve"> (1847–1931)</w:t>
            </w:r>
          </w:p>
        </w:tc>
        <w:tc>
          <w:tcPr>
            <w:tcW w:type="dxa" w:w="663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color w:val="1E1E1E"/>
                <w:sz w:val="19"/>
                <w:szCs w:val="19"/>
              </w:rPr>
              <w:t xml:space="preserve">Erfinder-Unternehmer (Glühlampe, Pearl Street 1882); verteidigt seine Gleichstrom-Investitionen, fürchtet aber auch ehrlich die Hochspannung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b/>
                <w:bCs/>
                <w:color w:val="1E1E1E"/>
                <w:sz w:val="19"/>
                <w:szCs w:val="19"/>
              </w:rPr>
              <w:t xml:space="preserve">George Westinghouse</w:t>
            </w:r>
            <w:r>
              <w:rPr>
                <w:rFonts w:ascii="Arial" w:cs="Arial" w:eastAsia="Arial" w:hAnsi="Arial"/>
                <w:color w:val="1E1E1E"/>
                <w:sz w:val="19"/>
                <w:szCs w:val="19"/>
              </w:rPr>
              <w:t xml:space="preserve"> (1846–1914)</w:t>
            </w:r>
          </w:p>
        </w:tc>
        <w:tc>
          <w:tcPr>
            <w:tcW w:type="dxa" w:w="663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color w:val="1E1E1E"/>
                <w:sz w:val="19"/>
                <w:szCs w:val="19"/>
              </w:rPr>
              <w:t xml:space="preserve">Industrieller (Druckluftbremse); kauft Patente zu und baut ab 1886 Wechselstromnetze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b/>
                <w:bCs/>
                <w:color w:val="1E1E1E"/>
                <w:sz w:val="19"/>
                <w:szCs w:val="19"/>
              </w:rPr>
              <w:t xml:space="preserve">Nikola Tesla</w:t>
            </w:r>
            <w:r>
              <w:rPr>
                <w:rFonts w:ascii="Arial" w:cs="Arial" w:eastAsia="Arial" w:hAnsi="Arial"/>
                <w:color w:val="1E1E1E"/>
                <w:sz w:val="19"/>
                <w:szCs w:val="19"/>
              </w:rPr>
              <w:t xml:space="preserve"> (1856–1943)</w:t>
            </w:r>
          </w:p>
        </w:tc>
        <w:tc>
          <w:tcPr>
            <w:tcW w:type="dxa" w:w="663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color w:val="1E1E1E"/>
                <w:sz w:val="19"/>
                <w:szCs w:val="19"/>
              </w:rPr>
              <w:t xml:space="preserve">Ingenieur, 1884 kurz bei Edison; seine Motorpatente (1888) machen Wechselstrom fabriktauglich [4]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b/>
                <w:bCs/>
                <w:color w:val="1E1E1E"/>
                <w:sz w:val="19"/>
                <w:szCs w:val="19"/>
              </w:rPr>
              <w:t xml:space="preserve">Harold P. Brown</w:t>
            </w:r>
          </w:p>
        </w:tc>
        <w:tc>
          <w:tcPr>
            <w:tcW w:type="dxa" w:w="663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color w:val="1E1E1E"/>
                <w:sz w:val="19"/>
                <w:szCs w:val="19"/>
              </w:rPr>
              <w:t xml:space="preserve">Wortführer der Kampagne gegen den Wechselstrom, unterstützt aus Edisons Labor [5]</w:t>
            </w:r>
          </w:p>
        </w:tc>
      </w:tr>
    </w:tbl>
    <w:p>
      <w:pPr>
        <w:pStyle w:val="Heading1"/>
        <w:keepNext/>
        <w:spacing w:after="80" w:before="220"/>
      </w:pPr>
      <w:r>
        <w:rPr>
          <w:rFonts w:ascii="Arial" w:cs="Arial" w:eastAsia="Arial" w:hAnsi="Arial"/>
          <w:b/>
          <w:bCs/>
          <w:color w:val="0E7C9E"/>
          <w:sz w:val="26"/>
          <w:szCs w:val="26"/>
        </w:rPr>
        <w:t xml:space="preserve">3  Verlauf in drei Phasen (1882–1896)</w:t>
      </w:r>
    </w:p>
    <w:p>
      <w:pPr>
        <w:spacing w:after="100" w:line="264"/>
      </w:pPr>
      <w:r>
        <w:rPr>
          <w:rFonts w:ascii="Arial" w:cs="Arial" w:eastAsia="Arial" w:hAnsi="Arial"/>
          <w:color w:val="1E1E1E"/>
        </w:rPr>
        <w:t xml:space="preserve">Auf einen offenen Wettbewerb (1882–1887) folgte ein Propagandakrieg (1888–1890); entschieden wurde der Konflikt danach durch Markt und Kapital (1891–1896).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/>
        </w:trPr>
        <w:tc>
          <w:tcPr>
            <w:tcW w:type="dxa" w:w="15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DCEB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b/>
                <w:bCs/>
                <w:color w:val="1E1E1E"/>
                <w:sz w:val="19"/>
                <w:szCs w:val="19"/>
              </w:rPr>
              <w:t xml:space="preserve">Datum</w:t>
            </w:r>
          </w:p>
        </w:tc>
        <w:tc>
          <w:tcPr>
            <w:tcW w:type="dxa" w:w="813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DCEB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b/>
                <w:bCs/>
                <w:color w:val="1E1E1E"/>
                <w:sz w:val="19"/>
                <w:szCs w:val="19"/>
              </w:rPr>
              <w:t xml:space="preserve">Ereignis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color w:val="1E1E1E"/>
                <w:sz w:val="19"/>
                <w:szCs w:val="19"/>
              </w:rPr>
              <w:t xml:space="preserve">4.9.1882</w:t>
            </w:r>
          </w:p>
        </w:tc>
        <w:tc>
          <w:tcPr>
            <w:tcW w:type="dxa" w:w="813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color w:val="1E1E1E"/>
                <w:sz w:val="19"/>
                <w:szCs w:val="19"/>
              </w:rPr>
              <w:t xml:space="preserve">Edisons Pearl Street Station in Manhattan liefert Gleichstrom für rund 400 Lampen [1].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color w:val="1E1E1E"/>
                <w:sz w:val="19"/>
                <w:szCs w:val="19"/>
              </w:rPr>
              <w:t xml:space="preserve">1886</w:t>
            </w:r>
          </w:p>
        </w:tc>
        <w:tc>
          <w:tcPr>
            <w:tcW w:type="dxa" w:w="813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color w:val="1E1E1E"/>
                <w:sz w:val="19"/>
                <w:szCs w:val="19"/>
              </w:rPr>
              <w:t xml:space="preserve">Gründung von Westinghouse Electric; in Great Barrington läuft das erste Wechselstromnetz der USA mit Transformatoren [3].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color w:val="1E1E1E"/>
                <w:sz w:val="19"/>
                <w:szCs w:val="19"/>
              </w:rPr>
              <w:t xml:space="preserve">1888</w:t>
            </w:r>
          </w:p>
        </w:tc>
        <w:tc>
          <w:tcPr>
            <w:tcW w:type="dxa" w:w="813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color w:val="1E1E1E"/>
                <w:sz w:val="19"/>
                <w:szCs w:val="19"/>
              </w:rPr>
              <w:t xml:space="preserve">Edisons Firma warnt mit der Broschüre «A Warning»; Harold P. Brown tötet öffentlich Hunde mit Wechselstrom [5]. Westinghouse erwirbt Teslas Motorpatente [4].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color w:val="1E1E1E"/>
                <w:sz w:val="19"/>
                <w:szCs w:val="19"/>
              </w:rPr>
              <w:t xml:space="preserve">1889</w:t>
            </w:r>
          </w:p>
        </w:tc>
        <w:tc>
          <w:tcPr>
            <w:tcW w:type="dxa" w:w="813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color w:val="1E1E1E"/>
                <w:sz w:val="19"/>
                <w:szCs w:val="19"/>
              </w:rPr>
              <w:t xml:space="preserve">New York führt den elektrischen Stuhl ein – mit einem Westinghouse-Generator, beschafft vom Edison-Lager [6]. Pressekrieg in der </w:t>
            </w:r>
            <w:r>
              <w:rPr>
                <w:rFonts w:ascii="Arial" w:cs="Arial" w:eastAsia="Arial" w:hAnsi="Arial"/>
                <w:i/>
                <w:iCs/>
                <w:color w:val="1E1E1E"/>
                <w:sz w:val="19"/>
                <w:szCs w:val="19"/>
              </w:rPr>
              <w:t xml:space="preserve">North American Review</w:t>
            </w:r>
            <w:r>
              <w:rPr>
                <w:rFonts w:ascii="Arial" w:cs="Arial" w:eastAsia="Arial" w:hAnsi="Arial"/>
                <w:color w:val="1E1E1E"/>
                <w:sz w:val="19"/>
                <w:szCs w:val="19"/>
              </w:rPr>
              <w:t xml:space="preserve"> [7], [8].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color w:val="1E1E1E"/>
                <w:sz w:val="19"/>
                <w:szCs w:val="19"/>
              </w:rPr>
              <w:t xml:space="preserve">6.8.1890</w:t>
            </w:r>
          </w:p>
        </w:tc>
        <w:tc>
          <w:tcPr>
            <w:tcW w:type="dxa" w:w="813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color w:val="1E1E1E"/>
                <w:sz w:val="19"/>
                <w:szCs w:val="19"/>
              </w:rPr>
              <w:t xml:space="preserve">Erste Hinrichtung auf dem elektrischen Stuhl (William Kemmler) – ein qualvolles Debakel [9].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color w:val="1E1E1E"/>
                <w:sz w:val="19"/>
                <w:szCs w:val="19"/>
              </w:rPr>
              <w:t xml:space="preserve">1891</w:t>
            </w:r>
          </w:p>
        </w:tc>
        <w:tc>
          <w:tcPr>
            <w:tcW w:type="dxa" w:w="813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color w:val="1E1E1E"/>
                <w:sz w:val="19"/>
                <w:szCs w:val="19"/>
              </w:rPr>
              <w:t xml:space="preserve">Westinghouse in der Finanzkrise; Tesla verzichtet auf seine Lizenzgebühren [4].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color w:val="1E1E1E"/>
                <w:sz w:val="19"/>
                <w:szCs w:val="19"/>
              </w:rPr>
              <w:t xml:space="preserve">15.4.1892</w:t>
            </w:r>
          </w:p>
        </w:tc>
        <w:tc>
          <w:tcPr>
            <w:tcW w:type="dxa" w:w="813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color w:val="1E1E1E"/>
                <w:sz w:val="19"/>
                <w:szCs w:val="19"/>
              </w:rPr>
              <w:t xml:space="preserve">Unter J. P. Morgan fusionieren Edison General Electric und Thomson-Houston zu General Electric (GE); Edison verliert die Kontrolle [2].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color w:val="1E1E1E"/>
                <w:sz w:val="19"/>
                <w:szCs w:val="19"/>
              </w:rPr>
              <w:t xml:space="preserve">1.5.1893</w:t>
            </w:r>
          </w:p>
        </w:tc>
        <w:tc>
          <w:tcPr>
            <w:tcW w:type="dxa" w:w="813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color w:val="1E1E1E"/>
                <w:sz w:val="19"/>
                <w:szCs w:val="19"/>
              </w:rPr>
              <w:t xml:space="preserve">Westinghouse beleuchtet die Weltausstellung in Chicago, deutlich günstiger als GE [3].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color w:val="1E1E1E"/>
                <w:sz w:val="19"/>
                <w:szCs w:val="19"/>
              </w:rPr>
              <w:t xml:space="preserve">16.11.1896</w:t>
            </w:r>
          </w:p>
        </w:tc>
        <w:tc>
          <w:tcPr>
            <w:tcW w:type="dxa" w:w="813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5"/>
            </w:pPr>
            <w:r>
              <w:rPr>
                <w:rFonts w:ascii="Arial" w:cs="Arial" w:eastAsia="Arial" w:hAnsi="Arial"/>
                <w:color w:val="1E1E1E"/>
                <w:sz w:val="19"/>
                <w:szCs w:val="19"/>
              </w:rPr>
              <w:t xml:space="preserve">Strom von den Niagarafällen erreicht Buffalo; im selben Jahr schliessen GE und Westinghouse ein Patentabkommen [3], [4].</w:t>
            </w:r>
          </w:p>
        </w:tc>
      </w:tr>
    </w:tbl>
    <w:p>
      <w:pPr>
        <w:pStyle w:val="Heading1"/>
        <w:keepNext/>
        <w:spacing w:after="80" w:before="220"/>
      </w:pPr>
      <w:r>
        <w:rPr>
          <w:rFonts w:ascii="Arial" w:cs="Arial" w:eastAsia="Arial" w:hAnsi="Arial"/>
          <w:b/>
          <w:bCs/>
          <w:color w:val="0E7C9E"/>
          <w:sz w:val="26"/>
          <w:szCs w:val="26"/>
        </w:rPr>
        <w:t xml:space="preserve">4  Warum gewann der Wechselstrom?</w:t>
      </w:r>
    </w:p>
    <w:p>
      <w:pPr>
        <w:spacing w:after="100" w:line="264"/>
      </w:pPr>
      <w:r>
        <w:rPr>
          <w:rFonts w:ascii="Arial" w:cs="Arial" w:eastAsia="Arial" w:hAnsi="Arial"/>
          <w:color w:val="1E1E1E"/>
        </w:rPr>
        <w:t xml:space="preserve">Den Ausschlag gaben Kosten und Kapital: Nach 1892 setzte selbst Edisons frühere Firma, nun GE, auf Wechselstrom.</w:t>
      </w:r>
    </w:p>
    <w:p>
      <w:pPr>
        <w:pStyle w:val="ListParagraph"/>
        <w:numPr>
          <w:ilvl w:val="0"/>
          <w:numId w:val="2"/>
        </w:numPr>
        <w:spacing w:after="70" w:line="259"/>
      </w:pPr>
      <w:r>
        <w:rPr>
          <w:rFonts w:ascii="Arial" w:cs="Arial" w:eastAsia="Arial" w:hAnsi="Arial"/>
          <w:b/>
          <w:bCs/>
          <w:color w:val="1E1E1E"/>
        </w:rPr>
        <w:t xml:space="preserve">Kosten:</w:t>
      </w:r>
      <w:r>
        <w:rPr>
          <w:rFonts w:ascii="Arial" w:cs="Arial" w:eastAsia="Arial" w:hAnsi="Arial"/>
          <w:color w:val="1E1E1E"/>
        </w:rPr>
        <w:t xml:space="preserve"> Wechselstromnetze waren billiger zu bauen und zu betreiben; neue Versorger wählten sie zunehmend [2].</w:t>
      </w:r>
    </w:p>
    <w:p>
      <w:pPr>
        <w:pStyle w:val="ListParagraph"/>
        <w:numPr>
          <w:ilvl w:val="0"/>
          <w:numId w:val="2"/>
        </w:numPr>
        <w:spacing w:after="70" w:line="259"/>
      </w:pPr>
      <w:r>
        <w:rPr>
          <w:rFonts w:ascii="Arial" w:cs="Arial" w:eastAsia="Arial" w:hAnsi="Arial"/>
          <w:b/>
          <w:bCs/>
          <w:color w:val="1E1E1E"/>
        </w:rPr>
        <w:t xml:space="preserve">Propaganda scheitert:</w:t>
      </w:r>
      <w:r>
        <w:rPr>
          <w:rFonts w:ascii="Arial" w:cs="Arial" w:eastAsia="Arial" w:hAnsi="Arial"/>
          <w:color w:val="1E1E1E"/>
        </w:rPr>
        <w:t xml:space="preserve"> Cole und Chandler deuten Edisons Kampagne als «kompetitives Impression Management» – als Versuch, das Bild des Konkurrenzprodukts beim gemeinsamen Publikum zu beschädigen. Trotz Tierversuchen und Flugschriften gelang es nicht, Wechselstrom in der öffentlichen Wahrnehmung mit dem Tod zu verbinden [10].</w:t>
      </w:r>
    </w:p>
    <w:p>
      <w:pPr>
        <w:pStyle w:val="ListParagraph"/>
        <w:numPr>
          <w:ilvl w:val="0"/>
          <w:numId w:val="2"/>
        </w:numPr>
        <w:spacing w:after="70" w:line="259"/>
      </w:pPr>
      <w:r>
        <w:rPr>
          <w:rFonts w:ascii="Arial" w:cs="Arial" w:eastAsia="Arial" w:hAnsi="Arial"/>
          <w:b/>
          <w:bCs/>
          <w:color w:val="1E1E1E"/>
        </w:rPr>
        <w:t xml:space="preserve">Europa:</w:t>
      </w:r>
      <w:r>
        <w:rPr>
          <w:rFonts w:ascii="Arial" w:cs="Arial" w:eastAsia="Arial" w:hAnsi="Arial"/>
          <w:color w:val="1E1E1E"/>
        </w:rPr>
        <w:t xml:space="preserve"> 1891 übertrugen AEG und Maschinenfabrik Oerlikon Drehstrom über 175 km (Lauffen–Frankfurt); der Oerlikon-Ingenieur Charles E. L. Brown gründete im selben Jahr in Baden die BBC, heute ABB [11].</w:t>
      </w:r>
    </w:p>
    <w:p>
      <w:pPr>
        <w:pStyle w:val="ListParagraph"/>
        <w:numPr>
          <w:ilvl w:val="0"/>
          <w:numId w:val="2"/>
        </w:numPr>
        <w:spacing w:after="70" w:line="259"/>
      </w:pPr>
      <w:r>
        <w:rPr>
          <w:rFonts w:ascii="Arial" w:cs="Arial" w:eastAsia="Arial" w:hAnsi="Arial"/>
          <w:b/>
          <w:bCs/>
          <w:color w:val="1E1E1E"/>
        </w:rPr>
        <w:t xml:space="preserve">Kein K.-o.-Sieg:</w:t>
      </w:r>
      <w:r>
        <w:rPr>
          <w:rFonts w:ascii="Arial" w:cs="Arial" w:eastAsia="Arial" w:hAnsi="Arial"/>
          <w:color w:val="1E1E1E"/>
        </w:rPr>
        <w:t xml:space="preserve"> Umformer koppelten neue Wechselstrom- an alte Gleichstromnetze [12], [13]; Manhattans letzte Gleichstromversorgung endete erst 2007 [14].</w:t>
      </w:r>
    </w:p>
    <w:p>
      <w:pPr>
        <w:spacing w:after="100" w:line="264"/>
      </w:pPr>
      <w:r>
        <w:rPr>
          <w:rFonts w:ascii="Arial" w:cs="Arial" w:eastAsia="Arial" w:hAnsi="Arial"/>
          <w:b/>
          <w:bCs/>
          <w:color w:val="1E1E1E"/>
        </w:rPr>
        <w:t xml:space="preserve">Deutung:</w:t>
      </w:r>
      <w:r>
        <w:rPr>
          <w:rFonts w:ascii="Arial" w:cs="Arial" w:eastAsia="Arial" w:hAnsi="Arial"/>
          <w:color w:val="1E1E1E"/>
        </w:rPr>
        <w:t xml:space="preserve"> Paul David liest den Fall als Lehrstück der Pfadabhängigkeit: Standards entscheiden sich in kurzen, offenen Momenten und verfestigen sich danach [15]. Edison handelte aus gemischten Motiven – geschäftlich, aber auch aus Sorge vor Hochspannung [16].</w:t>
      </w:r>
    </w:p>
    <w:p>
      <w:pPr>
        <w:pStyle w:val="Heading1"/>
        <w:keepNext/>
        <w:spacing w:after="80" w:before="220"/>
      </w:pPr>
      <w:r>
        <w:rPr>
          <w:rFonts w:ascii="Arial" w:cs="Arial" w:eastAsia="Arial" w:hAnsi="Arial"/>
          <w:b/>
          <w:bCs/>
          <w:color w:val="0E7C9E"/>
          <w:sz w:val="26"/>
          <w:szCs w:val="26"/>
        </w:rPr>
        <w:t xml:space="preserve">5  Bedeutung für den Aufstieg der USA</w:t>
      </w:r>
    </w:p>
    <w:p>
      <w:pPr>
        <w:spacing w:after="100" w:line="264"/>
      </w:pPr>
      <w:r>
        <w:rPr>
          <w:rFonts w:ascii="Arial" w:cs="Arial" w:eastAsia="Arial" w:hAnsi="Arial"/>
          <w:color w:val="1E1E1E"/>
        </w:rPr>
        <w:t xml:space="preserve">Der Stromkrieg fällt in die Jahrzehnte, in denen die USA Grossbritannien als grösste Industriemacht überholten; billiger, übertragbarer Strom wurde zu einer Basistechnologie dieses Aufstiegs [17]. 1913 stellten die USA knapp ein Drittel der Weltindustrieproduktion – mehr als Grossbritannien und Deutschland zusammen [18].</w:t>
      </w:r>
    </w:p>
    <w:p>
      <w:pPr>
        <w:keepNext/>
        <w:spacing w:after="0" w:before="60"/>
        <w:jc w:val="center"/>
      </w:pPr>
      <w:r>
        <w:drawing>
          <wp:inline distT="0" distB="0" distL="0" distR="0">
            <wp:extent cx="4572000" cy="2152650"/>
            <wp:effectExtent t="0" r="0" b="0" l="0"/>
            <wp:docPr id="1" name="chart" descr="Liniendiagramm 1860–1913: USA steigen von 7,2 auf 32,0 Prozent, Grossbritannien fällt von 22,9 (1880) auf 13,6 Prozent, Deutschland steigt auf 14,8 Prozent." title="Anteil an der Weltindustrieproduk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</w:pPr>
      <w:r>
        <w:rPr>
          <w:rFonts w:ascii="Arial" w:cs="Arial" w:eastAsia="Arial" w:hAnsi="Arial"/>
          <w:color w:val="5F5D58"/>
          <w:sz w:val="17"/>
          <w:szCs w:val="17"/>
        </w:rPr>
        <w:t xml:space="preserve">Abb. 1: Anteil an der Weltindustrieproduktion in Prozent, Stichjahre 1860, 1880, 1900 und 1913 (Linien verbinden die Stichjahre). Daten: Bairoch [18].</w:t>
      </w:r>
    </w:p>
    <w:p>
      <w:pPr>
        <w:pStyle w:val="ListParagraph"/>
        <w:numPr>
          <w:ilvl w:val="0"/>
          <w:numId w:val="2"/>
        </w:numPr>
        <w:spacing w:after="70" w:line="259"/>
      </w:pPr>
      <w:r>
        <w:rPr>
          <w:rFonts w:ascii="Arial" w:cs="Arial" w:eastAsia="Arial" w:hAnsi="Arial"/>
          <w:b/>
          <w:bCs/>
          <w:color w:val="1E1E1E"/>
        </w:rPr>
        <w:t xml:space="preserve">Fabriken:</w:t>
      </w:r>
      <w:r>
        <w:rPr>
          <w:rFonts w:ascii="Arial" w:cs="Arial" w:eastAsia="Arial" w:hAnsi="Arial"/>
          <w:color w:val="1E1E1E"/>
        </w:rPr>
        <w:t xml:space="preserve"> Elektromotoren lieferten 1899 knapp 5 %, 1929 rund 78 % der Antriebsleistung der US-Industrie [19]. Der Output pro Arbeitsstunde wuchs vor 1919 um 1,3 %, danach um 3,1 % pro Jahr – sobald die Fabriken um den Motor herum neu organisiert waren [20].</w:t>
      </w:r>
    </w:p>
    <w:p>
      <w:pPr>
        <w:pStyle w:val="ListParagraph"/>
        <w:numPr>
          <w:ilvl w:val="0"/>
          <w:numId w:val="2"/>
        </w:numPr>
        <w:spacing w:after="70" w:line="259"/>
      </w:pPr>
      <w:r>
        <w:rPr>
          <w:rFonts w:ascii="Arial" w:cs="Arial" w:eastAsia="Arial" w:hAnsi="Arial"/>
          <w:b/>
          <w:bCs/>
          <w:color w:val="1E1E1E"/>
        </w:rPr>
        <w:t xml:space="preserve">Big Business:</w:t>
      </w:r>
      <w:r>
        <w:rPr>
          <w:rFonts w:ascii="Arial" w:cs="Arial" w:eastAsia="Arial" w:hAnsi="Arial"/>
          <w:color w:val="1E1E1E"/>
        </w:rPr>
        <w:t xml:space="preserve"> GE zählte 1896 zu den zwölf ersten Werten des Dow Jones; mit Westinghouse bildete es ein Duopol mit Patentpool – typisch für das «Gilded Age».</w:t>
      </w:r>
    </w:p>
    <w:p>
      <w:pPr>
        <w:pStyle w:val="ListParagraph"/>
        <w:numPr>
          <w:ilvl w:val="0"/>
          <w:numId w:val="2"/>
        </w:numPr>
        <w:spacing w:after="70" w:line="259"/>
      </w:pPr>
      <w:r>
        <w:rPr>
          <w:rFonts w:ascii="Arial" w:cs="Arial" w:eastAsia="Arial" w:hAnsi="Arial"/>
          <w:b/>
          <w:bCs/>
          <w:color w:val="1E1E1E"/>
        </w:rPr>
        <w:t xml:space="preserve">Netze:</w:t>
      </w:r>
      <w:r>
        <w:rPr>
          <w:rFonts w:ascii="Arial" w:cs="Arial" w:eastAsia="Arial" w:hAnsi="Arial"/>
          <w:color w:val="1E1E1E"/>
        </w:rPr>
        <w:t xml:space="preserve"> Grosskraftwerke und Fernleitungen begründeten das heutige Verbundnetz [2]; an den Niagarafällen zog billige Wasserkraft Aluminium- und Elektrochemie-Industrie an [21].</w:t>
      </w:r>
    </w:p>
    <w:p>
      <w:pPr>
        <w:pStyle w:val="Heading1"/>
        <w:keepNext/>
        <w:spacing w:after="80" w:before="220"/>
      </w:pPr>
      <w:r>
        <w:rPr>
          <w:rFonts w:ascii="Arial" w:cs="Arial" w:eastAsia="Arial" w:hAnsi="Arial"/>
          <w:b/>
          <w:bCs/>
          <w:color w:val="0E7C9E"/>
          <w:sz w:val="26"/>
          <w:szCs w:val="26"/>
        </w:rPr>
        <w:t xml:space="preserve">6  Mythen und Quellenkritik</w:t>
      </w:r>
    </w:p>
    <w:p>
      <w:pPr>
        <w:spacing w:after="100" w:line="264"/>
      </w:pPr>
      <w:r>
        <w:rPr>
          <w:rFonts w:ascii="Arial" w:cs="Arial" w:eastAsia="Arial" w:hAnsi="Arial"/>
          <w:color w:val="1E1E1E"/>
        </w:rPr>
        <w:t xml:space="preserve">Populäre Darstellungen erzählen ein Duell zweier Genies (z. B. [22]–[24]); die Forschung ist nüchterner.</w:t>
      </w:r>
    </w:p>
    <w:p>
      <w:pPr>
        <w:pStyle w:val="ListParagraph"/>
        <w:numPr>
          <w:ilvl w:val="0"/>
          <w:numId w:val="2"/>
        </w:numPr>
        <w:spacing w:after="70" w:line="259"/>
      </w:pPr>
      <w:r>
        <w:rPr>
          <w:rFonts w:ascii="Arial" w:cs="Arial" w:eastAsia="Arial" w:hAnsi="Arial"/>
          <w:b/>
          <w:bCs/>
          <w:color w:val="1E1E1E"/>
        </w:rPr>
        <w:t xml:space="preserve">«Tesla gegen Edison»:</w:t>
      </w:r>
      <w:r>
        <w:rPr>
          <w:rFonts w:ascii="Arial" w:cs="Arial" w:eastAsia="Arial" w:hAnsi="Arial"/>
          <w:color w:val="1E1E1E"/>
        </w:rPr>
        <w:t xml:space="preserve"> Filme wie </w:t>
      </w:r>
      <w:r>
        <w:rPr>
          <w:rFonts w:ascii="Arial" w:cs="Arial" w:eastAsia="Arial" w:hAnsi="Arial"/>
          <w:i/>
          <w:iCs/>
          <w:color w:val="1E1E1E"/>
        </w:rPr>
        <w:t xml:space="preserve">The Current War</w:t>
      </w:r>
      <w:r>
        <w:rPr>
          <w:rFonts w:ascii="Arial" w:cs="Arial" w:eastAsia="Arial" w:hAnsi="Arial"/>
          <w:color w:val="1E1E1E"/>
        </w:rPr>
        <w:t xml:space="preserve"> (2017/2019) spitzen den Konflikt auf die Erfinder zu; gestritten haben vor allem Unternehmen und Investoren [2].</w:t>
      </w:r>
    </w:p>
    <w:p>
      <w:pPr>
        <w:pStyle w:val="ListParagraph"/>
        <w:numPr>
          <w:ilvl w:val="0"/>
          <w:numId w:val="2"/>
        </w:numPr>
        <w:spacing w:after="70" w:line="259"/>
      </w:pPr>
      <w:r>
        <w:rPr>
          <w:rFonts w:ascii="Arial" w:cs="Arial" w:eastAsia="Arial" w:hAnsi="Arial"/>
          <w:b/>
          <w:bCs/>
          <w:color w:val="1E1E1E"/>
        </w:rPr>
        <w:t xml:space="preserve">Elefant Topsy (1903):</w:t>
      </w:r>
      <w:r>
        <w:rPr>
          <w:rFonts w:ascii="Arial" w:cs="Arial" w:eastAsia="Arial" w:hAnsi="Arial"/>
          <w:color w:val="1E1E1E"/>
        </w:rPr>
        <w:t xml:space="preserve"> Die Tötung gilt oft als Höhepunkt von Edisons Kampagne – auch bei ABB [23]. Sie geschah aber über zehn Jahre nach dem Stromkrieg und ohne Edisons Beteiligung [25].</w:t>
      </w:r>
    </w:p>
    <w:p>
      <w:pPr>
        <w:pStyle w:val="ListParagraph"/>
        <w:numPr>
          <w:ilvl w:val="0"/>
          <w:numId w:val="2"/>
        </w:numPr>
        <w:spacing w:after="70" w:line="259"/>
      </w:pPr>
      <w:r>
        <w:rPr>
          <w:rFonts w:ascii="Arial" w:cs="Arial" w:eastAsia="Arial" w:hAnsi="Arial"/>
          <w:b/>
          <w:bCs/>
          <w:color w:val="1E1E1E"/>
        </w:rPr>
        <w:t xml:space="preserve">Der zerrissene Vertrag:</w:t>
      </w:r>
      <w:r>
        <w:rPr>
          <w:rFonts w:ascii="Arial" w:cs="Arial" w:eastAsia="Arial" w:hAnsi="Arial"/>
          <w:color w:val="1E1E1E"/>
        </w:rPr>
        <w:t xml:space="preserve"> Belegt sind nur Teslas Verzicht auf Lizenzgebühren (1891) und der spätere Verkauf der Patente für 216 000 Dollar [4].</w:t>
      </w:r>
    </w:p>
    <w:p>
      <w:pPr>
        <w:spacing w:after="100" w:line="264"/>
      </w:pPr>
      <w:r>
        <w:rPr>
          <w:rFonts w:ascii="Arial" w:cs="Arial" w:eastAsia="Arial" w:hAnsi="Arial"/>
          <w:color w:val="1E1E1E"/>
        </w:rPr>
        <w:t xml:space="preserve">Zum Einstieg eignen sich die Dokumentationen [26]–[28]; auch sie sind populäre Formate und quellenkritisch zu lesen.</w:t>
      </w:r>
    </w:p>
    <w:p>
      <w:pPr>
        <w:pStyle w:val="Heading1"/>
        <w:keepNext/>
        <w:spacing w:after="80" w:before="220"/>
      </w:pPr>
      <w:r>
        <w:rPr>
          <w:rFonts w:ascii="Arial" w:cs="Arial" w:eastAsia="Arial" w:hAnsi="Arial"/>
          <w:b/>
          <w:bCs/>
          <w:color w:val="0E7C9E"/>
          <w:sz w:val="26"/>
          <w:szCs w:val="26"/>
        </w:rPr>
        <w:t xml:space="preserve">7  Fazit und Ausblick</w:t>
      </w:r>
    </w:p>
    <w:p>
      <w:pPr>
        <w:spacing w:after="100" w:line="264"/>
      </w:pPr>
      <w:r>
        <w:rPr>
          <w:rFonts w:ascii="Arial" w:cs="Arial" w:eastAsia="Arial" w:hAnsi="Arial"/>
          <w:color w:val="1E1E1E"/>
        </w:rPr>
        <w:t xml:space="preserve">Der Stromkrieg war der erste grosse Standardkrieg der Industriegeschichte [29]. Gewonnen hat das System, das sich billiger skalieren liess – und mit ihm der finanzstarke Grosskonzern. Darin liegt seine Bedeutung für die «Weltmacht USA».</w:t>
      </w:r>
    </w:p>
    <w:p>
      <w:pPr>
        <w:spacing w:after="100" w:line="264"/>
      </w:pPr>
      <w:r>
        <w:rPr>
          <w:rFonts w:ascii="Arial" w:cs="Arial" w:eastAsia="Arial" w:hAnsi="Arial"/>
          <w:b/>
          <w:bCs/>
          <w:color w:val="1E1E1E"/>
        </w:rPr>
        <w:t xml:space="preserve">Ironie der Geschichte:</w:t>
      </w:r>
      <w:r>
        <w:rPr>
          <w:rFonts w:ascii="Arial" w:cs="Arial" w:eastAsia="Arial" w:hAnsi="Arial"/>
          <w:color w:val="1E1E1E"/>
        </w:rPr>
        <w:t xml:space="preserve"> Dem Gleichstrom fehlte nur die Technik, seine Spannung zu wandeln. Mit Stromrichtern kehrt er zurück – die erste kommerzielle Hochspannungs-Gleichstrom-Übertragung (Gotland) ging 1954 in Betrieb, gebaut von ASEA, heute wie die BBC Teil von ABB [30].</w:t>
      </w:r>
    </w:p>
    <w:p>
      <w:pPr>
        <w:pStyle w:val="Heading1"/>
        <w:pageBreakBefore/>
        <w:spacing w:after="140"/>
      </w:pPr>
      <w:r>
        <w:rPr>
          <w:rFonts w:ascii="Arial" w:cs="Arial" w:eastAsia="Arial" w:hAnsi="Arial"/>
          <w:b/>
          <w:bCs/>
          <w:color w:val="0E7C9E"/>
          <w:sz w:val="26"/>
          <w:szCs w:val="26"/>
        </w:rPr>
        <w:t xml:space="preserve">Literatur- und Quellenverzeichnis (IEEE)</w:t>
      </w:r>
    </w:p>
    <w:p>
      <w:pPr>
        <w:tabs>
          <w:tab w:val="left" w:pos="567"/>
        </w:tabs>
        <w:spacing w:after="90" w:line="252"/>
        <w:ind w:left="567" w:hanging="567"/>
      </w:pPr>
      <w:r>
        <w:rPr>
          <w:rFonts w:ascii="Arial" w:cs="Arial" w:eastAsia="Arial" w:hAnsi="Arial"/>
          <w:color w:val="1E1E1E"/>
          <w:sz w:val="19"/>
          <w:szCs w:val="19"/>
        </w:rPr>
        <w:t xml:space="preserve">[1]	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“Milestones: Pearl Street Station, 1882,” </w:t>
      </w:r>
      <w:r>
        <w:rPr>
          <w:rFonts w:ascii="Arial" w:cs="Arial" w:eastAsia="Arial" w:hAnsi="Arial"/>
          <w:i/>
          <w:iCs/>
          <w:color w:val="1E1E1E"/>
          <w:sz w:val="19"/>
          <w:szCs w:val="19"/>
        </w:rPr>
        <w:t xml:space="preserve">Engineering and Technology History Wiki (ETHW)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, IEEE History Center. Accessed: Oct. 1, 2026. [Online]. Available: https://ethw.org/Milestones:Pearl_Street_Station,_1882</w:t>
      </w:r>
    </w:p>
    <w:p>
      <w:pPr>
        <w:tabs>
          <w:tab w:val="left" w:pos="567"/>
        </w:tabs>
        <w:spacing w:after="90" w:line="252"/>
        <w:ind w:left="567" w:hanging="567"/>
      </w:pPr>
      <w:r>
        <w:rPr>
          <w:rFonts w:ascii="Arial" w:cs="Arial" w:eastAsia="Arial" w:hAnsi="Arial"/>
          <w:color w:val="1E1E1E"/>
          <w:sz w:val="19"/>
          <w:szCs w:val="19"/>
        </w:rPr>
        <w:t xml:space="preserve">[2]	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Thomas A. Edison Papers, “The current wars,” Rutgers Univ., New Brunswick, NJ, USA. Accessed: Oct. 1, 2026. [Online]. Available: https://edison.rutgers.edu/life-of-edison/essaying-edison/essay/the-current-wars</w:t>
      </w:r>
    </w:p>
    <w:p>
      <w:pPr>
        <w:tabs>
          <w:tab w:val="left" w:pos="567"/>
        </w:tabs>
        <w:spacing w:after="90" w:line="252"/>
        <w:ind w:left="567" w:hanging="567"/>
      </w:pPr>
      <w:r>
        <w:rPr>
          <w:rFonts w:ascii="Arial" w:cs="Arial" w:eastAsia="Arial" w:hAnsi="Arial"/>
          <w:color w:val="1E1E1E"/>
          <w:sz w:val="19"/>
          <w:szCs w:val="19"/>
        </w:rPr>
        <w:t xml:space="preserve">[3]	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J. Jonnes, </w:t>
      </w:r>
      <w:r>
        <w:rPr>
          <w:rFonts w:ascii="Arial" w:cs="Arial" w:eastAsia="Arial" w:hAnsi="Arial"/>
          <w:i/>
          <w:iCs/>
          <w:color w:val="1E1E1E"/>
          <w:sz w:val="19"/>
          <w:szCs w:val="19"/>
        </w:rPr>
        <w:t xml:space="preserve">Empires of Light: Edison, Tesla, Westinghouse, and the Race to Electrify the World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. New York, NY, USA: Random House, 2003.</w:t>
      </w:r>
    </w:p>
    <w:p>
      <w:pPr>
        <w:tabs>
          <w:tab w:val="left" w:pos="567"/>
        </w:tabs>
        <w:spacing w:after="90" w:line="252"/>
        <w:ind w:left="567" w:hanging="567"/>
      </w:pPr>
      <w:r>
        <w:rPr>
          <w:rFonts w:ascii="Arial" w:cs="Arial" w:eastAsia="Arial" w:hAnsi="Arial"/>
          <w:color w:val="1E1E1E"/>
          <w:sz w:val="19"/>
          <w:szCs w:val="19"/>
        </w:rPr>
        <w:t xml:space="preserve">[4]	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W. B. Carlson, </w:t>
      </w:r>
      <w:r>
        <w:rPr>
          <w:rFonts w:ascii="Arial" w:cs="Arial" w:eastAsia="Arial" w:hAnsi="Arial"/>
          <w:i/>
          <w:iCs/>
          <w:color w:val="1E1E1E"/>
          <w:sz w:val="19"/>
          <w:szCs w:val="19"/>
        </w:rPr>
        <w:t xml:space="preserve">Tesla: Inventor of the Electrical Age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. Princeton, NJ, USA: Princeton Univ. Press, 2013.</w:t>
      </w:r>
    </w:p>
    <w:p>
      <w:pPr>
        <w:tabs>
          <w:tab w:val="left" w:pos="567"/>
        </w:tabs>
        <w:spacing w:after="90" w:line="252"/>
        <w:ind w:left="567" w:hanging="567"/>
      </w:pPr>
      <w:r>
        <w:rPr>
          <w:rFonts w:ascii="Arial" w:cs="Arial" w:eastAsia="Arial" w:hAnsi="Arial"/>
          <w:color w:val="1E1E1E"/>
          <w:sz w:val="19"/>
          <w:szCs w:val="19"/>
        </w:rPr>
        <w:t xml:space="preserve">[5]	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T. P. Hughes, “Harold P. Brown and the executioner's current: An incident in the AC-DC controversy,” </w:t>
      </w:r>
      <w:r>
        <w:rPr>
          <w:rFonts w:ascii="Arial" w:cs="Arial" w:eastAsia="Arial" w:hAnsi="Arial"/>
          <w:i/>
          <w:iCs/>
          <w:color w:val="1E1E1E"/>
          <w:sz w:val="19"/>
          <w:szCs w:val="19"/>
        </w:rPr>
        <w:t xml:space="preserve">Business History Review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, vol. 32, no. 2, pp. 143–165, 1958.</w:t>
      </w:r>
    </w:p>
    <w:p>
      <w:pPr>
        <w:tabs>
          <w:tab w:val="left" w:pos="567"/>
        </w:tabs>
        <w:spacing w:after="90" w:line="252"/>
        <w:ind w:left="567" w:hanging="567"/>
      </w:pPr>
      <w:r>
        <w:rPr>
          <w:rFonts w:ascii="Arial" w:cs="Arial" w:eastAsia="Arial" w:hAnsi="Arial"/>
          <w:color w:val="1E1E1E"/>
          <w:sz w:val="19"/>
          <w:szCs w:val="19"/>
        </w:rPr>
        <w:t xml:space="preserve">[6]	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R. Moran, </w:t>
      </w:r>
      <w:r>
        <w:rPr>
          <w:rFonts w:ascii="Arial" w:cs="Arial" w:eastAsia="Arial" w:hAnsi="Arial"/>
          <w:i/>
          <w:iCs/>
          <w:color w:val="1E1E1E"/>
          <w:sz w:val="19"/>
          <w:szCs w:val="19"/>
        </w:rPr>
        <w:t xml:space="preserve">Executioner's Current: Thomas Edison, George Westinghouse, and the Invention of the Electric Chair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. New York, NY, USA: Alfred A. Knopf, 2002.</w:t>
      </w:r>
    </w:p>
    <w:p>
      <w:pPr>
        <w:tabs>
          <w:tab w:val="left" w:pos="567"/>
        </w:tabs>
        <w:spacing w:after="90" w:line="252"/>
        <w:ind w:left="567" w:hanging="567"/>
      </w:pPr>
      <w:r>
        <w:rPr>
          <w:rFonts w:ascii="Arial" w:cs="Arial" w:eastAsia="Arial" w:hAnsi="Arial"/>
          <w:color w:val="1E1E1E"/>
          <w:sz w:val="19"/>
          <w:szCs w:val="19"/>
        </w:rPr>
        <w:t xml:space="preserve">[7]	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T. A. Edison, “The dangers of electric lighting,” </w:t>
      </w:r>
      <w:r>
        <w:rPr>
          <w:rFonts w:ascii="Arial" w:cs="Arial" w:eastAsia="Arial" w:hAnsi="Arial"/>
          <w:i/>
          <w:iCs/>
          <w:color w:val="1E1E1E"/>
          <w:sz w:val="19"/>
          <w:szCs w:val="19"/>
        </w:rPr>
        <w:t xml:space="preserve">The North American Review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, vol. 149, no. 396, pp. 625–634, Nov. 1889.</w:t>
      </w:r>
    </w:p>
    <w:p>
      <w:pPr>
        <w:tabs>
          <w:tab w:val="left" w:pos="567"/>
        </w:tabs>
        <w:spacing w:after="90" w:line="252"/>
        <w:ind w:left="567" w:hanging="567"/>
      </w:pPr>
      <w:r>
        <w:rPr>
          <w:rFonts w:ascii="Arial" w:cs="Arial" w:eastAsia="Arial" w:hAnsi="Arial"/>
          <w:color w:val="1E1E1E"/>
          <w:sz w:val="19"/>
          <w:szCs w:val="19"/>
        </w:rPr>
        <w:t xml:space="preserve">[8]	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G. Westinghouse, “A reply to Mr. Edison,” </w:t>
      </w:r>
      <w:r>
        <w:rPr>
          <w:rFonts w:ascii="Arial" w:cs="Arial" w:eastAsia="Arial" w:hAnsi="Arial"/>
          <w:i/>
          <w:iCs/>
          <w:color w:val="1E1E1E"/>
          <w:sz w:val="19"/>
          <w:szCs w:val="19"/>
        </w:rPr>
        <w:t xml:space="preserve">The North American Review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, vol. 149, no. 397, pp. </w:t>
      </w:r>
      <w:r>
        <w:rPr>
          <w:rFonts w:ascii="Arial" w:cs="Arial" w:eastAsia="Arial" w:hAnsi="Arial"/>
          <w:color w:val="1E1E1E"/>
          <w:sz w:val="19"/>
          <w:szCs w:val="19"/>
          <w:highlight w:val="yellow"/>
        </w:rPr>
        <w:t xml:space="preserve">[Seitenzahlen ergänzen]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, Dec. 1889.</w:t>
      </w:r>
    </w:p>
    <w:p>
      <w:pPr>
        <w:tabs>
          <w:tab w:val="left" w:pos="567"/>
        </w:tabs>
        <w:spacing w:after="90" w:line="252"/>
        <w:ind w:left="567" w:hanging="567"/>
      </w:pPr>
      <w:r>
        <w:rPr>
          <w:rFonts w:ascii="Arial" w:cs="Arial" w:eastAsia="Arial" w:hAnsi="Arial"/>
          <w:color w:val="1E1E1E"/>
          <w:sz w:val="19"/>
          <w:szCs w:val="19"/>
        </w:rPr>
        <w:t xml:space="preserve">[9]	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M. Essig, </w:t>
      </w:r>
      <w:r>
        <w:rPr>
          <w:rFonts w:ascii="Arial" w:cs="Arial" w:eastAsia="Arial" w:hAnsi="Arial"/>
          <w:i/>
          <w:iCs/>
          <w:color w:val="1E1E1E"/>
          <w:sz w:val="19"/>
          <w:szCs w:val="19"/>
        </w:rPr>
        <w:t xml:space="preserve">Edison and the Electric Chair: A Story of Light and Death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. New York, NY, USA: Walker &amp; Company, 2003.</w:t>
      </w:r>
    </w:p>
    <w:p>
      <w:pPr>
        <w:tabs>
          <w:tab w:val="left" w:pos="567"/>
        </w:tabs>
        <w:spacing w:after="90" w:line="252"/>
        <w:ind w:left="567" w:hanging="567"/>
      </w:pPr>
      <w:r>
        <w:rPr>
          <w:rFonts w:ascii="Arial" w:cs="Arial" w:eastAsia="Arial" w:hAnsi="Arial"/>
          <w:color w:val="1E1E1E"/>
          <w:sz w:val="19"/>
          <w:szCs w:val="19"/>
        </w:rPr>
        <w:t xml:space="preserve">[10]	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B. M. Cole and D. Chandler, “A model of competitive impression management: Edison versus Westinghouse in the War of the Currents,” </w:t>
      </w:r>
      <w:r>
        <w:rPr>
          <w:rFonts w:ascii="Arial" w:cs="Arial" w:eastAsia="Arial" w:hAnsi="Arial"/>
          <w:i/>
          <w:iCs/>
          <w:color w:val="1E1E1E"/>
          <w:sz w:val="19"/>
          <w:szCs w:val="19"/>
        </w:rPr>
        <w:t xml:space="preserve">Administrative Science Quarterly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, vol. 64, no. 4, pp. 1020–1063, 2019, doi: 10.1177/0001839218821439.</w:t>
      </w:r>
    </w:p>
    <w:p>
      <w:pPr>
        <w:tabs>
          <w:tab w:val="left" w:pos="567"/>
        </w:tabs>
        <w:spacing w:after="90" w:line="252"/>
        <w:ind w:left="567" w:hanging="567"/>
      </w:pPr>
      <w:r>
        <w:rPr>
          <w:rFonts w:ascii="Arial" w:cs="Arial" w:eastAsia="Arial" w:hAnsi="Arial"/>
          <w:color w:val="1E1E1E"/>
          <w:sz w:val="19"/>
          <w:szCs w:val="19"/>
        </w:rPr>
        <w:t xml:space="preserve">[11]	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A. Steigmeier, “Brown, Charles Eugen Lancelot,” in </w:t>
      </w:r>
      <w:r>
        <w:rPr>
          <w:rFonts w:ascii="Arial" w:cs="Arial" w:eastAsia="Arial" w:hAnsi="Arial"/>
          <w:i/>
          <w:iCs/>
          <w:color w:val="1E1E1E"/>
          <w:sz w:val="19"/>
          <w:szCs w:val="19"/>
        </w:rPr>
        <w:t xml:space="preserve">Historisches Lexikon der Schweiz (HLS)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, version of Aug. 26, 2004. Accessed: Oct. 1, 2026. [Online]. Available: https://hls-dhs-dss.ch/de/articles/029568/2004-08-26/</w:t>
      </w:r>
    </w:p>
    <w:p>
      <w:pPr>
        <w:tabs>
          <w:tab w:val="left" w:pos="567"/>
        </w:tabs>
        <w:spacing w:after="90" w:line="252"/>
        <w:ind w:left="567" w:hanging="567"/>
      </w:pPr>
      <w:r>
        <w:rPr>
          <w:rFonts w:ascii="Arial" w:cs="Arial" w:eastAsia="Arial" w:hAnsi="Arial"/>
          <w:color w:val="1E1E1E"/>
          <w:sz w:val="19"/>
          <w:szCs w:val="19"/>
        </w:rPr>
        <w:t xml:space="preserve">[12]	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P. A. David and J. A. Bunn, “The economics of gateway technologies and network evolution: Lessons from electricity supply history,” </w:t>
      </w:r>
      <w:r>
        <w:rPr>
          <w:rFonts w:ascii="Arial" w:cs="Arial" w:eastAsia="Arial" w:hAnsi="Arial"/>
          <w:i/>
          <w:iCs/>
          <w:color w:val="1E1E1E"/>
          <w:sz w:val="19"/>
          <w:szCs w:val="19"/>
        </w:rPr>
        <w:t xml:space="preserve">Information Economics and Policy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, vol. 3, no. 2, pp. 165–202, 1988.</w:t>
      </w:r>
    </w:p>
    <w:p>
      <w:pPr>
        <w:tabs>
          <w:tab w:val="left" w:pos="567"/>
        </w:tabs>
        <w:spacing w:after="90" w:line="252"/>
        <w:ind w:left="567" w:hanging="567"/>
      </w:pPr>
      <w:r>
        <w:rPr>
          <w:rFonts w:ascii="Arial" w:cs="Arial" w:eastAsia="Arial" w:hAnsi="Arial"/>
          <w:color w:val="1E1E1E"/>
          <w:sz w:val="19"/>
          <w:szCs w:val="19"/>
        </w:rPr>
        <w:t xml:space="preserve">[13]	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A. Millard, “Thomas Edison, the battle of the systems and the persistence of direct current,” </w:t>
      </w:r>
      <w:r>
        <w:rPr>
          <w:rFonts w:ascii="Arial" w:cs="Arial" w:eastAsia="Arial" w:hAnsi="Arial"/>
          <w:i/>
          <w:iCs/>
          <w:color w:val="1E1E1E"/>
          <w:sz w:val="19"/>
          <w:szCs w:val="19"/>
        </w:rPr>
        <w:t xml:space="preserve">Material History Review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, vol. 36, pp. 18–28, 1992.</w:t>
      </w:r>
    </w:p>
    <w:p>
      <w:pPr>
        <w:tabs>
          <w:tab w:val="left" w:pos="567"/>
        </w:tabs>
        <w:spacing w:after="90" w:line="252"/>
        <w:ind w:left="567" w:hanging="567"/>
      </w:pPr>
      <w:r>
        <w:rPr>
          <w:rFonts w:ascii="Arial" w:cs="Arial" w:eastAsia="Arial" w:hAnsi="Arial"/>
          <w:color w:val="1E1E1E"/>
          <w:sz w:val="19"/>
          <w:szCs w:val="19"/>
        </w:rPr>
        <w:t xml:space="preserve">[14]	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J. 8. Lee, “Off goes the power current started by Thomas Edison,” </w:t>
      </w:r>
      <w:r>
        <w:rPr>
          <w:rFonts w:ascii="Arial" w:cs="Arial" w:eastAsia="Arial" w:hAnsi="Arial"/>
          <w:i/>
          <w:iCs/>
          <w:color w:val="1E1E1E"/>
          <w:sz w:val="19"/>
          <w:szCs w:val="19"/>
        </w:rPr>
        <w:t xml:space="preserve">The New York Times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 (City Room), Nov. 14, 2007. [Online]. Available: https://cityroom.blogs.nytimes.com/2007/11/14/off-goes-the-power-current-started-by-thomas-edison/</w:t>
      </w:r>
    </w:p>
    <w:p>
      <w:pPr>
        <w:tabs>
          <w:tab w:val="left" w:pos="567"/>
        </w:tabs>
        <w:spacing w:after="90" w:line="252"/>
        <w:ind w:left="567" w:hanging="567"/>
      </w:pPr>
      <w:r>
        <w:rPr>
          <w:rFonts w:ascii="Arial" w:cs="Arial" w:eastAsia="Arial" w:hAnsi="Arial"/>
          <w:color w:val="1E1E1E"/>
          <w:sz w:val="19"/>
          <w:szCs w:val="19"/>
        </w:rPr>
        <w:t xml:space="preserve">[15]	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P. A. David, “Heroes, herds and hysteresis in technological history: Thomas Edison and 'the battle of the systems' reconsidered,” </w:t>
      </w:r>
      <w:r>
        <w:rPr>
          <w:rFonts w:ascii="Arial" w:cs="Arial" w:eastAsia="Arial" w:hAnsi="Arial"/>
          <w:i/>
          <w:iCs/>
          <w:color w:val="1E1E1E"/>
          <w:sz w:val="19"/>
          <w:szCs w:val="19"/>
        </w:rPr>
        <w:t xml:space="preserve">Industrial and Corporate Change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, vol. 1, no. 1, pp. 129–180, 1992, doi: 10.1093/icc/1.1.129.</w:t>
      </w:r>
    </w:p>
    <w:p>
      <w:pPr>
        <w:tabs>
          <w:tab w:val="left" w:pos="567"/>
        </w:tabs>
        <w:spacing w:after="90" w:line="252"/>
        <w:ind w:left="567" w:hanging="567"/>
      </w:pPr>
      <w:r>
        <w:rPr>
          <w:rFonts w:ascii="Arial" w:cs="Arial" w:eastAsia="Arial" w:hAnsi="Arial"/>
          <w:color w:val="1E1E1E"/>
          <w:sz w:val="19"/>
          <w:szCs w:val="19"/>
        </w:rPr>
        <w:t xml:space="preserve">[16]	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P. Israel, </w:t>
      </w:r>
      <w:r>
        <w:rPr>
          <w:rFonts w:ascii="Arial" w:cs="Arial" w:eastAsia="Arial" w:hAnsi="Arial"/>
          <w:i/>
          <w:iCs/>
          <w:color w:val="1E1E1E"/>
          <w:sz w:val="19"/>
          <w:szCs w:val="19"/>
        </w:rPr>
        <w:t xml:space="preserve">Edison: A Life of Invention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. New York, NY, USA: John Wiley &amp; Sons, 1998.</w:t>
      </w:r>
    </w:p>
    <w:p>
      <w:pPr>
        <w:tabs>
          <w:tab w:val="left" w:pos="567"/>
        </w:tabs>
        <w:spacing w:after="90" w:line="252"/>
        <w:ind w:left="567" w:hanging="567"/>
      </w:pPr>
      <w:r>
        <w:rPr>
          <w:rFonts w:ascii="Arial" w:cs="Arial" w:eastAsia="Arial" w:hAnsi="Arial"/>
          <w:color w:val="1E1E1E"/>
          <w:sz w:val="19"/>
          <w:szCs w:val="19"/>
        </w:rPr>
        <w:t xml:space="preserve">[17]	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T. P. Hughes, </w:t>
      </w:r>
      <w:r>
        <w:rPr>
          <w:rFonts w:ascii="Arial" w:cs="Arial" w:eastAsia="Arial" w:hAnsi="Arial"/>
          <w:i/>
          <w:iCs/>
          <w:color w:val="1E1E1E"/>
          <w:sz w:val="19"/>
          <w:szCs w:val="19"/>
        </w:rPr>
        <w:t xml:space="preserve">Die Erfindung Amerikas: Der technologische Aufstieg der USA seit 1870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. München, Germany: C. H. Beck, 1991.</w:t>
      </w:r>
    </w:p>
    <w:p>
      <w:pPr>
        <w:tabs>
          <w:tab w:val="left" w:pos="567"/>
        </w:tabs>
        <w:spacing w:after="90" w:line="252"/>
        <w:ind w:left="567" w:hanging="567"/>
      </w:pPr>
      <w:r>
        <w:rPr>
          <w:rFonts w:ascii="Arial" w:cs="Arial" w:eastAsia="Arial" w:hAnsi="Arial"/>
          <w:color w:val="1E1E1E"/>
          <w:sz w:val="19"/>
          <w:szCs w:val="19"/>
        </w:rPr>
        <w:t xml:space="preserve">[18]	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P. Bairoch, “International industrialization levels from 1750 to 1980,” </w:t>
      </w:r>
      <w:r>
        <w:rPr>
          <w:rFonts w:ascii="Arial" w:cs="Arial" w:eastAsia="Arial" w:hAnsi="Arial"/>
          <w:i/>
          <w:iCs/>
          <w:color w:val="1E1E1E"/>
          <w:sz w:val="19"/>
          <w:szCs w:val="19"/>
        </w:rPr>
        <w:t xml:space="preserve">Journal of European Economic History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, vol. 11, no. 2, pp. 269–333, 1982.</w:t>
      </w:r>
    </w:p>
    <w:p>
      <w:pPr>
        <w:tabs>
          <w:tab w:val="left" w:pos="567"/>
        </w:tabs>
        <w:spacing w:after="90" w:line="252"/>
        <w:ind w:left="567" w:hanging="567"/>
      </w:pPr>
      <w:r>
        <w:rPr>
          <w:rFonts w:ascii="Arial" w:cs="Arial" w:eastAsia="Arial" w:hAnsi="Arial"/>
          <w:color w:val="1E1E1E"/>
          <w:sz w:val="19"/>
          <w:szCs w:val="19"/>
        </w:rPr>
        <w:t xml:space="preserve">[19]	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W. D. Devine, Jr., “From shafts to wires: Historical perspective on electrification,” </w:t>
      </w:r>
      <w:r>
        <w:rPr>
          <w:rFonts w:ascii="Arial" w:cs="Arial" w:eastAsia="Arial" w:hAnsi="Arial"/>
          <w:i/>
          <w:iCs/>
          <w:color w:val="1E1E1E"/>
          <w:sz w:val="19"/>
          <w:szCs w:val="19"/>
        </w:rPr>
        <w:t xml:space="preserve">The Journal of Economic History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, vol. 43, no. 2, pp. 347–372, 1983.</w:t>
      </w:r>
    </w:p>
    <w:p>
      <w:pPr>
        <w:tabs>
          <w:tab w:val="left" w:pos="567"/>
        </w:tabs>
        <w:spacing w:after="90" w:line="252"/>
        <w:ind w:left="567" w:hanging="567"/>
      </w:pPr>
      <w:r>
        <w:rPr>
          <w:rFonts w:ascii="Arial" w:cs="Arial" w:eastAsia="Arial" w:hAnsi="Arial"/>
          <w:color w:val="1E1E1E"/>
          <w:sz w:val="19"/>
          <w:szCs w:val="19"/>
        </w:rPr>
        <w:t xml:space="preserve">[20]	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P. A. David, “The dynamo and the computer: An historical perspective on the modern productivity paradox,” </w:t>
      </w:r>
      <w:r>
        <w:rPr>
          <w:rFonts w:ascii="Arial" w:cs="Arial" w:eastAsia="Arial" w:hAnsi="Arial"/>
          <w:i/>
          <w:iCs/>
          <w:color w:val="1E1E1E"/>
          <w:sz w:val="19"/>
          <w:szCs w:val="19"/>
        </w:rPr>
        <w:t xml:space="preserve">American Economic Review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, vol. 80, no. 2, pp. 355–361, 1990.</w:t>
      </w:r>
    </w:p>
    <w:p>
      <w:pPr>
        <w:tabs>
          <w:tab w:val="left" w:pos="567"/>
        </w:tabs>
        <w:spacing w:after="90" w:line="252"/>
        <w:ind w:left="567" w:hanging="567"/>
      </w:pPr>
      <w:r>
        <w:rPr>
          <w:rFonts w:ascii="Arial" w:cs="Arial" w:eastAsia="Arial" w:hAnsi="Arial"/>
          <w:color w:val="1E1E1E"/>
          <w:sz w:val="19"/>
          <w:szCs w:val="19"/>
        </w:rPr>
        <w:t xml:space="preserve">[21]	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T. P. Hughes, </w:t>
      </w:r>
      <w:r>
        <w:rPr>
          <w:rFonts w:ascii="Arial" w:cs="Arial" w:eastAsia="Arial" w:hAnsi="Arial"/>
          <w:i/>
          <w:iCs/>
          <w:color w:val="1E1E1E"/>
          <w:sz w:val="19"/>
          <w:szCs w:val="19"/>
        </w:rPr>
        <w:t xml:space="preserve">Networks of Power: Electrification in Western Society, 1880–1930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. Baltimore, MD, USA: Johns Hopkins Univ. Press, 1983.</w:t>
      </w:r>
    </w:p>
    <w:p>
      <w:pPr>
        <w:tabs>
          <w:tab w:val="left" w:pos="567"/>
        </w:tabs>
        <w:spacing w:after="90" w:line="252"/>
        <w:ind w:left="567" w:hanging="567"/>
      </w:pPr>
      <w:r>
        <w:rPr>
          <w:rFonts w:ascii="Arial" w:cs="Arial" w:eastAsia="Arial" w:hAnsi="Arial"/>
          <w:color w:val="1E1E1E"/>
          <w:sz w:val="19"/>
          <w:szCs w:val="19"/>
        </w:rPr>
        <w:t xml:space="preserve">[22]	</w:t>
      </w:r>
      <w:r>
        <w:rPr>
          <w:rFonts w:ascii="Arial" w:cs="Arial" w:eastAsia="Arial" w:hAnsi="Arial"/>
          <w:color w:val="1E1E1E"/>
          <w:sz w:val="19"/>
          <w:szCs w:val="19"/>
          <w:highlight w:val="yellow"/>
        </w:rPr>
        <w:t xml:space="preserve">[Autor ergänzen]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, “Der Stromkrieg verändert alles,” </w:t>
      </w:r>
      <w:r>
        <w:rPr>
          <w:rFonts w:ascii="Arial" w:cs="Arial" w:eastAsia="Arial" w:hAnsi="Arial"/>
          <w:i/>
          <w:iCs/>
          <w:color w:val="1E1E1E"/>
          <w:sz w:val="19"/>
          <w:szCs w:val="19"/>
        </w:rPr>
        <w:t xml:space="preserve">Tages-Anzeiger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, </w:t>
      </w:r>
      <w:r>
        <w:rPr>
          <w:rFonts w:ascii="Arial" w:cs="Arial" w:eastAsia="Arial" w:hAnsi="Arial"/>
          <w:color w:val="1E1E1E"/>
          <w:sz w:val="19"/>
          <w:szCs w:val="19"/>
          <w:highlight w:val="yellow"/>
        </w:rPr>
        <w:t xml:space="preserve">[Datum ergänzen]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. [Online]. Available: </w:t>
      </w:r>
      <w:r>
        <w:rPr>
          <w:rFonts w:ascii="Arial" w:cs="Arial" w:eastAsia="Arial" w:hAnsi="Arial"/>
          <w:color w:val="1E1E1E"/>
          <w:sz w:val="19"/>
          <w:szCs w:val="19"/>
          <w:highlight w:val="yellow"/>
        </w:rPr>
        <w:t xml:space="preserve">[vollständige URL ergänzen]</w:t>
      </w:r>
    </w:p>
    <w:p>
      <w:pPr>
        <w:tabs>
          <w:tab w:val="left" w:pos="567"/>
        </w:tabs>
        <w:spacing w:after="90" w:line="252"/>
        <w:ind w:left="567" w:hanging="567"/>
      </w:pPr>
      <w:r>
        <w:rPr>
          <w:rFonts w:ascii="Arial" w:cs="Arial" w:eastAsia="Arial" w:hAnsi="Arial"/>
          <w:color w:val="1E1E1E"/>
          <w:sz w:val="19"/>
          <w:szCs w:val="19"/>
        </w:rPr>
        <w:t xml:space="preserve">[23]	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ABB-Redaktionsteam, “Tesla gegen Edison: Kampf um Strom,” </w:t>
      </w:r>
      <w:r>
        <w:rPr>
          <w:rFonts w:ascii="Arial" w:cs="Arial" w:eastAsia="Arial" w:hAnsi="Arial"/>
          <w:i/>
          <w:iCs/>
          <w:color w:val="1E1E1E"/>
          <w:sz w:val="19"/>
          <w:szCs w:val="19"/>
        </w:rPr>
        <w:t xml:space="preserve">Destination Zukunft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 (ABB), Oct. 31, 2023. Accessed: Oct. 1, 2026. [Online]. Available: </w:t>
      </w:r>
      <w:r>
        <w:rPr>
          <w:rFonts w:ascii="Arial" w:cs="Arial" w:eastAsia="Arial" w:hAnsi="Arial"/>
          <w:color w:val="1E1E1E"/>
          <w:sz w:val="19"/>
          <w:szCs w:val="19"/>
          <w:highlight w:val="yellow"/>
        </w:rPr>
        <w:t xml:space="preserve">[vollständige URL ergänzen]</w:t>
      </w:r>
    </w:p>
    <w:p>
      <w:pPr>
        <w:tabs>
          <w:tab w:val="left" w:pos="567"/>
        </w:tabs>
        <w:spacing w:after="90" w:line="252"/>
        <w:ind w:left="567" w:hanging="567"/>
      </w:pPr>
      <w:r>
        <w:rPr>
          <w:rFonts w:ascii="Arial" w:cs="Arial" w:eastAsia="Arial" w:hAnsi="Arial"/>
          <w:color w:val="1E1E1E"/>
          <w:sz w:val="19"/>
          <w:szCs w:val="19"/>
        </w:rPr>
        <w:t xml:space="preserve">[24]	</w:t>
      </w:r>
      <w:r>
        <w:rPr>
          <w:rFonts w:ascii="Arial" w:cs="Arial" w:eastAsia="Arial" w:hAnsi="Arial"/>
          <w:color w:val="1E1E1E"/>
          <w:sz w:val="19"/>
          <w:szCs w:val="19"/>
          <w:highlight w:val="yellow"/>
        </w:rPr>
        <w:t xml:space="preserve">[Autor ergänzen]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, “</w:t>
      </w:r>
      <w:r>
        <w:rPr>
          <w:rFonts w:ascii="Arial" w:cs="Arial" w:eastAsia="Arial" w:hAnsi="Arial"/>
          <w:color w:val="1E1E1E"/>
          <w:sz w:val="19"/>
          <w:szCs w:val="19"/>
          <w:highlight w:val="yellow"/>
        </w:rPr>
        <w:t xml:space="preserve">[Titel ergänzen]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,” </w:t>
      </w:r>
      <w:r>
        <w:rPr>
          <w:rFonts w:ascii="Arial" w:cs="Arial" w:eastAsia="Arial" w:hAnsi="Arial"/>
          <w:i/>
          <w:iCs/>
          <w:color w:val="1E1E1E"/>
          <w:sz w:val="19"/>
          <w:szCs w:val="19"/>
        </w:rPr>
        <w:t xml:space="preserve">Der Spiegel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, </w:t>
      </w:r>
      <w:r>
        <w:rPr>
          <w:rFonts w:ascii="Arial" w:cs="Arial" w:eastAsia="Arial" w:hAnsi="Arial"/>
          <w:color w:val="1E1E1E"/>
          <w:sz w:val="19"/>
          <w:szCs w:val="19"/>
          <w:highlight w:val="yellow"/>
        </w:rPr>
        <w:t xml:space="preserve">[Datum, ggf. Heft und Seiten ergänzen]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.</w:t>
      </w:r>
    </w:p>
    <w:p>
      <w:pPr>
        <w:tabs>
          <w:tab w:val="left" w:pos="567"/>
        </w:tabs>
        <w:spacing w:after="90" w:line="252"/>
        <w:ind w:left="567" w:hanging="567"/>
      </w:pPr>
      <w:r>
        <w:rPr>
          <w:rFonts w:ascii="Arial" w:cs="Arial" w:eastAsia="Arial" w:hAnsi="Arial"/>
          <w:color w:val="1E1E1E"/>
          <w:sz w:val="19"/>
          <w:szCs w:val="19"/>
        </w:rPr>
        <w:t xml:space="preserve">[25]	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Thomas A. Edison Papers, “Myth buster: Topsy the elephant,” Rutgers Univ., New Brunswick, NJ, USA. Accessed: Oct. 1, 2026. [Online]. Available: https://edison.rutgers.edu/life-of-edison/essaying-edison/essay/myth-buster-topsy-the-elephant</w:t>
      </w:r>
    </w:p>
    <w:p>
      <w:pPr>
        <w:tabs>
          <w:tab w:val="left" w:pos="567"/>
        </w:tabs>
        <w:spacing w:after="90" w:line="252"/>
        <w:ind w:left="567" w:hanging="567"/>
      </w:pPr>
      <w:r>
        <w:rPr>
          <w:rFonts w:ascii="Arial" w:cs="Arial" w:eastAsia="Arial" w:hAnsi="Arial"/>
          <w:color w:val="1E1E1E"/>
          <w:sz w:val="19"/>
          <w:szCs w:val="19"/>
        </w:rPr>
        <w:t xml:space="preserve">[26]	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M. Ferrari, Dir., “Edison,” </w:t>
      </w:r>
      <w:r>
        <w:rPr>
          <w:rFonts w:ascii="Arial" w:cs="Arial" w:eastAsia="Arial" w:hAnsi="Arial"/>
          <w:i/>
          <w:iCs/>
          <w:color w:val="1E1E1E"/>
          <w:sz w:val="19"/>
          <w:szCs w:val="19"/>
        </w:rPr>
        <w:t xml:space="preserve">American Experience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. [TV documentary]. Boston, MA, USA: WGBH/PBS, Jan. 27, 2015.</w:t>
      </w:r>
    </w:p>
    <w:p>
      <w:pPr>
        <w:tabs>
          <w:tab w:val="left" w:pos="567"/>
        </w:tabs>
        <w:spacing w:after="90" w:line="252"/>
        <w:ind w:left="567" w:hanging="567"/>
      </w:pPr>
      <w:r>
        <w:rPr>
          <w:rFonts w:ascii="Arial" w:cs="Arial" w:eastAsia="Arial" w:hAnsi="Arial"/>
          <w:color w:val="1E1E1E"/>
          <w:sz w:val="19"/>
          <w:szCs w:val="19"/>
        </w:rPr>
        <w:t xml:space="preserve">[27]	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D. Grubin, Dir., “Tesla,” </w:t>
      </w:r>
      <w:r>
        <w:rPr>
          <w:rFonts w:ascii="Arial" w:cs="Arial" w:eastAsia="Arial" w:hAnsi="Arial"/>
          <w:i/>
          <w:iCs/>
          <w:color w:val="1E1E1E"/>
          <w:sz w:val="19"/>
          <w:szCs w:val="19"/>
        </w:rPr>
        <w:t xml:space="preserve">American Experience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. [TV documentary]. Boston, MA, USA: WGBH/PBS, Oct. 18, 2016.</w:t>
      </w:r>
    </w:p>
    <w:p>
      <w:pPr>
        <w:tabs>
          <w:tab w:val="left" w:pos="567"/>
        </w:tabs>
        <w:spacing w:after="90" w:line="252"/>
        <w:ind w:left="567" w:hanging="567"/>
      </w:pPr>
      <w:r>
        <w:rPr>
          <w:rFonts w:ascii="Arial" w:cs="Arial" w:eastAsia="Arial" w:hAnsi="Arial"/>
          <w:color w:val="1E1E1E"/>
          <w:sz w:val="19"/>
          <w:szCs w:val="19"/>
        </w:rPr>
        <w:t xml:space="preserve">[28]	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M. Becker, Dir., “Nikola Tesla – Magier der Elektrizität,” </w:t>
      </w:r>
      <w:r>
        <w:rPr>
          <w:rFonts w:ascii="Arial" w:cs="Arial" w:eastAsia="Arial" w:hAnsi="Arial"/>
          <w:i/>
          <w:iCs/>
          <w:color w:val="1E1E1E"/>
          <w:sz w:val="19"/>
          <w:szCs w:val="19"/>
        </w:rPr>
        <w:t xml:space="preserve">Terra X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. [TV documentary]. Mainz, Germany: ZDF, Jul. 7, 2024.</w:t>
      </w:r>
    </w:p>
    <w:p>
      <w:pPr>
        <w:tabs>
          <w:tab w:val="left" w:pos="567"/>
        </w:tabs>
        <w:spacing w:after="90" w:line="252"/>
        <w:ind w:left="567" w:hanging="567"/>
      </w:pPr>
      <w:r>
        <w:rPr>
          <w:rFonts w:ascii="Arial" w:cs="Arial" w:eastAsia="Arial" w:hAnsi="Arial"/>
          <w:color w:val="1E1E1E"/>
          <w:sz w:val="19"/>
          <w:szCs w:val="19"/>
        </w:rPr>
        <w:t xml:space="preserve">[29]	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T. McNichol, </w:t>
      </w:r>
      <w:r>
        <w:rPr>
          <w:rFonts w:ascii="Arial" w:cs="Arial" w:eastAsia="Arial" w:hAnsi="Arial"/>
          <w:i/>
          <w:iCs/>
          <w:color w:val="1E1E1E"/>
          <w:sz w:val="19"/>
          <w:szCs w:val="19"/>
        </w:rPr>
        <w:t xml:space="preserve">AC/DC: The Savage Tale of the First Standards War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. San Francisco, CA, USA: Jossey-Bass, 2006.</w:t>
      </w:r>
    </w:p>
    <w:p>
      <w:pPr>
        <w:tabs>
          <w:tab w:val="left" w:pos="567"/>
        </w:tabs>
        <w:spacing w:after="90" w:line="252"/>
        <w:ind w:left="567" w:hanging="567"/>
      </w:pPr>
      <w:r>
        <w:rPr>
          <w:rFonts w:ascii="Arial" w:cs="Arial" w:eastAsia="Arial" w:hAnsi="Arial"/>
          <w:color w:val="1E1E1E"/>
          <w:sz w:val="19"/>
          <w:szCs w:val="19"/>
        </w:rPr>
        <w:t xml:space="preserve">[30]	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“Milestones: Gotland High Voltage Direct Current Link, 1954,” </w:t>
      </w:r>
      <w:r>
        <w:rPr>
          <w:rFonts w:ascii="Arial" w:cs="Arial" w:eastAsia="Arial" w:hAnsi="Arial"/>
          <w:i/>
          <w:iCs/>
          <w:color w:val="1E1E1E"/>
          <w:sz w:val="19"/>
          <w:szCs w:val="19"/>
        </w:rPr>
        <w:t xml:space="preserve">Engineering and Technology History Wiki (ETHW)</w:t>
      </w:r>
      <w:r>
        <w:rPr>
          <w:rFonts w:ascii="Arial" w:cs="Arial" w:eastAsia="Arial" w:hAnsi="Arial"/>
          <w:color w:val="1E1E1E"/>
          <w:sz w:val="19"/>
          <w:szCs w:val="19"/>
        </w:rPr>
        <w:t xml:space="preserve">, IEEE History Center. Accessed: Oct. 1, 2026. [Online]. Available: https://ethw.org/Milestones:Gotland_High_Voltage_Direct_Current_Link,_1954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F5D58"/>
        <w:sz w:val="16"/>
        <w:szCs w:val="16"/>
      </w:rPr>
      <w:t xml:space="preserve">Simon Bruder · Der Stromkrieg · Seite </w:t>
    </w:r>
    <w:r>
      <w:rPr>
        <w:rFonts w:ascii="Arial" w:cs="Arial" w:eastAsia="Arial" w:hAnsi="Arial"/>
        <w:color w:val="5F5D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b026cd185a6dda5bdce86b72ce92978a9b22443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 Stromkrieg (War of Currents) – Handout</dc:title>
  <dc:creator>Simon Bruder</dc:creator>
  <cp:lastModifiedBy>Un-named</cp:lastModifiedBy>
  <cp:revision>1</cp:revision>
  <dcterms:created xsi:type="dcterms:W3CDTF">2026-10-01T11:41:50.129Z</dcterms:created>
  <dcterms:modified xsi:type="dcterms:W3CDTF">2026-10-01T11:41:50.129Z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