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979"/>
        <w:gridCol w:w="7036"/>
      </w:tblGrid>
      <w:tr>
        <w:trPr>
          <w:trHeight w:val="2251" w:hRule="atLeast"/>
        </w:trPr>
        <w:tc>
          <w:tcPr>
            <w:tcW w:w="9015" w:type="dxa"/>
            <w:gridSpan w:val="2"/>
            <w:tcBorders/>
            <w:shd w:fill="auto" w:val="clear"/>
            <w:tcMar>
              <w:left w:w="108" w:type="dxa"/>
            </w:tcMar>
          </w:tcPr>
          <w:p>
            <w:pPr>
              <w:pStyle w:val="Normal"/>
              <w:spacing w:lineRule="auto" w:line="240" w:before="0" w:after="0"/>
              <w:jc w:val="center"/>
              <w:rPr>
                <w:rFonts w:ascii="Arial" w:hAnsi="Arial" w:cs="Arial"/>
                <w:b/>
                <w:b/>
              </w:rPr>
            </w:pPr>
            <w:r>
              <w:rPr>
                <w:rFonts w:cs="Arial" w:ascii="Arial" w:hAnsi="Arial"/>
                <w:b/>
              </w:rPr>
              <w:drawing>
                <wp:anchor behindDoc="0" distT="0" distB="0" distL="114300" distR="114935" simplePos="0" locked="0" layoutInCell="1" allowOverlap="1" relativeHeight="2">
                  <wp:simplePos x="0" y="0"/>
                  <wp:positionH relativeFrom="column">
                    <wp:posOffset>-18415</wp:posOffset>
                  </wp:positionH>
                  <wp:positionV relativeFrom="paragraph">
                    <wp:posOffset>23495</wp:posOffset>
                  </wp:positionV>
                  <wp:extent cx="1066165" cy="135636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066165" cy="1356360"/>
                          </a:xfrm>
                          <a:prstGeom prst="rect">
                            <a:avLst/>
                          </a:prstGeom>
                        </pic:spPr>
                      </pic:pic>
                    </a:graphicData>
                  </a:graphic>
                </wp:anchor>
              </w:drawing>
            </w:r>
          </w:p>
          <w:p>
            <w:pPr>
              <w:pStyle w:val="Normal"/>
              <w:spacing w:lineRule="auto" w:line="240" w:before="0" w:after="0"/>
              <w:ind w:left="1134" w:hanging="0"/>
              <w:jc w:val="center"/>
              <w:rPr>
                <w:rFonts w:ascii="Arial" w:hAnsi="Arial" w:cs="Arial"/>
                <w:b/>
                <w:b/>
                <w:sz w:val="26"/>
                <w:szCs w:val="26"/>
              </w:rPr>
            </w:pPr>
            <w:r>
              <w:rPr>
                <w:rFonts w:cs="Arial" w:ascii="Arial" w:hAnsi="Arial"/>
                <w:b/>
                <w:sz w:val="26"/>
                <w:szCs w:val="26"/>
              </w:rPr>
              <w:t xml:space="preserve">       </w:t>
            </w:r>
            <w:r>
              <w:rPr>
                <w:rFonts w:cs="Arial" w:ascii="Arial" w:hAnsi="Arial"/>
                <w:b/>
                <w:sz w:val="26"/>
                <w:szCs w:val="26"/>
              </w:rPr>
              <w:t>TRAC 2018 (Theoretical Roman Archaeology Conference)</w:t>
            </w:r>
          </w:p>
          <w:p>
            <w:pPr>
              <w:pStyle w:val="Normal"/>
              <w:spacing w:lineRule="auto" w:line="240" w:before="0" w:after="0"/>
              <w:ind w:left="1134" w:hanging="0"/>
              <w:jc w:val="center"/>
              <w:rPr>
                <w:rFonts w:ascii="Arial" w:hAnsi="Arial" w:cs="Arial"/>
                <w:b/>
                <w:b/>
                <w:sz w:val="26"/>
                <w:szCs w:val="26"/>
              </w:rPr>
            </w:pPr>
            <w:r>
              <w:rPr>
                <w:rFonts w:cs="Arial" w:ascii="Arial" w:hAnsi="Arial"/>
                <w:b/>
                <w:sz w:val="26"/>
                <w:szCs w:val="26"/>
              </w:rPr>
              <w:t>Edinburgh, 12</w:t>
            </w:r>
            <w:r>
              <w:rPr>
                <w:rFonts w:cs="Arial" w:ascii="Arial" w:hAnsi="Arial"/>
                <w:b/>
                <w:sz w:val="26"/>
                <w:szCs w:val="26"/>
                <w:vertAlign w:val="superscript"/>
              </w:rPr>
              <w:t>th</w:t>
            </w:r>
            <w:r>
              <w:rPr>
                <w:rFonts w:cs="Arial" w:ascii="Arial" w:hAnsi="Arial"/>
                <w:b/>
                <w:sz w:val="26"/>
                <w:szCs w:val="26"/>
              </w:rPr>
              <w:t xml:space="preserve"> -14</w:t>
            </w:r>
            <w:r>
              <w:rPr>
                <w:rFonts w:cs="Arial" w:ascii="Arial" w:hAnsi="Arial"/>
                <w:b/>
                <w:sz w:val="26"/>
                <w:szCs w:val="26"/>
                <w:vertAlign w:val="superscript"/>
              </w:rPr>
              <w:t>th</w:t>
            </w:r>
            <w:r>
              <w:rPr>
                <w:rFonts w:cs="Arial" w:ascii="Arial" w:hAnsi="Arial"/>
                <w:b/>
                <w:sz w:val="26"/>
                <w:szCs w:val="26"/>
              </w:rPr>
              <w:t xml:space="preserve"> April 2018</w:t>
            </w:r>
          </w:p>
          <w:p>
            <w:pPr>
              <w:pStyle w:val="Normal"/>
              <w:spacing w:lineRule="auto" w:line="240" w:before="0" w:after="0"/>
              <w:ind w:left="1134" w:hanging="0"/>
              <w:jc w:val="center"/>
              <w:rPr>
                <w:rFonts w:ascii="Arial" w:hAnsi="Arial" w:cs="Arial"/>
                <w:b/>
                <w:b/>
                <w:sz w:val="26"/>
                <w:szCs w:val="26"/>
              </w:rPr>
            </w:pPr>
            <w:r>
              <w:rPr>
                <w:rFonts w:cs="Arial" w:ascii="Arial" w:hAnsi="Arial"/>
                <w:b/>
                <w:sz w:val="26"/>
                <w:szCs w:val="26"/>
              </w:rPr>
            </w:r>
          </w:p>
          <w:p>
            <w:pPr>
              <w:pStyle w:val="Normal"/>
              <w:spacing w:lineRule="auto" w:line="240" w:before="0" w:after="0"/>
              <w:ind w:left="1134" w:hanging="0"/>
              <w:jc w:val="center"/>
              <w:rPr>
                <w:rFonts w:ascii="Arial" w:hAnsi="Arial" w:cs="Arial"/>
              </w:rPr>
            </w:pPr>
            <w:r>
              <w:rPr>
                <w:rFonts w:cs="Arial" w:ascii="Arial" w:hAnsi="Arial"/>
                <w:b/>
                <w:sz w:val="26"/>
                <w:szCs w:val="26"/>
              </w:rPr>
              <w:t xml:space="preserve">CALL FOR PAPER FORM </w:t>
            </w:r>
          </w:p>
        </w:tc>
      </w:tr>
      <w:tr>
        <w:trPr>
          <w:trHeight w:val="671" w:hRule="atLeast"/>
        </w:trPr>
        <w:tc>
          <w:tcPr>
            <w:tcW w:w="1979" w:type="dxa"/>
            <w:tcBorders/>
            <w:shd w:fill="auto" w:val="clear"/>
            <w:tcMar>
              <w:left w:w="108" w:type="dxa"/>
            </w:tcMar>
            <w:vAlign w:val="center"/>
          </w:tcPr>
          <w:p>
            <w:pPr>
              <w:pStyle w:val="Normal"/>
              <w:spacing w:lineRule="auto" w:line="240" w:before="0" w:after="0"/>
              <w:jc w:val="center"/>
              <w:rPr>
                <w:rFonts w:ascii="Arial" w:hAnsi="Arial" w:cs="Arial"/>
                <w:b/>
                <w:b/>
                <w:sz w:val="24"/>
                <w:szCs w:val="24"/>
              </w:rPr>
            </w:pPr>
            <w:r>
              <w:rPr>
                <w:rFonts w:cs="Arial" w:ascii="Arial" w:hAnsi="Arial"/>
                <w:b/>
                <w:sz w:val="24"/>
                <w:szCs w:val="24"/>
              </w:rPr>
              <w:t>Title of the Paper</w:t>
            </w:r>
          </w:p>
        </w:tc>
        <w:tc>
          <w:tcPr>
            <w:tcW w:w="7036" w:type="dxa"/>
            <w:tcBorders/>
            <w:shd w:fill="auto" w:val="clear"/>
            <w:tcMar>
              <w:left w:w="108" w:type="dxa"/>
            </w:tcMar>
            <w:vAlign w:val="center"/>
          </w:tcPr>
          <w:p>
            <w:pPr>
              <w:pStyle w:val="Heading1"/>
              <w:spacing w:lineRule="auto" w:line="240" w:before="0" w:after="0"/>
              <w:rPr>
                <w:rFonts w:ascii="Arial" w:hAnsi="Arial" w:cs="Arial"/>
              </w:rPr>
            </w:pPr>
            <w:r>
              <w:rPr>
                <w:rFonts w:cs="Arial" w:ascii="Arial" w:hAnsi="Arial"/>
              </w:rPr>
              <w:t xml:space="preserve">An agent-based model of trade in the Roman </w:t>
            </w:r>
            <w:r>
              <w:rPr>
                <w:rFonts w:cs="Arial" w:ascii="Arial" w:hAnsi="Arial"/>
              </w:rPr>
              <w:t xml:space="preserve">East </w:t>
            </w:r>
            <w:r>
              <w:rPr>
                <w:rFonts w:cs="Arial" w:ascii="Arial" w:hAnsi="Arial"/>
              </w:rPr>
              <w:t>(25BC-150A</w:t>
            </w:r>
            <w:r>
              <w:rPr>
                <w:rFonts w:cs="Arial" w:ascii="Arial" w:hAnsi="Arial"/>
              </w:rPr>
              <w:t>D</w:t>
            </w:r>
            <w:r>
              <w:rPr>
                <w:rFonts w:cs="Arial" w:ascii="Arial" w:hAnsi="Arial"/>
              </w:rPr>
              <w:t xml:space="preserve">) </w:t>
            </w:r>
          </w:p>
          <w:p>
            <w:pPr>
              <w:pStyle w:val="Normal"/>
              <w:spacing w:lineRule="auto" w:line="240" w:before="0" w:after="0"/>
              <w:rPr>
                <w:rFonts w:ascii="Arial" w:hAnsi="Arial" w:cs="Arial"/>
              </w:rPr>
            </w:pPr>
            <w:r>
              <w:rPr>
                <w:rFonts w:cs="Arial" w:ascii="Arial" w:hAnsi="Arial"/>
              </w:rPr>
            </w:r>
          </w:p>
        </w:tc>
      </w:tr>
      <w:tr>
        <w:trPr>
          <w:trHeight w:val="722" w:hRule="atLeast"/>
        </w:trPr>
        <w:tc>
          <w:tcPr>
            <w:tcW w:w="1979" w:type="dxa"/>
            <w:tcBorders/>
            <w:shd w:fill="auto" w:val="clear"/>
            <w:tcMar>
              <w:left w:w="108" w:type="dxa"/>
            </w:tcMar>
            <w:vAlign w:val="center"/>
          </w:tcPr>
          <w:p>
            <w:pPr>
              <w:pStyle w:val="Normal"/>
              <w:spacing w:lineRule="auto" w:line="240" w:before="0" w:after="0"/>
              <w:jc w:val="center"/>
              <w:rPr>
                <w:rFonts w:ascii="Arial" w:hAnsi="Arial" w:cs="Arial"/>
                <w:b/>
                <w:b/>
                <w:sz w:val="24"/>
                <w:szCs w:val="24"/>
              </w:rPr>
            </w:pPr>
            <w:r>
              <w:rPr>
                <w:rFonts w:cs="Arial" w:ascii="Arial" w:hAnsi="Arial"/>
                <w:b/>
                <w:sz w:val="24"/>
                <w:szCs w:val="24"/>
              </w:rPr>
              <w:t>Speaker Information</w:t>
            </w:r>
          </w:p>
        </w:tc>
        <w:tc>
          <w:tcPr>
            <w:tcW w:w="7036" w:type="dxa"/>
            <w:tcBorders/>
            <w:shd w:fill="auto" w:val="clear"/>
            <w:tcMar>
              <w:left w:w="108" w:type="dxa"/>
            </w:tcMar>
            <w:vAlign w:val="center"/>
          </w:tcPr>
          <w:p>
            <w:pPr>
              <w:pStyle w:val="Normal"/>
              <w:spacing w:lineRule="auto" w:line="240" w:before="0" w:after="0"/>
              <w:rPr/>
            </w:pPr>
            <w:r>
              <w:rPr>
                <w:rFonts w:cs="Arial" w:ascii="Arial" w:hAnsi="Arial"/>
                <w:color w:val="212121"/>
                <w:shd w:fill="FFFFFF" w:val="clear"/>
              </w:rPr>
              <w:t xml:space="preserve">Simon Carrignon,  Barcelona Supercomputing Center &amp; Univ. Pompeu Fabra, </w:t>
            </w:r>
            <w:hyperlink r:id="rId3">
              <w:r>
                <w:rPr>
                  <w:rStyle w:val="InternetLink"/>
                  <w:rFonts w:cs="Arial" w:ascii="Arial" w:hAnsi="Arial"/>
                  <w:color w:val="212121"/>
                  <w:shd w:fill="FFFFFF" w:val="clear"/>
                </w:rPr>
                <w:t>simon.carrignon@bsc.es</w:t>
              </w:r>
            </w:hyperlink>
            <w:r>
              <w:rPr>
                <w:rFonts w:cs="Arial" w:ascii="Arial" w:hAnsi="Arial"/>
                <w:color w:val="212121"/>
                <w:shd w:fill="FFFFFF" w:val="clear"/>
              </w:rPr>
              <w:t xml:space="preserve">  </w:t>
            </w:r>
            <w:r>
              <w:rPr>
                <w:rFonts w:cs="Arial" w:ascii="Arial" w:hAnsi="Arial"/>
                <w:color w:val="212121"/>
                <w:shd w:fill="FFFFFF" w:val="clear"/>
              </w:rPr>
              <w:t>(speaker)</w:t>
            </w:r>
          </w:p>
          <w:p>
            <w:pPr>
              <w:pStyle w:val="Normal"/>
              <w:spacing w:lineRule="auto" w:line="240" w:before="0" w:after="0"/>
              <w:rPr>
                <w:rFonts w:ascii="Arial" w:hAnsi="Arial" w:cs="Arial"/>
                <w:color w:val="212121"/>
                <w:highlight w:val="white"/>
              </w:rPr>
            </w:pPr>
            <w:r>
              <w:rPr/>
            </w:r>
          </w:p>
          <w:p>
            <w:pPr>
              <w:pStyle w:val="Normal"/>
              <w:spacing w:lineRule="auto" w:line="240" w:before="0" w:after="0"/>
              <w:rPr/>
            </w:pPr>
            <w:r>
              <w:rPr>
                <w:rFonts w:cs="Arial" w:ascii="Arial" w:hAnsi="Arial"/>
                <w:color w:val="212121"/>
                <w:shd w:fill="FFFFFF" w:val="clear"/>
              </w:rPr>
              <w:t xml:space="preserve">Tom Brughmans,  </w:t>
            </w:r>
            <w:r>
              <w:rPr>
                <w:rFonts w:cs="Arial" w:ascii="Arial" w:hAnsi="Arial"/>
                <w:color w:val="212121"/>
                <w:shd w:fill="FFFFFF" w:val="clear"/>
              </w:rPr>
              <w:t>University of Oxford</w:t>
            </w:r>
          </w:p>
          <w:p>
            <w:pPr>
              <w:pStyle w:val="Normal"/>
              <w:spacing w:lineRule="auto" w:line="240" w:before="0" w:after="0"/>
              <w:rPr>
                <w:rFonts w:ascii="Arial" w:hAnsi="Arial" w:cs="Arial"/>
                <w:color w:val="212121"/>
                <w:highlight w:val="white"/>
              </w:rPr>
            </w:pPr>
            <w:r>
              <w:rPr/>
            </w:r>
          </w:p>
          <w:p>
            <w:pPr>
              <w:pStyle w:val="Normal"/>
              <w:spacing w:lineRule="auto" w:line="240" w:before="0" w:after="0"/>
              <w:rPr/>
            </w:pPr>
            <w:r>
              <w:rPr>
                <w:rFonts w:cs="Arial" w:ascii="Arial" w:hAnsi="Arial"/>
                <w:color w:val="212121"/>
                <w:shd w:fill="FFFFFF" w:val="clear"/>
              </w:rPr>
              <w:t>Iza Romanowska,  Barcelona Supercomputing Center</w:t>
            </w:r>
          </w:p>
          <w:p>
            <w:pPr>
              <w:pStyle w:val="Normal"/>
              <w:spacing w:lineRule="auto" w:line="240" w:before="0" w:after="0"/>
              <w:rPr>
                <w:rFonts w:ascii="Arial" w:hAnsi="Arial" w:cs="Arial"/>
                <w:color w:val="212121"/>
                <w:highlight w:val="white"/>
              </w:rPr>
            </w:pPr>
            <w:r>
              <w:rPr/>
            </w:r>
          </w:p>
        </w:tc>
      </w:tr>
      <w:tr>
        <w:trPr>
          <w:trHeight w:val="589" w:hRule="atLeast"/>
        </w:trPr>
        <w:tc>
          <w:tcPr>
            <w:tcW w:w="1979" w:type="dxa"/>
            <w:tcBorders/>
            <w:shd w:fill="auto" w:val="clear"/>
            <w:tcMar>
              <w:left w:w="108" w:type="dxa"/>
            </w:tcMar>
            <w:vAlign w:val="center"/>
          </w:tcPr>
          <w:p>
            <w:pPr>
              <w:pStyle w:val="Normal"/>
              <w:spacing w:lineRule="auto" w:line="240" w:before="0" w:after="0"/>
              <w:jc w:val="center"/>
              <w:rPr>
                <w:rFonts w:ascii="Arial" w:hAnsi="Arial" w:cs="Arial"/>
                <w:b/>
                <w:b/>
                <w:sz w:val="24"/>
                <w:szCs w:val="24"/>
              </w:rPr>
            </w:pPr>
            <w:r>
              <w:rPr>
                <w:rFonts w:cs="Arial" w:ascii="Arial" w:hAnsi="Arial"/>
                <w:b/>
                <w:sz w:val="24"/>
                <w:szCs w:val="24"/>
              </w:rPr>
              <w:t>Session</w:t>
            </w:r>
          </w:p>
          <w:p>
            <w:pPr>
              <w:pStyle w:val="Normal"/>
              <w:spacing w:lineRule="auto" w:line="240" w:before="0" w:after="0"/>
              <w:rPr>
                <w:rFonts w:ascii="Arial" w:hAnsi="Arial" w:cs="Arial"/>
                <w:b/>
                <w:b/>
                <w:sz w:val="18"/>
                <w:szCs w:val="18"/>
              </w:rPr>
            </w:pPr>
            <w:r>
              <w:rPr>
                <w:rFonts w:cs="Arial" w:ascii="Arial" w:hAnsi="Arial"/>
                <w:b/>
                <w:sz w:val="18"/>
                <w:szCs w:val="18"/>
              </w:rPr>
            </w:r>
          </w:p>
        </w:tc>
        <w:tc>
          <w:tcPr>
            <w:tcW w:w="7036" w:type="dxa"/>
            <w:tcBorders/>
            <w:shd w:fill="auto" w:val="clear"/>
            <w:tcMar>
              <w:left w:w="108" w:type="dxa"/>
            </w:tcMar>
            <w:vAlign w:val="center"/>
          </w:tcPr>
          <w:p>
            <w:pPr>
              <w:pStyle w:val="Normal"/>
              <w:spacing w:lineRule="auto" w:line="240" w:before="0" w:after="0"/>
              <w:rPr>
                <w:rFonts w:ascii="Arial" w:hAnsi="Arial" w:cs="Arial"/>
              </w:rPr>
            </w:pPr>
            <w:r>
              <w:rPr>
                <w:rFonts w:cs="Arial" w:ascii="Arial" w:hAnsi="Arial"/>
              </w:rPr>
              <w:t>1E-2E</w:t>
            </w:r>
          </w:p>
        </w:tc>
      </w:tr>
      <w:tr>
        <w:trPr>
          <w:trHeight w:val="4352" w:hRule="atLeast"/>
        </w:trPr>
        <w:tc>
          <w:tcPr>
            <w:tcW w:w="1979" w:type="dxa"/>
            <w:tcBorders/>
            <w:shd w:fill="auto" w:val="clear"/>
            <w:tcMar>
              <w:left w:w="108" w:type="dxa"/>
            </w:tcMar>
          </w:tcPr>
          <w:p>
            <w:pPr>
              <w:pStyle w:val="Normal"/>
              <w:spacing w:lineRule="auto" w:line="240" w:before="0" w:after="0"/>
              <w:jc w:val="center"/>
              <w:rPr>
                <w:rFonts w:ascii="Arial" w:hAnsi="Arial" w:cs="Arial"/>
                <w:b/>
                <w:b/>
              </w:rPr>
            </w:pPr>
            <w:r>
              <w:rPr>
                <w:rFonts w:cs="Arial" w:ascii="Arial" w:hAnsi="Arial"/>
                <w:b/>
              </w:rPr>
              <w:t>Abstract</w:t>
            </w:r>
          </w:p>
          <w:p>
            <w:pPr>
              <w:pStyle w:val="Normal"/>
              <w:spacing w:lineRule="auto" w:line="240" w:before="0" w:after="0"/>
              <w:jc w:val="center"/>
              <w:rPr>
                <w:rFonts w:ascii="Arial" w:hAnsi="Arial" w:cs="Arial"/>
              </w:rPr>
            </w:pPr>
            <w:r>
              <w:rPr>
                <w:rFonts w:cs="Arial" w:ascii="Arial" w:hAnsi="Arial"/>
              </w:rPr>
              <w:t>300 words max</w:t>
            </w:r>
          </w:p>
          <w:p>
            <w:pPr>
              <w:pStyle w:val="Normal"/>
              <w:spacing w:lineRule="auto" w:line="240" w:before="0" w:after="0"/>
              <w:jc w:val="center"/>
              <w:rPr>
                <w:rFonts w:ascii="Arial" w:hAnsi="Arial" w:cs="Arial"/>
                <w:b/>
                <w:b/>
                <w:sz w:val="24"/>
                <w:szCs w:val="24"/>
              </w:rPr>
            </w:pPr>
            <w:r>
              <w:rPr>
                <w:rFonts w:cs="Arial" w:ascii="Arial" w:hAnsi="Arial"/>
                <w:b/>
                <w:sz w:val="24"/>
                <w:szCs w:val="24"/>
              </w:rPr>
            </w:r>
          </w:p>
        </w:tc>
        <w:tc>
          <w:tcPr>
            <w:tcW w:w="7036" w:type="dxa"/>
            <w:tcBorders/>
            <w:shd w:fill="auto" w:val="clear"/>
            <w:tcMar>
              <w:left w:w="108" w:type="dxa"/>
            </w:tcMar>
            <w:vAlign w:val="center"/>
          </w:tcPr>
          <w:p>
            <w:pPr>
              <w:pStyle w:val="Normal"/>
              <w:spacing w:lineRule="auto" w:line="240" w:before="0" w:after="0"/>
              <w:ind w:hanging="0"/>
              <w:rPr>
                <w:rFonts w:ascii="monospace" w:hAnsi="monospace" w:cs="Arial"/>
              </w:rPr>
            </w:pPr>
            <w:r>
              <w:rPr>
                <w:rFonts w:cs="Arial" w:ascii="Arial" w:hAnsi="Arial"/>
                <w:color w:val="212121"/>
                <w:shd w:fill="FFFFFF" w:val="clear"/>
              </w:rPr>
              <w:t>Traces of the processes driving economic activity in past societies are scarce and unevenly distributed. The archaeological record shows changes in the volume or in the kind of goods that were traded, but it is difficult to infer from it  </w:t>
              <w:br/>
              <w:t xml:space="preserve">the social, economic and cultural mechanisms that resulted in these changes. </w:t>
              <w:br/>
              <w:br/>
              <w:t>On the other hand, economists have developed models that link observable patterns of trade with the underlying economic principles. As a result a huge arsenal of tools and models exists nowadays that address a wide range of research       </w:t>
              <w:br/>
              <w:t xml:space="preserve">question. However, the challenge of incorporating key aspects of past societies into such models remains unresolved. </w:t>
              <w:br/>
              <w:br/>
              <w:t>Here, we present an agent-based model that fills this gap by bringing economic models and historical and archaeological knowledge together. The overarching goal is to develop a tool to test and compare different hypothesis regarding the   </w:t>
              <w:br/>
              <w:t xml:space="preserve">socio-economic processes that have resulted in the observed patterns in the archaeological record. </w:t>
              <w:br/>
              <w:br/>
              <w:t xml:space="preserve">In this particular study we want to explore the social mechanisms behind changes observed in the distribution of different types of tableware used in the Roman </w:t>
            </w:r>
            <w:r>
              <w:rPr>
                <w:rFonts w:cs="Arial" w:ascii="Arial" w:hAnsi="Arial"/>
                <w:color w:val="212121"/>
                <w:shd w:fill="FFFFFF" w:val="clear"/>
              </w:rPr>
              <w:t xml:space="preserve">East from </w:t>
            </w:r>
            <w:r>
              <w:rPr>
                <w:rFonts w:cs="Arial" w:ascii="Arial" w:hAnsi="Arial"/>
                <w:color w:val="212121"/>
                <w:shd w:fill="FFFFFF" w:val="clear"/>
              </w:rPr>
              <w:t>25 BC to 150 A</w:t>
            </w:r>
            <w:r>
              <w:rPr>
                <w:rFonts w:cs="Arial" w:ascii="Arial" w:hAnsi="Arial"/>
                <w:color w:val="212121"/>
                <w:shd w:fill="FFFFFF" w:val="clear"/>
              </w:rPr>
              <w:t>D</w:t>
            </w:r>
            <w:r>
              <w:rPr>
                <w:rFonts w:cs="Arial" w:ascii="Arial" w:hAnsi="Arial"/>
                <w:color w:val="212121"/>
                <w:shd w:fill="FFFFFF" w:val="clear"/>
              </w:rPr>
              <w:t xml:space="preserve">. These changes have been identified in </w:t>
              <w:br/>
              <w:t xml:space="preserve">an extensive dataset of 5121 tableware from 222 different sites in the Eastern Mediterranean, and involved four major types of tableware used during this period in the region. Our aim is to illustrate that simple social interactions, such </w:t>
              <w:br/>
              <w:t xml:space="preserve">has the frequencies of social interactions between cities can generate the pattern observed in the dataset. </w:t>
              <w:br/>
              <w:br/>
              <w:t>To that end, the original economic model has been modified to reflect the particularities of the region and the time period of interest. In the first step, we run and record a series of experiments where the probability of social          </w:t>
              <w:br/>
              <w:t xml:space="preserve">interactions between the cities varies. We show how the results of those simulations can be related to the pattern observed in the dataset. </w:t>
              <w:br/>
              <w:br/>
            </w:r>
          </w:p>
        </w:tc>
      </w:tr>
      <w:tr>
        <w:trPr>
          <w:trHeight w:val="2827" w:hRule="atLeast"/>
        </w:trPr>
        <w:tc>
          <w:tcPr>
            <w:tcW w:w="1979" w:type="dxa"/>
            <w:tcBorders/>
            <w:shd w:fill="auto" w:val="clear"/>
            <w:tcMar>
              <w:left w:w="108" w:type="dxa"/>
            </w:tcMar>
            <w:vAlign w:val="center"/>
          </w:tcPr>
          <w:p>
            <w:pPr>
              <w:pStyle w:val="Normal"/>
              <w:spacing w:lineRule="auto" w:line="240" w:before="0" w:after="0"/>
              <w:jc w:val="center"/>
              <w:rPr>
                <w:rFonts w:ascii="Arial" w:hAnsi="Arial" w:cs="Arial"/>
                <w:b/>
                <w:b/>
              </w:rPr>
            </w:pPr>
            <w:r>
              <w:rPr>
                <w:rFonts w:cs="Arial" w:ascii="Arial" w:hAnsi="Arial"/>
                <w:b/>
              </w:rPr>
              <w:t>Bibliography</w:t>
            </w:r>
          </w:p>
          <w:p>
            <w:pPr>
              <w:pStyle w:val="Normal"/>
              <w:spacing w:lineRule="auto" w:line="240" w:before="0" w:after="0"/>
              <w:jc w:val="center"/>
              <w:rPr>
                <w:rFonts w:ascii="Arial" w:hAnsi="Arial" w:cs="Arial"/>
                <w:sz w:val="20"/>
                <w:szCs w:val="20"/>
                <w:u w:val="single"/>
              </w:rPr>
            </w:pPr>
            <w:r>
              <w:rPr>
                <w:rFonts w:cs="Arial" w:ascii="Arial" w:hAnsi="Arial"/>
                <w:i/>
                <w:sz w:val="20"/>
                <w:szCs w:val="20"/>
              </w:rPr>
              <w:t xml:space="preserve">Please provide recent relevant publications </w:t>
            </w:r>
          </w:p>
          <w:p>
            <w:pPr>
              <w:pStyle w:val="Normal"/>
              <w:spacing w:lineRule="auto" w:line="240" w:before="0" w:after="0"/>
              <w:jc w:val="center"/>
              <w:rPr>
                <w:rFonts w:ascii="Arial" w:hAnsi="Arial" w:cs="Arial"/>
                <w:i/>
                <w:i/>
                <w:sz w:val="20"/>
                <w:szCs w:val="20"/>
              </w:rPr>
            </w:pPr>
            <w:r>
              <w:rPr>
                <w:rFonts w:cs="Arial" w:ascii="Arial" w:hAnsi="Arial"/>
                <w:i/>
                <w:sz w:val="20"/>
                <w:szCs w:val="20"/>
              </w:rPr>
            </w:r>
          </w:p>
        </w:tc>
        <w:tc>
          <w:tcPr>
            <w:tcW w:w="7036" w:type="dxa"/>
            <w:tcBorders/>
            <w:shd w:fill="auto" w:val="clear"/>
            <w:tcMar>
              <w:left w:w="108" w:type="dxa"/>
            </w:tcMar>
            <w:vAlign w:val="center"/>
          </w:tcPr>
          <w:p>
            <w:pPr>
              <w:pStyle w:val="Normal"/>
              <w:spacing w:lineRule="auto" w:line="240" w:before="0" w:after="0"/>
              <w:rPr>
                <w:rFonts w:ascii="Arial" w:hAnsi="Arial" w:cs="Arial"/>
              </w:rPr>
            </w:pPr>
            <w:r>
              <w:rPr>
                <w:rFonts w:cs="Arial" w:ascii="Arial" w:hAnsi="Arial"/>
              </w:rPr>
            </w:r>
          </w:p>
          <w:p>
            <w:pPr>
              <w:pStyle w:val="Normal"/>
              <w:spacing w:before="0" w:after="0"/>
              <w:rPr/>
            </w:pPr>
            <w:r>
              <w:rPr/>
              <w:t xml:space="preserve">Bentley, R. A., Hahn, M. W., &amp; Shennan, S. J. (2004). Random drift and culture change. </w:t>
            </w:r>
            <w:r>
              <w:rPr>
                <w:i/>
              </w:rPr>
              <w:t>Proceedings of the Royal Society of London B: Biological Sciences</w:t>
            </w:r>
            <w:r>
              <w:rPr/>
              <w:t xml:space="preserve">, </w:t>
            </w:r>
            <w:r>
              <w:rPr>
                <w:i/>
              </w:rPr>
              <w:t>271</w:t>
            </w:r>
            <w:r>
              <w:rPr/>
              <w:t>(1547), 1443-1450.</w:t>
            </w:r>
          </w:p>
          <w:p>
            <w:pPr>
              <w:pStyle w:val="Normal"/>
              <w:spacing w:before="0" w:after="0"/>
              <w:rPr/>
            </w:pPr>
            <w:r>
              <w:rPr/>
            </w:r>
          </w:p>
          <w:p>
            <w:pPr>
              <w:pStyle w:val="Normal"/>
              <w:spacing w:before="0" w:after="0"/>
              <w:rPr/>
            </w:pPr>
            <w:r>
              <w:rPr/>
              <w:t xml:space="preserve">Brughmans, T., &amp; Poblome, J. (2016). MERCURY: an agent-based model of tableware trade in the Roman East. </w:t>
            </w:r>
            <w:r>
              <w:rPr>
                <w:i/>
              </w:rPr>
              <w:t>Journal of Artificial Societies and Social Simulation</w:t>
            </w:r>
            <w:r>
              <w:rPr/>
              <w:t xml:space="preserve">, </w:t>
            </w:r>
            <w:r>
              <w:rPr>
                <w:i/>
              </w:rPr>
              <w:t>19</w:t>
            </w:r>
            <w:r>
              <w:rPr/>
              <w:t>(1), 3.</w:t>
            </w:r>
          </w:p>
          <w:p>
            <w:pPr>
              <w:pStyle w:val="Normal"/>
              <w:spacing w:before="0" w:after="0"/>
              <w:rPr/>
            </w:pPr>
            <w:r>
              <w:rPr/>
            </w:r>
          </w:p>
          <w:p>
            <w:pPr>
              <w:pStyle w:val="Normal"/>
              <w:spacing w:before="0" w:after="0"/>
              <w:rPr/>
            </w:pPr>
            <w:r>
              <w:rPr/>
              <w:t xml:space="preserve">Carrignon, S., Montanier, J. M., &amp; Rubio-Campillo, X. (2015). Modelling the co-evolution of trade and culture in past societies. In </w:t>
            </w:r>
            <w:r>
              <w:rPr>
                <w:i/>
              </w:rPr>
              <w:t>Winter Simulation Conference (WSC), 2015</w:t>
            </w:r>
            <w:r>
              <w:rPr/>
              <w:t xml:space="preserve"> (pp. 3949-3960). IEEE.</w:t>
            </w:r>
          </w:p>
          <w:p>
            <w:pPr>
              <w:pStyle w:val="Normal"/>
              <w:spacing w:before="0" w:after="0"/>
              <w:rPr/>
            </w:pPr>
            <w:r>
              <w:rPr/>
            </w:r>
          </w:p>
          <w:p>
            <w:pPr>
              <w:pStyle w:val="Normal"/>
              <w:spacing w:before="0" w:after="0"/>
              <w:rPr/>
            </w:pPr>
            <w:r>
              <w:rPr/>
              <w:t xml:space="preserve">Chen, S. H., Chie, B. T., Kao, Y. F., &amp; Venkatachalam, R. (2017). Agent-Based Modeling of a Non-tâtonnement Process for the Scarf Economy: The Role of Learning. </w:t>
            </w:r>
            <w:r>
              <w:rPr>
                <w:i/>
              </w:rPr>
              <w:t>Computational Economics</w:t>
            </w:r>
            <w:r>
              <w:rPr/>
              <w:t>, 1-37.</w:t>
            </w:r>
          </w:p>
          <w:p>
            <w:pPr>
              <w:pStyle w:val="Normal"/>
              <w:spacing w:before="0" w:after="0"/>
              <w:rPr/>
            </w:pPr>
            <w:r>
              <w:rPr/>
            </w:r>
          </w:p>
          <w:p>
            <w:pPr>
              <w:pStyle w:val="Normal"/>
              <w:spacing w:before="0" w:after="0"/>
              <w:rPr/>
            </w:pPr>
            <w:r>
              <w:rPr/>
              <w:t xml:space="preserve">Steele, J., Glatz, C., &amp; Kandler, A. (2010). Ceramic diversity, random copying, and tests for selectivity in ceramic production. </w:t>
            </w:r>
            <w:r>
              <w:rPr>
                <w:i/>
              </w:rPr>
              <w:t>Journal of Archaeological Science</w:t>
            </w:r>
            <w:r>
              <w:rPr/>
              <w:t xml:space="preserve">, </w:t>
            </w:r>
            <w:r>
              <w:rPr>
                <w:i/>
              </w:rPr>
              <w:t>37</w:t>
            </w:r>
            <w:r>
              <w:rPr/>
              <w:t>(6), 1348-1358.</w:t>
            </w:r>
          </w:p>
          <w:p>
            <w:pPr>
              <w:pStyle w:val="Normal"/>
              <w:spacing w:before="0" w:after="0"/>
              <w:rPr/>
            </w:pPr>
            <w:r>
              <w:rPr/>
            </w:r>
          </w:p>
        </w:tc>
      </w:tr>
      <w:tr>
        <w:trPr/>
        <w:tc>
          <w:tcPr>
            <w:tcW w:w="1979" w:type="dxa"/>
            <w:tcBorders/>
            <w:shd w:fill="auto" w:val="clear"/>
            <w:tcMar>
              <w:left w:w="108" w:type="dxa"/>
            </w:tcMar>
            <w:vAlign w:val="center"/>
          </w:tcPr>
          <w:p>
            <w:pPr>
              <w:pStyle w:val="Normal"/>
              <w:spacing w:lineRule="auto" w:line="240" w:before="0" w:after="0"/>
              <w:jc w:val="center"/>
              <w:rPr>
                <w:rFonts w:ascii="Arial" w:hAnsi="Arial" w:cs="Arial"/>
                <w:b/>
                <w:b/>
              </w:rPr>
            </w:pPr>
            <w:r>
              <w:rPr>
                <w:rFonts w:cs="Arial" w:ascii="Arial" w:hAnsi="Arial"/>
                <w:b/>
              </w:rPr>
              <w:t>Specific requirements</w:t>
            </w:r>
          </w:p>
          <w:p>
            <w:pPr>
              <w:pStyle w:val="Normal"/>
              <w:spacing w:lineRule="auto" w:line="240" w:before="0" w:after="0"/>
              <w:jc w:val="center"/>
              <w:rPr>
                <w:rFonts w:ascii="Arial" w:hAnsi="Arial" w:cs="Arial"/>
                <w:sz w:val="20"/>
                <w:szCs w:val="20"/>
              </w:rPr>
            </w:pPr>
            <w:r>
              <w:rPr>
                <w:rFonts w:cs="Arial" w:ascii="Arial" w:hAnsi="Arial"/>
                <w:i/>
                <w:sz w:val="20"/>
                <w:szCs w:val="20"/>
              </w:rPr>
              <w:t>Please provide a description of your equipment or support needs</w:t>
            </w:r>
          </w:p>
        </w:tc>
        <w:tc>
          <w:tcPr>
            <w:tcW w:w="7036" w:type="dxa"/>
            <w:tcBorders/>
            <w:shd w:fill="auto" w:val="clear"/>
            <w:tcMar>
              <w:left w:w="108" w:type="dxa"/>
            </w:tcMar>
            <w:vAlign w:val="center"/>
          </w:tcPr>
          <w:p>
            <w:pPr>
              <w:pStyle w:val="Normal"/>
              <w:spacing w:lineRule="auto" w:line="240" w:before="0" w:after="0"/>
              <w:rPr>
                <w:rFonts w:ascii="Arial" w:hAnsi="Arial" w:cs="Arial"/>
              </w:rPr>
            </w:pPr>
            <w:r>
              <w:rPr>
                <w:rFonts w:cs="Arial" w:ascii="Arial" w:hAnsi="Arial"/>
              </w:rPr>
              <w:t>Video projector</w:t>
            </w:r>
          </w:p>
        </w:tc>
      </w:tr>
    </w:tbl>
    <w:p>
      <w:pPr>
        <w:pStyle w:val="Normal"/>
        <w:spacing w:before="0" w:after="160"/>
        <w:ind w:right="-284" w:hanging="0"/>
        <w:rPr/>
      </w:pPr>
      <w:r>
        <w:rPr/>
      </w:r>
    </w:p>
    <w:sectPr>
      <w:headerReference w:type="default" r:id="rId4"/>
      <w:footerReference w:type="default" r:id="rId5"/>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72611995"/>
    </w:sdtPr>
    <w:sdtContent>
      <w:p>
        <w:pPr>
          <w:pStyle w:val="Footer"/>
          <w:jc w:val="center"/>
          <w:rPr/>
        </w:pPr>
        <w:r>
          <w:rPr/>
          <w:fldChar w:fldCharType="begin"/>
        </w:r>
        <w:r>
          <w:instrText> PAGE </w:instrText>
        </w:r>
        <w:r>
          <w:fldChar w:fldCharType="separate"/>
        </w:r>
        <w:r>
          <w:t>2</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GB"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GB" w:eastAsia="zh-CN"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semiHidden/>
    <w:qFormat/>
    <w:rsid w:val="008a1823"/>
    <w:rPr>
      <w:rFonts w:ascii="Times New Roman" w:hAnsi="Times New Roman" w:eastAsia="SimSun" w:cs="Mangal"/>
      <w:sz w:val="20"/>
      <w:szCs w:val="18"/>
      <w:lang w:bidi="hi-IN"/>
    </w:rPr>
  </w:style>
  <w:style w:type="character" w:styleId="Footnotereference">
    <w:name w:val="footnote reference"/>
    <w:semiHidden/>
    <w:unhideWhenUsed/>
    <w:qFormat/>
    <w:rsid w:val="008a1823"/>
    <w:rPr>
      <w:vertAlign w:val="superscript"/>
    </w:rPr>
  </w:style>
  <w:style w:type="character" w:styleId="HeaderChar" w:customStyle="1">
    <w:name w:val="Header Char"/>
    <w:basedOn w:val="DefaultParagraphFont"/>
    <w:link w:val="Header"/>
    <w:uiPriority w:val="99"/>
    <w:qFormat/>
    <w:rsid w:val="004d37b4"/>
    <w:rPr/>
  </w:style>
  <w:style w:type="character" w:styleId="FooterChar" w:customStyle="1">
    <w:name w:val="Footer Char"/>
    <w:basedOn w:val="DefaultParagraphFont"/>
    <w:link w:val="Footer"/>
    <w:uiPriority w:val="99"/>
    <w:qFormat/>
    <w:rsid w:val="004d37b4"/>
    <w:rPr/>
  </w:style>
  <w:style w:type="character" w:styleId="ListLabel1">
    <w:name w:val="ListLabel 1"/>
    <w:qFormat/>
    <w:rPr>
      <w:rFonts w:eastAsia="宋体"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宋体"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133f9"/>
    <w:pPr>
      <w:spacing w:before="0" w:after="160"/>
      <w:ind w:left="720" w:hanging="0"/>
      <w:contextualSpacing/>
    </w:pPr>
    <w:rPr/>
  </w:style>
  <w:style w:type="paragraph" w:styleId="Footnotetext">
    <w:name w:val="footnote text"/>
    <w:basedOn w:val="Normal"/>
    <w:link w:val="FootnoteTextChar"/>
    <w:semiHidden/>
    <w:unhideWhenUsed/>
    <w:qFormat/>
    <w:rsid w:val="008a1823"/>
    <w:pPr>
      <w:widowControl w:val="false"/>
      <w:suppressAutoHyphens w:val="true"/>
      <w:spacing w:lineRule="auto" w:line="240" w:before="0" w:after="0"/>
    </w:pPr>
    <w:rPr>
      <w:rFonts w:ascii="Times New Roman" w:hAnsi="Times New Roman" w:eastAsia="SimSun" w:cs="Mangal"/>
      <w:sz w:val="20"/>
      <w:szCs w:val="18"/>
      <w:lang w:bidi="hi-IN"/>
    </w:rPr>
  </w:style>
  <w:style w:type="paragraph" w:styleId="Western" w:customStyle="1">
    <w:name w:val="western"/>
    <w:basedOn w:val="Normal"/>
    <w:qFormat/>
    <w:rsid w:val="008a1823"/>
    <w:pPr>
      <w:spacing w:lineRule="auto" w:line="240" w:before="100" w:after="119"/>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4d37b4"/>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d37b4"/>
    <w:pPr>
      <w:tabs>
        <w:tab w:val="center" w:pos="4513" w:leader="none"/>
        <w:tab w:val="right" w:pos="9026" w:leader="none"/>
      </w:tabs>
      <w:spacing w:lineRule="auto" w:line="240" w:before="0" w:after="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133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imon.carrignon@bsc.e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LibreOffice/5.2.7.2$Linux_X86_64 LibreOffice_project/20m0$Build-2</Application>
  <Pages>2</Pages>
  <Words>526</Words>
  <Characters>2925</Characters>
  <CharactersWithSpaces>3475</CharactersWithSpaces>
  <Paragraphs>25</Paragraphs>
  <Company>University of Edinburgh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2017-08-22T09:17:00Z</dcterms:created>
  <dc:creator>MICHIELIN Lucia</dc:creator>
  <dc:description/>
  <dc:language>en-US</dc:language>
  <cp:lastModifiedBy>Simon Carrignon</cp:lastModifiedBy>
  <cp:lastPrinted>2017-08-22T09:16:00Z</cp:lastPrinted>
  <dcterms:modified xsi:type="dcterms:W3CDTF">2017-10-06T15:19:25Z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Edinburgh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