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CF18" w14:textId="342338CE" w:rsidR="00DE7BD9" w:rsidRDefault="006C1F37">
      <w:pPr>
        <w:rPr>
          <w:b/>
          <w:bCs/>
        </w:rPr>
      </w:pPr>
      <w:r>
        <w:rPr>
          <w:b/>
          <w:bCs/>
        </w:rPr>
        <w:t>Linguistic Cues Used to Infer Expertise in Medical Advice</w:t>
      </w:r>
    </w:p>
    <w:p w14:paraId="2E7C0173" w14:textId="77777777" w:rsidR="006C1F37" w:rsidRDefault="006C1F37">
      <w:pPr>
        <w:rPr>
          <w:b/>
          <w:bCs/>
        </w:rPr>
      </w:pPr>
    </w:p>
    <w:p w14:paraId="368671DE" w14:textId="40E44317" w:rsidR="006C1F37" w:rsidRDefault="006C1F37">
      <w:r>
        <w:t>These are drawn from:</w:t>
      </w:r>
    </w:p>
    <w:p w14:paraId="529E13D3" w14:textId="7010EF82" w:rsidR="006C1F37" w:rsidRDefault="006C1F37">
      <w:r w:rsidRPr="006C1F37">
        <w:t>Toma, C. L., &amp; D’Angelo, J. D. (2015). Tell-tale words: Linguistic cues used to infer the expertise of online medical advice. </w:t>
      </w:r>
      <w:r w:rsidRPr="006C1F37">
        <w:rPr>
          <w:i/>
          <w:iCs/>
        </w:rPr>
        <w:t>Journal of Language and Social Psychology</w:t>
      </w:r>
      <w:r w:rsidRPr="006C1F37">
        <w:t>, </w:t>
      </w:r>
      <w:r w:rsidRPr="006C1F37">
        <w:rPr>
          <w:i/>
          <w:iCs/>
        </w:rPr>
        <w:t>34</w:t>
      </w:r>
      <w:r w:rsidRPr="006C1F37">
        <w:t>(1), 25-45.</w:t>
      </w:r>
      <w:r>
        <w:t xml:space="preserve"> </w:t>
      </w:r>
      <w:hyperlink r:id="rId5" w:history="1">
        <w:r w:rsidRPr="007E29EE">
          <w:rPr>
            <w:rStyle w:val="Hyperlink"/>
          </w:rPr>
          <w:t>https://doi.org/10.1177/0261927X14554484</w:t>
        </w:r>
      </w:hyperlink>
      <w:r>
        <w:t xml:space="preserve"> </w:t>
      </w:r>
    </w:p>
    <w:p w14:paraId="4E13BBBE" w14:textId="7D0199AD" w:rsidR="006C1F37" w:rsidRDefault="006C1F37" w:rsidP="0047320C">
      <w:r>
        <w:t>They gathered a sample of messages including medical advice written by verified medical doctors (i.e., high in expertise) or laypersons (i.e., low in expertise) on medhelp.org. The messages’ linguistic features were extracted using Linguistic Inquiry and Word Count (</w:t>
      </w:r>
      <w:r w:rsidRPr="006C1F37">
        <w:t>LIWC; Pennebaker et al., 2007</w:t>
      </w:r>
      <w:r>
        <w:t>). Participants rated a subset of messages for trustworthiness, and if they would follow the advice of the message</w:t>
      </w:r>
      <w:r w:rsidR="00D9620D">
        <w:t xml:space="preserve"> (taken together to indicate perceived expertise)</w:t>
      </w:r>
      <w:r>
        <w:t xml:space="preserve">. </w:t>
      </w:r>
      <w:r w:rsidR="0047320C">
        <w:t>In a regression model, a</w:t>
      </w:r>
      <w:r>
        <w:t xml:space="preserve">ll the hypothesised linguistic predictors </w:t>
      </w:r>
      <w:r w:rsidR="0047320C">
        <w:t xml:space="preserve">of inferring expertise </w:t>
      </w:r>
      <w:r>
        <w:t>reached statistical significance, except for the concreteness indicators (i.e., articles and quantifiers)</w:t>
      </w:r>
      <w:r w:rsidR="0047320C">
        <w:t>, and</w:t>
      </w:r>
      <w:r>
        <w:t xml:space="preserve"> negations</w:t>
      </w:r>
      <w:r w:rsidR="0047320C">
        <w:t>, which</w:t>
      </w:r>
      <w:r>
        <w:t xml:space="preserve"> had the opposite effect</w:t>
      </w:r>
      <w:r w:rsidR="0047320C">
        <w:t xml:space="preserve"> </w:t>
      </w:r>
      <w:r>
        <w:t>than predicted</w:t>
      </w:r>
      <w:r w:rsidR="0047320C">
        <w:t xml:space="preserve">. </w:t>
      </w:r>
    </w:p>
    <w:p w14:paraId="4D45AA30" w14:textId="32975F54" w:rsidR="0047320C" w:rsidRDefault="0047320C" w:rsidP="0047320C">
      <w:r>
        <w:t>Based on these results</w:t>
      </w:r>
      <w:r w:rsidR="00D829EC">
        <w:t>, if possible we</w:t>
      </w:r>
      <w:r>
        <w:t xml:space="preserve"> could examine the following linguistic cues (ignoring word count because our prompt influenced that):</w:t>
      </w:r>
    </w:p>
    <w:p w14:paraId="15117EA1" w14:textId="3D02CFAD" w:rsidR="0047320C" w:rsidRDefault="0047320C" w:rsidP="00D9620D">
      <w:pPr>
        <w:pStyle w:val="ListParagraph"/>
        <w:numPr>
          <w:ilvl w:val="0"/>
          <w:numId w:val="3"/>
        </w:numPr>
      </w:pPr>
      <w:r>
        <w:t xml:space="preserve">Psychological distancing </w:t>
      </w:r>
      <w:r w:rsidR="00721EED">
        <w:t xml:space="preserve">(appearing </w:t>
      </w:r>
      <w:r w:rsidR="00721EED" w:rsidRPr="00721EED">
        <w:t>objective, detached, and unbiased</w:t>
      </w:r>
      <w:r w:rsidR="00721EED">
        <w:t>)</w:t>
      </w:r>
    </w:p>
    <w:p w14:paraId="274C7CEB" w14:textId="2BEE0D28" w:rsidR="0047320C" w:rsidRDefault="0047320C" w:rsidP="00CF0149">
      <w:pPr>
        <w:pStyle w:val="ListParagraph"/>
        <w:numPr>
          <w:ilvl w:val="1"/>
          <w:numId w:val="5"/>
        </w:numPr>
      </w:pPr>
      <w:r>
        <w:t>Fewer I-pronouns</w:t>
      </w:r>
      <w:r w:rsidR="00CF0149">
        <w:t xml:space="preserve"> (</w:t>
      </w:r>
      <w:r w:rsidR="00CF0149">
        <w:t>e.g., “I,” “me,”</w:t>
      </w:r>
      <w:r w:rsidR="00CF0149">
        <w:t xml:space="preserve"> </w:t>
      </w:r>
      <w:r w:rsidR="00CF0149">
        <w:t>“myself,” “my”</w:t>
      </w:r>
      <w:r w:rsidR="00CF0149">
        <w:t>)</w:t>
      </w:r>
    </w:p>
    <w:p w14:paraId="2D164168" w14:textId="0C3643F0" w:rsidR="0047320C" w:rsidRDefault="0047320C" w:rsidP="00D9620D">
      <w:pPr>
        <w:pStyle w:val="ListParagraph"/>
        <w:numPr>
          <w:ilvl w:val="1"/>
          <w:numId w:val="5"/>
        </w:numPr>
      </w:pPr>
      <w:r>
        <w:t>Fewer anxiety-related words</w:t>
      </w:r>
      <w:r w:rsidR="00CF0149">
        <w:t xml:space="preserve"> </w:t>
      </w:r>
    </w:p>
    <w:p w14:paraId="587CB929" w14:textId="5A73979F" w:rsidR="0047320C" w:rsidRDefault="0047320C" w:rsidP="00D9620D">
      <w:pPr>
        <w:pStyle w:val="ListParagraph"/>
        <w:numPr>
          <w:ilvl w:val="0"/>
          <w:numId w:val="3"/>
        </w:numPr>
      </w:pPr>
      <w:r>
        <w:t>Complexity</w:t>
      </w:r>
    </w:p>
    <w:p w14:paraId="6FB172F9" w14:textId="1FC97F65" w:rsidR="0047320C" w:rsidRDefault="0047320C" w:rsidP="00D9620D">
      <w:pPr>
        <w:pStyle w:val="ListParagraph"/>
        <w:numPr>
          <w:ilvl w:val="1"/>
          <w:numId w:val="4"/>
        </w:numPr>
      </w:pPr>
      <w:r>
        <w:t xml:space="preserve">More long words </w:t>
      </w:r>
      <w:r w:rsidR="00967D29">
        <w:t>(&gt; 6 letters)</w:t>
      </w:r>
    </w:p>
    <w:p w14:paraId="2367F3B0" w14:textId="02630AF2" w:rsidR="0047320C" w:rsidRDefault="00B43410" w:rsidP="00D9620D">
      <w:pPr>
        <w:pStyle w:val="ListParagraph"/>
        <w:numPr>
          <w:ilvl w:val="1"/>
          <w:numId w:val="4"/>
        </w:numPr>
      </w:pPr>
      <w:r>
        <w:t>N</w:t>
      </w:r>
      <w:r w:rsidR="0047320C">
        <w:t xml:space="preserve">egations </w:t>
      </w:r>
      <w:r w:rsidR="00992F2C">
        <w:t xml:space="preserve">(e.g. </w:t>
      </w:r>
      <w:r w:rsidR="00992F2C" w:rsidRPr="00992F2C">
        <w:t>“no,” “not,” “never”</w:t>
      </w:r>
      <w:r w:rsidR="00992F2C">
        <w:t>)</w:t>
      </w:r>
      <w:r w:rsidR="00992F2C" w:rsidRPr="00992F2C">
        <w:t xml:space="preserve"> </w:t>
      </w:r>
      <w:r w:rsidR="00967D29">
        <w:t xml:space="preserve">- </w:t>
      </w:r>
      <w:r>
        <w:t xml:space="preserve">fewer is consistent with </w:t>
      </w:r>
      <w:r w:rsidR="00F16FB8">
        <w:t xml:space="preserve">the results, but they </w:t>
      </w:r>
      <w:r w:rsidR="001A1CEB">
        <w:t>hypothesised</w:t>
      </w:r>
      <w:r w:rsidR="00F16FB8">
        <w:t xml:space="preserve"> more would predict higher perceived expertise</w:t>
      </w:r>
      <w:r w:rsidR="0000589E">
        <w:t xml:space="preserve"> </w:t>
      </w:r>
    </w:p>
    <w:p w14:paraId="6E437641" w14:textId="6FA85877" w:rsidR="00D9620D" w:rsidRDefault="00D9620D" w:rsidP="00D9620D">
      <w:r>
        <w:t xml:space="preserve">We could also examine concreteness as prior research suggests it </w:t>
      </w:r>
      <w:r w:rsidR="001A1CEB">
        <w:t>predicts perceived expertise</w:t>
      </w:r>
      <w:r w:rsidR="000C3528">
        <w:t xml:space="preserve"> (outside of medica; context)</w:t>
      </w:r>
      <w:r w:rsidR="001A1CEB">
        <w:t>, although this was not supported by their results. Concrete cues:</w:t>
      </w:r>
    </w:p>
    <w:p w14:paraId="3A16B2DF" w14:textId="4C4BFFD2" w:rsidR="001C7B94" w:rsidRDefault="001C7B94" w:rsidP="00C871DF">
      <w:pPr>
        <w:pStyle w:val="ListParagraph"/>
        <w:numPr>
          <w:ilvl w:val="0"/>
          <w:numId w:val="6"/>
        </w:numPr>
      </w:pPr>
      <w:r>
        <w:t>Articles (</w:t>
      </w:r>
      <w:r w:rsidR="00C871DF">
        <w:t>i.e., “a,” “an,” and</w:t>
      </w:r>
      <w:r w:rsidR="00C871DF">
        <w:t xml:space="preserve"> </w:t>
      </w:r>
      <w:r w:rsidR="00C871DF">
        <w:t>“the”</w:t>
      </w:r>
      <w:r w:rsidR="00C871DF">
        <w:t>)</w:t>
      </w:r>
    </w:p>
    <w:p w14:paraId="522EC5B2" w14:textId="6EACFCD9" w:rsidR="00C871DF" w:rsidRDefault="00A276C8" w:rsidP="00C871DF">
      <w:pPr>
        <w:pStyle w:val="ListParagraph"/>
        <w:numPr>
          <w:ilvl w:val="0"/>
          <w:numId w:val="6"/>
        </w:numPr>
      </w:pPr>
      <w:r>
        <w:t>Quantifiers (i.e. “many”, “few”, “a lot”)</w:t>
      </w:r>
    </w:p>
    <w:p w14:paraId="2A6ACAA6" w14:textId="77777777" w:rsidR="001A1CEB" w:rsidRDefault="001A1CEB" w:rsidP="00D9620D"/>
    <w:p w14:paraId="26447872" w14:textId="77777777" w:rsidR="00D9620D" w:rsidRDefault="00D9620D" w:rsidP="00D9620D"/>
    <w:p w14:paraId="03412307" w14:textId="77777777" w:rsidR="00D9620D" w:rsidRDefault="00D9620D" w:rsidP="00D9620D"/>
    <w:p w14:paraId="19AF3CE1" w14:textId="305537B4" w:rsidR="0047320C" w:rsidRPr="006C1F37" w:rsidRDefault="0047320C" w:rsidP="00D9620D"/>
    <w:sectPr w:rsidR="0047320C" w:rsidRPr="006C1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1F2C"/>
    <w:multiLevelType w:val="hybridMultilevel"/>
    <w:tmpl w:val="1542E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A12AD1"/>
    <w:multiLevelType w:val="hybridMultilevel"/>
    <w:tmpl w:val="87B46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873824"/>
    <w:multiLevelType w:val="hybridMultilevel"/>
    <w:tmpl w:val="09E2684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D53E9C"/>
    <w:multiLevelType w:val="hybridMultilevel"/>
    <w:tmpl w:val="553AFA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363A5E"/>
    <w:multiLevelType w:val="hybridMultilevel"/>
    <w:tmpl w:val="2BBAFB3A"/>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A01DCD"/>
    <w:multiLevelType w:val="hybridMultilevel"/>
    <w:tmpl w:val="AA9EDF60"/>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60880875">
    <w:abstractNumId w:val="0"/>
  </w:num>
  <w:num w:numId="2" w16cid:durableId="1155023601">
    <w:abstractNumId w:val="3"/>
  </w:num>
  <w:num w:numId="3" w16cid:durableId="256331946">
    <w:abstractNumId w:val="2"/>
  </w:num>
  <w:num w:numId="4" w16cid:durableId="1974172">
    <w:abstractNumId w:val="5"/>
  </w:num>
  <w:num w:numId="5" w16cid:durableId="1538543791">
    <w:abstractNumId w:val="4"/>
  </w:num>
  <w:num w:numId="6" w16cid:durableId="2128502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37"/>
    <w:rsid w:val="0000589E"/>
    <w:rsid w:val="00082A51"/>
    <w:rsid w:val="000C3528"/>
    <w:rsid w:val="001A1CEB"/>
    <w:rsid w:val="001C7B94"/>
    <w:rsid w:val="0047320C"/>
    <w:rsid w:val="006C1F37"/>
    <w:rsid w:val="00721EED"/>
    <w:rsid w:val="0089767E"/>
    <w:rsid w:val="00967D29"/>
    <w:rsid w:val="00992F2C"/>
    <w:rsid w:val="00A276C8"/>
    <w:rsid w:val="00B43410"/>
    <w:rsid w:val="00BD3F9C"/>
    <w:rsid w:val="00C871DF"/>
    <w:rsid w:val="00CF0149"/>
    <w:rsid w:val="00D829EC"/>
    <w:rsid w:val="00D9620D"/>
    <w:rsid w:val="00DE7BD9"/>
    <w:rsid w:val="00EE1AD9"/>
    <w:rsid w:val="00F16F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1E6C"/>
  <w15:chartTrackingRefBased/>
  <w15:docId w15:val="{5DF06DFE-FF80-4138-B74E-EA70C9EBE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F37"/>
    <w:rPr>
      <w:rFonts w:eastAsiaTheme="majorEastAsia" w:cstheme="majorBidi"/>
      <w:color w:val="272727" w:themeColor="text1" w:themeTint="D8"/>
    </w:rPr>
  </w:style>
  <w:style w:type="paragraph" w:styleId="Title">
    <w:name w:val="Title"/>
    <w:basedOn w:val="Normal"/>
    <w:next w:val="Normal"/>
    <w:link w:val="TitleChar"/>
    <w:uiPriority w:val="10"/>
    <w:qFormat/>
    <w:rsid w:val="006C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F37"/>
    <w:pPr>
      <w:spacing w:before="160"/>
      <w:jc w:val="center"/>
    </w:pPr>
    <w:rPr>
      <w:i/>
      <w:iCs/>
      <w:color w:val="404040" w:themeColor="text1" w:themeTint="BF"/>
    </w:rPr>
  </w:style>
  <w:style w:type="character" w:customStyle="1" w:styleId="QuoteChar">
    <w:name w:val="Quote Char"/>
    <w:basedOn w:val="DefaultParagraphFont"/>
    <w:link w:val="Quote"/>
    <w:uiPriority w:val="29"/>
    <w:rsid w:val="006C1F37"/>
    <w:rPr>
      <w:i/>
      <w:iCs/>
      <w:color w:val="404040" w:themeColor="text1" w:themeTint="BF"/>
    </w:rPr>
  </w:style>
  <w:style w:type="paragraph" w:styleId="ListParagraph">
    <w:name w:val="List Paragraph"/>
    <w:basedOn w:val="Normal"/>
    <w:uiPriority w:val="34"/>
    <w:qFormat/>
    <w:rsid w:val="006C1F37"/>
    <w:pPr>
      <w:ind w:left="720"/>
      <w:contextualSpacing/>
    </w:pPr>
  </w:style>
  <w:style w:type="character" w:styleId="IntenseEmphasis">
    <w:name w:val="Intense Emphasis"/>
    <w:basedOn w:val="DefaultParagraphFont"/>
    <w:uiPriority w:val="21"/>
    <w:qFormat/>
    <w:rsid w:val="006C1F37"/>
    <w:rPr>
      <w:i/>
      <w:iCs/>
      <w:color w:val="0F4761" w:themeColor="accent1" w:themeShade="BF"/>
    </w:rPr>
  </w:style>
  <w:style w:type="paragraph" w:styleId="IntenseQuote">
    <w:name w:val="Intense Quote"/>
    <w:basedOn w:val="Normal"/>
    <w:next w:val="Normal"/>
    <w:link w:val="IntenseQuoteChar"/>
    <w:uiPriority w:val="30"/>
    <w:qFormat/>
    <w:rsid w:val="006C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F37"/>
    <w:rPr>
      <w:i/>
      <w:iCs/>
      <w:color w:val="0F4761" w:themeColor="accent1" w:themeShade="BF"/>
    </w:rPr>
  </w:style>
  <w:style w:type="character" w:styleId="IntenseReference">
    <w:name w:val="Intense Reference"/>
    <w:basedOn w:val="DefaultParagraphFont"/>
    <w:uiPriority w:val="32"/>
    <w:qFormat/>
    <w:rsid w:val="006C1F37"/>
    <w:rPr>
      <w:b/>
      <w:bCs/>
      <w:smallCaps/>
      <w:color w:val="0F4761" w:themeColor="accent1" w:themeShade="BF"/>
      <w:spacing w:val="5"/>
    </w:rPr>
  </w:style>
  <w:style w:type="character" w:styleId="Hyperlink">
    <w:name w:val="Hyperlink"/>
    <w:basedOn w:val="DefaultParagraphFont"/>
    <w:uiPriority w:val="99"/>
    <w:unhideWhenUsed/>
    <w:rsid w:val="006C1F37"/>
    <w:rPr>
      <w:color w:val="467886" w:themeColor="hyperlink"/>
      <w:u w:val="single"/>
    </w:rPr>
  </w:style>
  <w:style w:type="character" w:styleId="UnresolvedMention">
    <w:name w:val="Unresolved Mention"/>
    <w:basedOn w:val="DefaultParagraphFont"/>
    <w:uiPriority w:val="99"/>
    <w:semiHidden/>
    <w:unhideWhenUsed/>
    <w:rsid w:val="006C1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77/0261927X1455448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Stubbersfield</dc:creator>
  <cp:keywords/>
  <dc:description/>
  <cp:lastModifiedBy>Joe Stubbersfield</cp:lastModifiedBy>
  <cp:revision>15</cp:revision>
  <dcterms:created xsi:type="dcterms:W3CDTF">2025-09-01T12:22:00Z</dcterms:created>
  <dcterms:modified xsi:type="dcterms:W3CDTF">2025-09-01T14:20:00Z</dcterms:modified>
</cp:coreProperties>
</file>