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keepLines/>
        <w:widowControl w:val="0"/>
        <w:shd w:val="clear" w:color="auto" w:fill="auto"/>
        <w:bidi w:val="0"/>
        <w:ind w:left="0" w:right="0" w:firstLine="0"/>
        <w:jc w:val="left"/>
      </w:pPr>
      <w:bookmarkStart w:id="0" w:name="bookmark0"/>
      <w:bookmarkStart w:id="1" w:name="bookmark1"/>
      <w:bookmarkStart w:id="2" w:name="bookmark2"/>
      <w:r>
        <w:rPr>
          <w:color w:val="000000"/>
          <w:spacing w:val="0"/>
          <w:w w:val="100"/>
          <w:position w:val="0"/>
        </w:rPr>
        <w:t>The Ikelmer-Ledentu Case: Musical Property Rights in 1850s- 1860s France</w:t>
      </w:r>
      <w:bookmarkEnd w:id="0"/>
      <w:bookmarkEnd w:id="1"/>
      <w:bookmarkEnd w:id="2"/>
    </w:p>
    <w:p>
      <w:pPr>
        <w:pStyle w:val="Style4"/>
        <w:keepNext w:val="0"/>
        <w:keepLines w:val="0"/>
        <w:widowControl w:val="0"/>
        <w:shd w:val="clear" w:color="auto" w:fill="auto"/>
        <w:bidi w:val="0"/>
        <w:spacing w:before="0" w:after="240"/>
        <w:ind w:left="0" w:right="0" w:firstLine="0"/>
        <w:jc w:val="left"/>
      </w:pPr>
      <w:r>
        <w:rPr>
          <w:color w:val="000000"/>
          <w:spacing w:val="0"/>
          <w:w w:val="100"/>
          <w:position w:val="0"/>
        </w:rPr>
        <w:t xml:space="preserve">This document examines the 1860 bankruptcy of Alfred Ikelmer </w:t>
      </w:r>
      <w:r>
        <w:rPr>
          <w:color w:val="000000"/>
          <w:spacing w:val="0"/>
          <w:w w:val="100"/>
          <w:position w:val="0"/>
        </w:rPr>
        <w:t xml:space="preserve">et </w:t>
      </w:r>
      <w:r>
        <w:rPr>
          <w:color w:val="000000"/>
          <w:spacing w:val="0"/>
          <w:w w:val="100"/>
          <w:position w:val="0"/>
        </w:rPr>
        <w:t>Cie and its relationship with music publisher Ledentu as a case study revealing how musical intellectual property functioned in mid-19th century France.</w:t>
      </w:r>
    </w:p>
    <w:p>
      <w:pPr>
        <w:pStyle w:val="Style6"/>
        <w:keepNext/>
        <w:keepLines/>
        <w:widowControl w:val="0"/>
        <w:numPr>
          <w:ilvl w:val="0"/>
          <w:numId w:val="1"/>
        </w:numPr>
        <w:shd w:val="clear" w:color="auto" w:fill="auto"/>
        <w:tabs>
          <w:tab w:pos="391" w:val="left"/>
        </w:tabs>
        <w:bidi w:val="0"/>
        <w:spacing w:before="0" w:line="240" w:lineRule="auto"/>
        <w:ind w:left="0" w:right="0" w:firstLine="0"/>
        <w:jc w:val="left"/>
      </w:pPr>
      <w:bookmarkStart w:id="3" w:name="bookmark3"/>
      <w:bookmarkStart w:id="4" w:name="bookmark4"/>
      <w:bookmarkStart w:id="5" w:name="bookmark5"/>
      <w:bookmarkStart w:id="6" w:name="bookmark6"/>
      <w:bookmarkEnd w:id="5"/>
      <w:r>
        <w:rPr>
          <w:color w:val="000000"/>
          <w:spacing w:val="0"/>
          <w:w w:val="100"/>
          <w:position w:val="0"/>
        </w:rPr>
        <w:t xml:space="preserve">The </w:t>
      </w:r>
      <w:r>
        <w:rPr>
          <w:color w:val="000000"/>
          <w:spacing w:val="0"/>
          <w:w w:val="100"/>
          <w:position w:val="0"/>
        </w:rPr>
        <w:t xml:space="preserve">"Pour Mémoire" </w:t>
      </w:r>
      <w:r>
        <w:rPr>
          <w:color w:val="000000"/>
          <w:spacing w:val="0"/>
          <w:w w:val="100"/>
          <w:position w:val="0"/>
        </w:rPr>
        <w:t>Paradox</w:t>
      </w:r>
      <w:bookmarkEnd w:id="3"/>
      <w:bookmarkEnd w:id="4"/>
      <w:bookmarkEnd w:id="6"/>
    </w:p>
    <w:p>
      <w:pPr>
        <w:pStyle w:val="Style4"/>
        <w:keepNext w:val="0"/>
        <w:keepLines w:val="0"/>
        <w:widowControl w:val="0"/>
        <w:shd w:val="clear" w:color="auto" w:fill="auto"/>
        <w:bidi w:val="0"/>
        <w:spacing w:before="0" w:line="386" w:lineRule="auto"/>
        <w:ind w:left="0" w:right="0" w:firstLine="0"/>
        <w:jc w:val="left"/>
      </w:pPr>
      <w:r>
        <w:rPr>
          <w:color w:val="000000"/>
          <w:spacing w:val="0"/>
          <w:w w:val="100"/>
          <w:position w:val="0"/>
        </w:rPr>
        <w:t>The Ikelmer bankruptcy inventory reveals a striking contradiction in how musical compositions were treated:</w:t>
      </w:r>
    </w:p>
    <w:p>
      <w:pPr>
        <w:pStyle w:val="Style4"/>
        <w:keepNext w:val="0"/>
        <w:keepLines w:val="0"/>
        <w:widowControl w:val="0"/>
        <w:numPr>
          <w:ilvl w:val="0"/>
          <w:numId w:val="3"/>
        </w:numPr>
        <w:shd w:val="clear" w:color="auto" w:fill="auto"/>
        <w:tabs>
          <w:tab w:pos="410" w:val="left"/>
        </w:tabs>
        <w:bidi w:val="0"/>
        <w:spacing w:before="0" w:after="80"/>
        <w:ind w:left="420" w:right="0" w:hanging="260"/>
        <w:jc w:val="left"/>
      </w:pPr>
      <w:bookmarkStart w:id="7" w:name="bookmark7"/>
      <w:bookmarkEnd w:id="7"/>
      <w:r>
        <w:rPr>
          <w:color w:val="000000"/>
          <w:spacing w:val="0"/>
          <w:w w:val="100"/>
          <w:position w:val="0"/>
        </w:rPr>
        <w:t xml:space="preserve">In the official bankruptcy balance sheet, </w:t>
      </w:r>
      <w:r>
        <w:rPr>
          <w:color w:val="000000"/>
          <w:spacing w:val="0"/>
          <w:w w:val="100"/>
          <w:position w:val="0"/>
        </w:rPr>
        <w:t xml:space="preserve">"Propriété artistique des ouvrages" </w:t>
      </w:r>
      <w:r>
        <w:rPr>
          <w:color w:val="000000"/>
          <w:spacing w:val="0"/>
          <w:w w:val="100"/>
          <w:position w:val="0"/>
        </w:rPr>
        <w:t xml:space="preserve">(Artistic property of the works) is explicitly listed but marked only as </w:t>
      </w:r>
      <w:r>
        <w:rPr>
          <w:color w:val="000000"/>
          <w:spacing w:val="0"/>
          <w:w w:val="100"/>
          <w:position w:val="0"/>
        </w:rPr>
        <w:t xml:space="preserve">"Mémoire" </w:t>
      </w:r>
      <w:r>
        <w:rPr>
          <w:color w:val="000000"/>
          <w:spacing w:val="0"/>
          <w:w w:val="100"/>
          <w:position w:val="0"/>
        </w:rPr>
        <w:t>(for the record) without any monetary value</w:t>
      </w:r>
    </w:p>
    <w:p>
      <w:pPr>
        <w:pStyle w:val="Style4"/>
        <w:keepNext w:val="0"/>
        <w:keepLines w:val="0"/>
        <w:widowControl w:val="0"/>
        <w:numPr>
          <w:ilvl w:val="0"/>
          <w:numId w:val="3"/>
        </w:numPr>
        <w:shd w:val="clear" w:color="auto" w:fill="auto"/>
        <w:tabs>
          <w:tab w:pos="410" w:val="left"/>
        </w:tabs>
        <w:bidi w:val="0"/>
        <w:spacing w:before="0" w:line="386" w:lineRule="auto"/>
        <w:ind w:left="420" w:right="0" w:hanging="260"/>
        <w:jc w:val="left"/>
      </w:pPr>
      <w:bookmarkStart w:id="8" w:name="bookmark8"/>
      <w:bookmarkEnd w:id="8"/>
      <w:r>
        <w:rPr>
          <w:color w:val="000000"/>
          <w:spacing w:val="0"/>
          <w:w w:val="100"/>
          <w:position w:val="0"/>
        </w:rPr>
        <w:t>Yet these same rights had substantial commercial value: the Ikelmer brothers paid 63,000 francs to acquire Ledentu's publishing business in 1855</w:t>
      </w:r>
    </w:p>
    <w:p>
      <w:pPr>
        <w:pStyle w:val="Style4"/>
        <w:keepNext w:val="0"/>
        <w:keepLines w:val="0"/>
        <w:widowControl w:val="0"/>
        <w:shd w:val="clear" w:color="auto" w:fill="auto"/>
        <w:bidi w:val="0"/>
        <w:spacing w:before="0" w:after="240" w:line="374" w:lineRule="auto"/>
        <w:ind w:left="0" w:right="0" w:firstLine="0"/>
        <w:jc w:val="left"/>
      </w:pPr>
      <w:r>
        <w:rPr>
          <w:color w:val="000000"/>
          <w:spacing w:val="0"/>
          <w:w w:val="100"/>
          <w:position w:val="0"/>
        </w:rPr>
        <w:t>This apparent contradiction reflects a broader disconnect between legal recognition and financial practice in this period. While French copyright law (based on the 1791/1793 acts) clearly established musical compositions as property, accounting conventions routinely excluded such intangible assets from valuation—a practice applied to patents, goodwill, and authors' rights across industries.</w:t>
      </w:r>
    </w:p>
    <w:p>
      <w:pPr>
        <w:pStyle w:val="Style6"/>
        <w:keepNext/>
        <w:keepLines/>
        <w:widowControl w:val="0"/>
        <w:numPr>
          <w:ilvl w:val="0"/>
          <w:numId w:val="1"/>
        </w:numPr>
        <w:shd w:val="clear" w:color="auto" w:fill="auto"/>
        <w:tabs>
          <w:tab w:pos="414" w:val="left"/>
        </w:tabs>
        <w:bidi w:val="0"/>
        <w:spacing w:before="0" w:line="240" w:lineRule="auto"/>
        <w:ind w:left="0" w:right="0" w:firstLine="0"/>
        <w:jc w:val="left"/>
      </w:pPr>
      <w:bookmarkStart w:id="10" w:name="bookmark10"/>
      <w:bookmarkStart w:id="11" w:name="bookmark11"/>
      <w:bookmarkStart w:id="12" w:name="bookmark12"/>
      <w:bookmarkStart w:id="9" w:name="bookmark9"/>
      <w:bookmarkEnd w:id="11"/>
      <w:r>
        <w:rPr>
          <w:color w:val="000000"/>
          <w:spacing w:val="0"/>
          <w:w w:val="100"/>
          <w:position w:val="0"/>
        </w:rPr>
        <w:t>Physical Materials as Rights Proxies</w:t>
      </w:r>
      <w:bookmarkEnd w:id="10"/>
      <w:bookmarkEnd w:id="12"/>
      <w:bookmarkEnd w:id="9"/>
    </w:p>
    <w:p>
      <w:pPr>
        <w:pStyle w:val="Style4"/>
        <w:keepNext w:val="0"/>
        <w:keepLines w:val="0"/>
        <w:widowControl w:val="0"/>
        <w:shd w:val="clear" w:color="auto" w:fill="auto"/>
        <w:bidi w:val="0"/>
        <w:spacing w:before="0" w:line="374" w:lineRule="auto"/>
        <w:ind w:left="0" w:right="0" w:firstLine="0"/>
        <w:jc w:val="left"/>
      </w:pPr>
      <w:r>
        <w:rPr>
          <w:color w:val="000000"/>
          <w:spacing w:val="0"/>
          <w:w w:val="100"/>
          <w:position w:val="0"/>
        </w:rPr>
        <w:t>The Ikelmer-Ledentu transaction reveals how physical materials served as proxies for intellectual property:</w:t>
      </w:r>
    </w:p>
    <w:p>
      <w:pPr>
        <w:pStyle w:val="Style4"/>
        <w:keepNext w:val="0"/>
        <w:keepLines w:val="0"/>
        <w:widowControl w:val="0"/>
        <w:numPr>
          <w:ilvl w:val="0"/>
          <w:numId w:val="3"/>
        </w:numPr>
        <w:shd w:val="clear" w:color="auto" w:fill="auto"/>
        <w:tabs>
          <w:tab w:pos="410" w:val="left"/>
        </w:tabs>
        <w:bidi w:val="0"/>
        <w:spacing w:before="0" w:after="80" w:line="360" w:lineRule="auto"/>
        <w:ind w:left="420" w:right="0" w:hanging="260"/>
        <w:jc w:val="left"/>
      </w:pPr>
      <w:bookmarkStart w:id="13" w:name="bookmark13"/>
      <w:bookmarkEnd w:id="13"/>
      <w:r>
        <w:rPr>
          <w:color w:val="000000"/>
          <w:spacing w:val="0"/>
          <w:w w:val="100"/>
          <w:position w:val="0"/>
        </w:rPr>
        <w:t>The bankruptcy inventory meticulously cataloged 792 engraved plates and 803 lithographic stones from Ledentu valued at 12,209 francs</w:t>
      </w:r>
    </w:p>
    <w:p>
      <w:pPr>
        <w:pStyle w:val="Style4"/>
        <w:keepNext w:val="0"/>
        <w:keepLines w:val="0"/>
        <w:widowControl w:val="0"/>
        <w:numPr>
          <w:ilvl w:val="0"/>
          <w:numId w:val="3"/>
        </w:numPr>
        <w:shd w:val="clear" w:color="auto" w:fill="auto"/>
        <w:tabs>
          <w:tab w:pos="410" w:val="left"/>
        </w:tabs>
        <w:bidi w:val="0"/>
        <w:spacing w:before="0" w:after="80" w:line="382" w:lineRule="auto"/>
        <w:ind w:left="420" w:right="0" w:hanging="260"/>
        <w:jc w:val="left"/>
      </w:pPr>
      <w:bookmarkStart w:id="14" w:name="bookmark14"/>
      <w:bookmarkEnd w:id="14"/>
      <w:r>
        <w:rPr>
          <w:color w:val="000000"/>
          <w:spacing w:val="0"/>
          <w:w w:val="100"/>
          <w:position w:val="0"/>
        </w:rPr>
        <w:t>Ledentu's security arrangement specifically retained control of these physical plates until full payment (19,500 francs initially, with 13,500 francs still owed at bankruptcy)</w:t>
      </w:r>
    </w:p>
    <w:p>
      <w:pPr>
        <w:pStyle w:val="Style4"/>
        <w:keepNext w:val="0"/>
        <w:keepLines w:val="0"/>
        <w:widowControl w:val="0"/>
        <w:numPr>
          <w:ilvl w:val="0"/>
          <w:numId w:val="3"/>
        </w:numPr>
        <w:shd w:val="clear" w:color="auto" w:fill="auto"/>
        <w:tabs>
          <w:tab w:pos="410" w:val="left"/>
        </w:tabs>
        <w:bidi w:val="0"/>
        <w:spacing w:before="0"/>
        <w:ind w:left="420" w:right="0" w:hanging="260"/>
        <w:jc w:val="left"/>
      </w:pPr>
      <w:bookmarkStart w:id="15" w:name="bookmark15"/>
      <w:bookmarkEnd w:id="15"/>
      <w:r>
        <w:rPr>
          <w:color w:val="000000"/>
          <w:spacing w:val="0"/>
          <w:w w:val="100"/>
          <w:position w:val="0"/>
        </w:rPr>
        <w:t xml:space="preserve">The bankruptcy trustee reported: </w:t>
      </w:r>
      <w:r>
        <w:rPr>
          <w:color w:val="000000"/>
          <w:spacing w:val="0"/>
          <w:w w:val="100"/>
          <w:position w:val="0"/>
        </w:rPr>
        <w:t xml:space="preserve">"La vente de ces propriétés a compris </w:t>
      </w:r>
      <w:r>
        <w:rPr>
          <w:color w:val="000000"/>
          <w:spacing w:val="0"/>
          <w:w w:val="100"/>
          <w:position w:val="0"/>
        </w:rPr>
        <w:t xml:space="preserve">les planches </w:t>
      </w:r>
      <w:r>
        <w:rPr>
          <w:color w:val="000000"/>
          <w:spacing w:val="0"/>
          <w:w w:val="100"/>
          <w:position w:val="0"/>
        </w:rPr>
        <w:t>sur lesquelles étaient gravés les ouvrages, mais avec cette réserve que la livraison de ces planches n'aurait lieu qu'après le paiement de la totalité du prix"</w:t>
      </w:r>
    </w:p>
    <w:p>
      <w:pPr>
        <w:pStyle w:val="Style4"/>
        <w:keepNext w:val="0"/>
        <w:keepLines w:val="0"/>
        <w:widowControl w:val="0"/>
        <w:shd w:val="clear" w:color="auto" w:fill="auto"/>
        <w:bidi w:val="0"/>
        <w:spacing w:before="0" w:line="377" w:lineRule="auto"/>
        <w:ind w:left="0" w:right="0" w:firstLine="0"/>
        <w:jc w:val="left"/>
      </w:pPr>
      <w:r>
        <w:rPr>
          <w:color w:val="000000"/>
          <w:spacing w:val="0"/>
          <w:w w:val="100"/>
          <w:position w:val="0"/>
        </w:rPr>
        <w:t xml:space="preserve">This </w:t>
      </w:r>
      <w:r>
        <w:rPr>
          <w:color w:val="000000"/>
          <w:spacing w:val="0"/>
          <w:w w:val="100"/>
          <w:position w:val="0"/>
        </w:rPr>
        <w:t xml:space="preserve">arrangement exemplifies </w:t>
      </w:r>
      <w:r>
        <w:rPr>
          <w:color w:val="000000"/>
          <w:spacing w:val="0"/>
          <w:w w:val="100"/>
          <w:position w:val="0"/>
        </w:rPr>
        <w:t>how the industry equated physical control of production materials with control of publication rights. Without these plates and stones, the compositions had no practical commercial value, regardless of their legal status as intellectual property.</w:t>
      </w:r>
      <w:r>
        <w:br w:type="page"/>
      </w:r>
    </w:p>
    <w:p>
      <w:pPr>
        <w:pStyle w:val="Style6"/>
        <w:keepNext/>
        <w:keepLines/>
        <w:widowControl w:val="0"/>
        <w:numPr>
          <w:ilvl w:val="0"/>
          <w:numId w:val="1"/>
        </w:numPr>
        <w:shd w:val="clear" w:color="auto" w:fill="auto"/>
        <w:tabs>
          <w:tab w:pos="440" w:val="left"/>
        </w:tabs>
        <w:bidi w:val="0"/>
        <w:spacing w:before="0" w:line="240" w:lineRule="auto"/>
        <w:ind w:left="0" w:right="0" w:firstLine="0"/>
        <w:jc w:val="left"/>
      </w:pPr>
      <w:bookmarkStart w:id="16" w:name="bookmark16"/>
      <w:bookmarkStart w:id="17" w:name="bookmark17"/>
      <w:bookmarkStart w:id="18" w:name="bookmark18"/>
      <w:bookmarkStart w:id="19" w:name="bookmark19"/>
      <w:bookmarkEnd w:id="18"/>
      <w:r>
        <w:rPr>
          <w:color w:val="000000"/>
          <w:spacing w:val="0"/>
          <w:w w:val="100"/>
          <w:position w:val="0"/>
        </w:rPr>
        <w:t>Security and Enforcement Through Physical Control</w:t>
      </w:r>
      <w:bookmarkEnd w:id="16"/>
      <w:bookmarkEnd w:id="17"/>
      <w:bookmarkEnd w:id="19"/>
    </w:p>
    <w:p>
      <w:pPr>
        <w:pStyle w:val="Style4"/>
        <w:keepNext w:val="0"/>
        <w:keepLines w:val="0"/>
        <w:widowControl w:val="0"/>
        <w:shd w:val="clear" w:color="auto" w:fill="auto"/>
        <w:bidi w:val="0"/>
        <w:spacing w:before="0" w:line="374" w:lineRule="auto"/>
        <w:ind w:left="0" w:right="0" w:firstLine="0"/>
        <w:jc w:val="left"/>
      </w:pPr>
      <w:r>
        <w:rPr>
          <w:color w:val="000000"/>
          <w:spacing w:val="0"/>
          <w:w w:val="100"/>
          <w:position w:val="0"/>
        </w:rPr>
        <w:t>Ledentu's actions after Ikelmer's bankruptcy reveal how intellectual property was secured and enforced:</w:t>
      </w:r>
    </w:p>
    <w:p>
      <w:pPr>
        <w:pStyle w:val="Style4"/>
        <w:keepNext w:val="0"/>
        <w:keepLines w:val="0"/>
        <w:widowControl w:val="0"/>
        <w:numPr>
          <w:ilvl w:val="0"/>
          <w:numId w:val="3"/>
        </w:numPr>
        <w:shd w:val="clear" w:color="auto" w:fill="auto"/>
        <w:tabs>
          <w:tab w:pos="437" w:val="left"/>
        </w:tabs>
        <w:bidi w:val="0"/>
        <w:spacing w:before="0" w:after="80" w:line="360" w:lineRule="auto"/>
        <w:ind w:left="420" w:right="0" w:hanging="260"/>
        <w:jc w:val="left"/>
      </w:pPr>
      <w:bookmarkStart w:id="20" w:name="bookmark20"/>
      <w:bookmarkEnd w:id="20"/>
      <w:r>
        <w:rPr>
          <w:color w:val="000000"/>
          <w:spacing w:val="0"/>
          <w:w w:val="100"/>
          <w:position w:val="0"/>
        </w:rPr>
        <w:t>When Ikelmer defaulted, Ledentu immediately asserted his rights through the physical plates and stones, filing a formal "opposition" with Kuand, the printer holding the materials</w:t>
      </w:r>
    </w:p>
    <w:p>
      <w:pPr>
        <w:pStyle w:val="Style4"/>
        <w:keepNext w:val="0"/>
        <w:keepLines w:val="0"/>
        <w:widowControl w:val="0"/>
        <w:numPr>
          <w:ilvl w:val="0"/>
          <w:numId w:val="3"/>
        </w:numPr>
        <w:shd w:val="clear" w:color="auto" w:fill="auto"/>
        <w:tabs>
          <w:tab w:pos="437" w:val="left"/>
        </w:tabs>
        <w:bidi w:val="0"/>
        <w:spacing w:before="0" w:after="80" w:line="360" w:lineRule="auto"/>
        <w:ind w:left="420" w:right="0" w:hanging="260"/>
        <w:jc w:val="left"/>
      </w:pPr>
      <w:bookmarkStart w:id="21" w:name="bookmark21"/>
      <w:bookmarkEnd w:id="21"/>
      <w:r>
        <w:rPr>
          <w:color w:val="000000"/>
          <w:spacing w:val="0"/>
          <w:w w:val="100"/>
          <w:position w:val="0"/>
        </w:rPr>
        <w:t>The trustee acknowledged the validity of this security interest and arranged to pay Ledentu's 13,533.15 franc claim from the bankruptcy proceeds</w:t>
      </w:r>
    </w:p>
    <w:p>
      <w:pPr>
        <w:pStyle w:val="Style4"/>
        <w:keepNext w:val="0"/>
        <w:keepLines w:val="0"/>
        <w:widowControl w:val="0"/>
        <w:numPr>
          <w:ilvl w:val="0"/>
          <w:numId w:val="3"/>
        </w:numPr>
        <w:shd w:val="clear" w:color="auto" w:fill="auto"/>
        <w:tabs>
          <w:tab w:pos="437" w:val="left"/>
        </w:tabs>
        <w:bidi w:val="0"/>
        <w:spacing w:before="0" w:line="386" w:lineRule="auto"/>
        <w:ind w:left="420" w:right="0" w:hanging="260"/>
        <w:jc w:val="left"/>
      </w:pPr>
      <w:bookmarkStart w:id="22" w:name="bookmark22"/>
      <w:bookmarkEnd w:id="22"/>
      <w:r>
        <w:rPr>
          <w:color w:val="000000"/>
          <w:spacing w:val="0"/>
          <w:w w:val="100"/>
          <w:position w:val="0"/>
        </w:rPr>
        <w:t>Ledentu later attempted to extend his security interest to other works by citing Article 2082 of the Napoleonic Code (though this additional claim was ultimately abandoned)</w:t>
      </w:r>
    </w:p>
    <w:p>
      <w:pPr>
        <w:pStyle w:val="Style4"/>
        <w:keepNext w:val="0"/>
        <w:keepLines w:val="0"/>
        <w:widowControl w:val="0"/>
        <w:shd w:val="clear" w:color="auto" w:fill="auto"/>
        <w:bidi w:val="0"/>
        <w:spacing w:before="0" w:line="377" w:lineRule="auto"/>
        <w:ind w:left="0" w:right="0" w:firstLine="0"/>
        <w:jc w:val="left"/>
      </w:pPr>
      <w:r>
        <w:rPr>
          <w:color w:val="000000"/>
          <w:spacing w:val="0"/>
          <w:w w:val="100"/>
          <w:position w:val="0"/>
        </w:rPr>
        <w:t>This demonstrates how security in musical property relied primarily on physical possession rather than abstract legal registration. Ledentu protected his investment not through copyright registration but by controlling the means of reproduction.</w:t>
      </w:r>
    </w:p>
    <w:p>
      <w:pPr>
        <w:pStyle w:val="Style6"/>
        <w:keepNext/>
        <w:keepLines/>
        <w:widowControl w:val="0"/>
        <w:numPr>
          <w:ilvl w:val="0"/>
          <w:numId w:val="1"/>
        </w:numPr>
        <w:shd w:val="clear" w:color="auto" w:fill="auto"/>
        <w:tabs>
          <w:tab w:pos="454" w:val="left"/>
        </w:tabs>
        <w:bidi w:val="0"/>
        <w:spacing w:before="0" w:line="240" w:lineRule="auto"/>
        <w:ind w:left="0" w:right="0" w:firstLine="0"/>
        <w:jc w:val="left"/>
      </w:pPr>
      <w:bookmarkStart w:id="23" w:name="bookmark23"/>
      <w:bookmarkStart w:id="24" w:name="bookmark24"/>
      <w:bookmarkStart w:id="25" w:name="bookmark25"/>
      <w:bookmarkStart w:id="26" w:name="bookmark26"/>
      <w:bookmarkEnd w:id="25"/>
      <w:r>
        <w:rPr>
          <w:color w:val="000000"/>
          <w:spacing w:val="0"/>
          <w:w w:val="100"/>
          <w:position w:val="0"/>
        </w:rPr>
        <w:t xml:space="preserve">The </w:t>
      </w:r>
      <w:r>
        <w:rPr>
          <w:color w:val="000000"/>
          <w:spacing w:val="0"/>
          <w:w w:val="100"/>
          <w:position w:val="0"/>
        </w:rPr>
        <w:t xml:space="preserve">"Fonds </w:t>
      </w:r>
      <w:r>
        <w:rPr>
          <w:color w:val="000000"/>
          <w:spacing w:val="0"/>
          <w:w w:val="100"/>
          <w:position w:val="0"/>
        </w:rPr>
        <w:t>de Commerce" Model</w:t>
      </w:r>
      <w:bookmarkEnd w:id="23"/>
      <w:bookmarkEnd w:id="24"/>
      <w:bookmarkEnd w:id="26"/>
    </w:p>
    <w:p>
      <w:pPr>
        <w:pStyle w:val="Style4"/>
        <w:keepNext w:val="0"/>
        <w:keepLines w:val="0"/>
        <w:widowControl w:val="0"/>
        <w:shd w:val="clear" w:color="auto" w:fill="auto"/>
        <w:bidi w:val="0"/>
        <w:spacing w:before="0" w:line="382" w:lineRule="auto"/>
        <w:ind w:left="0" w:right="0" w:firstLine="0"/>
        <w:jc w:val="left"/>
      </w:pPr>
      <w:r>
        <w:rPr>
          <w:color w:val="000000"/>
          <w:spacing w:val="0"/>
          <w:w w:val="100"/>
          <w:position w:val="0"/>
        </w:rPr>
        <w:t>The Ikelmer-Ledentu transaction illustrates the comprehensive business transfer model prevalent in music publishing:</w:t>
      </w:r>
    </w:p>
    <w:p>
      <w:pPr>
        <w:pStyle w:val="Style4"/>
        <w:keepNext w:val="0"/>
        <w:keepLines w:val="0"/>
        <w:widowControl w:val="0"/>
        <w:numPr>
          <w:ilvl w:val="0"/>
          <w:numId w:val="3"/>
        </w:numPr>
        <w:shd w:val="clear" w:color="auto" w:fill="auto"/>
        <w:tabs>
          <w:tab w:pos="437" w:val="left"/>
        </w:tabs>
        <w:bidi w:val="0"/>
        <w:spacing w:before="0" w:after="80" w:line="386" w:lineRule="auto"/>
        <w:ind w:left="420" w:right="0" w:hanging="260"/>
        <w:jc w:val="left"/>
      </w:pPr>
      <w:bookmarkStart w:id="27" w:name="bookmark27"/>
      <w:bookmarkEnd w:id="27"/>
      <w:r>
        <w:rPr>
          <w:color w:val="000000"/>
          <w:spacing w:val="0"/>
          <w:w w:val="100"/>
          <w:position w:val="0"/>
        </w:rPr>
        <w:t xml:space="preserve">Ledentu sold his entire </w:t>
      </w:r>
      <w:r>
        <w:rPr>
          <w:color w:val="000000"/>
          <w:spacing w:val="0"/>
          <w:w w:val="100"/>
          <w:position w:val="0"/>
        </w:rPr>
        <w:t xml:space="preserve">"fonds </w:t>
      </w:r>
      <w:r>
        <w:rPr>
          <w:color w:val="000000"/>
          <w:spacing w:val="0"/>
          <w:w w:val="100"/>
          <w:position w:val="0"/>
        </w:rPr>
        <w:t>de commerce" (business establishment) rather than licensing individual compositions</w:t>
      </w:r>
    </w:p>
    <w:p>
      <w:pPr>
        <w:pStyle w:val="Style4"/>
        <w:keepNext w:val="0"/>
        <w:keepLines w:val="0"/>
        <w:widowControl w:val="0"/>
        <w:numPr>
          <w:ilvl w:val="0"/>
          <w:numId w:val="3"/>
        </w:numPr>
        <w:shd w:val="clear" w:color="auto" w:fill="auto"/>
        <w:tabs>
          <w:tab w:pos="437" w:val="left"/>
        </w:tabs>
        <w:bidi w:val="0"/>
        <w:spacing w:before="0" w:after="0"/>
        <w:ind w:left="0" w:right="0" w:firstLine="160"/>
        <w:jc w:val="left"/>
      </w:pPr>
      <w:bookmarkStart w:id="28" w:name="bookmark28"/>
      <w:bookmarkEnd w:id="28"/>
      <w:r>
        <w:rPr>
          <w:color w:val="000000"/>
          <w:spacing w:val="0"/>
          <w:w w:val="100"/>
          <w:position w:val="0"/>
        </w:rPr>
        <w:t>The transfer encompassed multiple components:</w:t>
      </w:r>
    </w:p>
    <w:p>
      <w:pPr>
        <w:pStyle w:val="Style4"/>
        <w:keepNext w:val="0"/>
        <w:keepLines w:val="0"/>
        <w:widowControl w:val="0"/>
        <w:numPr>
          <w:ilvl w:val="0"/>
          <w:numId w:val="3"/>
        </w:numPr>
        <w:shd w:val="clear" w:color="auto" w:fill="auto"/>
        <w:tabs>
          <w:tab w:pos="862" w:val="left"/>
        </w:tabs>
        <w:bidi w:val="0"/>
        <w:spacing w:before="0" w:after="80"/>
        <w:ind w:left="0" w:right="0" w:firstLine="580"/>
        <w:jc w:val="left"/>
      </w:pPr>
      <w:bookmarkStart w:id="29" w:name="bookmark29"/>
      <w:bookmarkEnd w:id="29"/>
      <w:r>
        <w:rPr>
          <w:color w:val="000000"/>
          <w:spacing w:val="0"/>
          <w:w w:val="100"/>
          <w:position w:val="0"/>
        </w:rPr>
        <w:t>Physical inventory (plates, stones, printed music)</w:t>
      </w:r>
    </w:p>
    <w:p>
      <w:pPr>
        <w:pStyle w:val="Style4"/>
        <w:keepNext w:val="0"/>
        <w:keepLines w:val="0"/>
        <w:widowControl w:val="0"/>
        <w:numPr>
          <w:ilvl w:val="0"/>
          <w:numId w:val="3"/>
        </w:numPr>
        <w:shd w:val="clear" w:color="auto" w:fill="auto"/>
        <w:tabs>
          <w:tab w:pos="862" w:val="left"/>
        </w:tabs>
        <w:bidi w:val="0"/>
        <w:spacing w:before="0" w:after="80"/>
        <w:ind w:left="0" w:right="0" w:firstLine="580"/>
        <w:jc w:val="left"/>
      </w:pPr>
      <w:bookmarkStart w:id="30" w:name="bookmark30"/>
      <w:bookmarkEnd w:id="30"/>
      <w:r>
        <w:rPr>
          <w:color w:val="000000"/>
          <w:spacing w:val="0"/>
          <w:w w:val="100"/>
          <w:position w:val="0"/>
        </w:rPr>
        <w:t>Musical properties (compositions)</w:t>
      </w:r>
    </w:p>
    <w:p>
      <w:pPr>
        <w:pStyle w:val="Style4"/>
        <w:keepNext w:val="0"/>
        <w:keepLines w:val="0"/>
        <w:widowControl w:val="0"/>
        <w:numPr>
          <w:ilvl w:val="0"/>
          <w:numId w:val="3"/>
        </w:numPr>
        <w:shd w:val="clear" w:color="auto" w:fill="auto"/>
        <w:tabs>
          <w:tab w:pos="862" w:val="left"/>
        </w:tabs>
        <w:bidi w:val="0"/>
        <w:spacing w:before="0"/>
        <w:ind w:left="0" w:right="0" w:firstLine="580"/>
        <w:jc w:val="left"/>
      </w:pPr>
      <w:bookmarkStart w:id="31" w:name="bookmark31"/>
      <w:bookmarkEnd w:id="31"/>
      <w:r>
        <w:rPr>
          <w:color w:val="000000"/>
          <w:spacing w:val="0"/>
          <w:w w:val="100"/>
          <w:position w:val="0"/>
        </w:rPr>
        <w:t>Business goodwill</w:t>
      </w:r>
    </w:p>
    <w:p>
      <w:pPr>
        <w:pStyle w:val="Style4"/>
        <w:keepNext w:val="0"/>
        <w:keepLines w:val="0"/>
        <w:widowControl w:val="0"/>
        <w:numPr>
          <w:ilvl w:val="0"/>
          <w:numId w:val="3"/>
        </w:numPr>
        <w:shd w:val="clear" w:color="auto" w:fill="auto"/>
        <w:tabs>
          <w:tab w:pos="437" w:val="left"/>
        </w:tabs>
        <w:bidi w:val="0"/>
        <w:spacing w:before="0"/>
        <w:ind w:left="0" w:right="0" w:firstLine="160"/>
        <w:jc w:val="left"/>
      </w:pPr>
      <w:bookmarkStart w:id="32" w:name="bookmark32"/>
      <w:bookmarkEnd w:id="32"/>
      <w:r>
        <w:rPr>
          <w:color w:val="000000"/>
          <w:spacing w:val="0"/>
          <w:w w:val="100"/>
          <w:position w:val="0"/>
        </w:rPr>
        <w:t xml:space="preserve">Payment was structured through promissory notes (billets </w:t>
      </w:r>
      <w:r>
        <w:rPr>
          <w:color w:val="000000"/>
          <w:spacing w:val="0"/>
          <w:w w:val="100"/>
          <w:position w:val="0"/>
        </w:rPr>
        <w:t xml:space="preserve">à ordre) </w:t>
      </w:r>
      <w:r>
        <w:rPr>
          <w:color w:val="000000"/>
          <w:spacing w:val="0"/>
          <w:w w:val="100"/>
          <w:position w:val="0"/>
        </w:rPr>
        <w:t>with staggered maturities</w:t>
      </w:r>
    </w:p>
    <w:p>
      <w:pPr>
        <w:pStyle w:val="Style4"/>
        <w:keepNext w:val="0"/>
        <w:keepLines w:val="0"/>
        <w:widowControl w:val="0"/>
        <w:shd w:val="clear" w:color="auto" w:fill="auto"/>
        <w:bidi w:val="0"/>
        <w:spacing w:before="0" w:line="382" w:lineRule="auto"/>
        <w:ind w:left="0" w:right="0" w:firstLine="0"/>
        <w:jc w:val="left"/>
      </w:pPr>
      <w:r>
        <w:rPr>
          <w:color w:val="000000"/>
          <w:spacing w:val="0"/>
          <w:w w:val="100"/>
          <w:position w:val="0"/>
        </w:rPr>
        <w:t>This bundled approach made it difficult to separate the value of physical assets from intellectual property, contributing to the valuation challenges evident in the bankruptcy proceedings.</w:t>
      </w:r>
    </w:p>
    <w:p>
      <w:pPr>
        <w:pStyle w:val="Style6"/>
        <w:keepNext/>
        <w:keepLines/>
        <w:widowControl w:val="0"/>
        <w:numPr>
          <w:ilvl w:val="0"/>
          <w:numId w:val="1"/>
        </w:numPr>
        <w:shd w:val="clear" w:color="auto" w:fill="auto"/>
        <w:tabs>
          <w:tab w:pos="454" w:val="left"/>
        </w:tabs>
        <w:bidi w:val="0"/>
        <w:spacing w:before="0" w:line="240" w:lineRule="auto"/>
        <w:ind w:left="0" w:right="0" w:firstLine="0"/>
        <w:jc w:val="left"/>
      </w:pPr>
      <w:bookmarkStart w:id="33" w:name="bookmark33"/>
      <w:bookmarkStart w:id="34" w:name="bookmark34"/>
      <w:bookmarkStart w:id="35" w:name="bookmark35"/>
      <w:bookmarkStart w:id="36" w:name="bookmark36"/>
      <w:bookmarkEnd w:id="35"/>
      <w:r>
        <w:rPr>
          <w:color w:val="000000"/>
          <w:spacing w:val="0"/>
          <w:w w:val="100"/>
          <w:position w:val="0"/>
        </w:rPr>
        <w:t>Geographic Dimension of Rights Management</w:t>
      </w:r>
      <w:bookmarkEnd w:id="33"/>
      <w:bookmarkEnd w:id="34"/>
      <w:bookmarkEnd w:id="36"/>
    </w:p>
    <w:p>
      <w:pPr>
        <w:pStyle w:val="Style4"/>
        <w:keepNext w:val="0"/>
        <w:keepLines w:val="0"/>
        <w:widowControl w:val="0"/>
        <w:shd w:val="clear" w:color="auto" w:fill="auto"/>
        <w:bidi w:val="0"/>
        <w:spacing w:before="0"/>
        <w:ind w:left="0" w:right="0" w:firstLine="0"/>
        <w:jc w:val="left"/>
      </w:pPr>
      <w:r>
        <w:rPr>
          <w:color w:val="000000"/>
          <w:spacing w:val="0"/>
          <w:w w:val="100"/>
          <w:position w:val="0"/>
        </w:rPr>
        <w:t>The case reveals the practical complications of managing physically-embodied rights across locations:</w:t>
      </w:r>
    </w:p>
    <w:p>
      <w:pPr>
        <w:pStyle w:val="Style4"/>
        <w:keepNext w:val="0"/>
        <w:keepLines w:val="0"/>
        <w:widowControl w:val="0"/>
        <w:numPr>
          <w:ilvl w:val="0"/>
          <w:numId w:val="3"/>
        </w:numPr>
        <w:shd w:val="clear" w:color="auto" w:fill="auto"/>
        <w:tabs>
          <w:tab w:pos="437" w:val="left"/>
        </w:tabs>
        <w:bidi w:val="0"/>
        <w:spacing w:before="0" w:after="0"/>
        <w:ind w:left="0" w:right="0" w:firstLine="160"/>
        <w:jc w:val="left"/>
      </w:pPr>
      <w:bookmarkStart w:id="37" w:name="bookmark37"/>
      <w:bookmarkEnd w:id="37"/>
      <w:r>
        <w:rPr>
          <w:color w:val="000000"/>
          <w:spacing w:val="0"/>
          <w:w w:val="100"/>
          <w:position w:val="0"/>
        </w:rPr>
        <w:t>Ledentu's plates and stones were distributed across multiple printers:</w:t>
      </w:r>
    </w:p>
    <w:p>
      <w:pPr>
        <w:pStyle w:val="Style4"/>
        <w:keepNext w:val="0"/>
        <w:keepLines w:val="0"/>
        <w:widowControl w:val="0"/>
        <w:numPr>
          <w:ilvl w:val="0"/>
          <w:numId w:val="3"/>
        </w:numPr>
        <w:shd w:val="clear" w:color="auto" w:fill="auto"/>
        <w:tabs>
          <w:tab w:pos="862" w:val="left"/>
        </w:tabs>
        <w:bidi w:val="0"/>
        <w:spacing w:before="0" w:after="80"/>
        <w:ind w:left="0" w:right="0" w:firstLine="580"/>
        <w:jc w:val="left"/>
      </w:pPr>
      <w:bookmarkStart w:id="38" w:name="bookmark38"/>
      <w:bookmarkEnd w:id="38"/>
      <w:r>
        <w:rPr>
          <w:color w:val="000000"/>
          <w:spacing w:val="0"/>
          <w:w w:val="100"/>
          <w:position w:val="0"/>
        </w:rPr>
        <w:t>Kuand (in Montmorency, outside Paris)</w:t>
      </w:r>
    </w:p>
    <w:p>
      <w:pPr>
        <w:pStyle w:val="Style4"/>
        <w:keepNext w:val="0"/>
        <w:keepLines w:val="0"/>
        <w:widowControl w:val="0"/>
        <w:numPr>
          <w:ilvl w:val="0"/>
          <w:numId w:val="3"/>
        </w:numPr>
        <w:shd w:val="clear" w:color="auto" w:fill="auto"/>
        <w:tabs>
          <w:tab w:pos="862" w:val="left"/>
        </w:tabs>
        <w:bidi w:val="0"/>
        <w:spacing w:before="0" w:after="80"/>
        <w:ind w:left="0" w:right="0" w:firstLine="580"/>
        <w:jc w:val="left"/>
      </w:pPr>
      <w:bookmarkStart w:id="39" w:name="bookmark39"/>
      <w:bookmarkEnd w:id="39"/>
      <w:r>
        <w:rPr>
          <w:color w:val="000000"/>
          <w:spacing w:val="0"/>
          <w:w w:val="100"/>
          <w:position w:val="0"/>
        </w:rPr>
        <w:t>Bauve (in Paris)</w:t>
      </w:r>
    </w:p>
    <w:p>
      <w:pPr>
        <w:pStyle w:val="Style4"/>
        <w:keepNext w:val="0"/>
        <w:keepLines w:val="0"/>
        <w:widowControl w:val="0"/>
        <w:numPr>
          <w:ilvl w:val="0"/>
          <w:numId w:val="3"/>
        </w:numPr>
        <w:shd w:val="clear" w:color="auto" w:fill="auto"/>
        <w:tabs>
          <w:tab w:pos="862" w:val="left"/>
        </w:tabs>
        <w:bidi w:val="0"/>
        <w:spacing w:before="0"/>
        <w:ind w:left="0" w:right="0" w:firstLine="580"/>
        <w:jc w:val="left"/>
      </w:pPr>
      <w:bookmarkStart w:id="40" w:name="bookmark40"/>
      <w:bookmarkEnd w:id="40"/>
      <w:r>
        <w:rPr>
          <w:color w:val="000000"/>
          <w:spacing w:val="0"/>
          <w:w w:val="100"/>
          <w:position w:val="0"/>
        </w:rPr>
        <w:t>Benfant (lithographer in Paris)</w:t>
      </w:r>
      <w:r>
        <w:br w:type="page"/>
      </w:r>
    </w:p>
    <w:p>
      <w:pPr>
        <w:pStyle w:val="Style4"/>
        <w:keepNext w:val="0"/>
        <w:keepLines w:val="0"/>
        <w:widowControl w:val="0"/>
        <w:shd w:val="clear" w:color="auto" w:fill="auto"/>
        <w:bidi w:val="0"/>
        <w:spacing w:before="0" w:line="240" w:lineRule="auto"/>
        <w:ind w:left="0" w:right="0" w:firstLine="420"/>
        <w:jc w:val="left"/>
      </w:pPr>
      <w:r>
        <w:rPr>
          <w:color w:val="000000"/>
          <w:spacing w:val="0"/>
          <w:w w:val="100"/>
          <w:position w:val="0"/>
        </w:rPr>
        <w:t>This distribution created jurisdictional complexities when asserting rights</w:t>
      </w:r>
    </w:p>
    <w:p>
      <w:pPr>
        <w:pStyle w:val="Style4"/>
        <w:keepNext w:val="0"/>
        <w:keepLines w:val="0"/>
        <w:widowControl w:val="0"/>
        <w:shd w:val="clear" w:color="auto" w:fill="auto"/>
        <w:bidi w:val="0"/>
        <w:spacing w:before="0" w:after="360" w:line="240" w:lineRule="auto"/>
        <w:ind w:left="0" w:right="0" w:firstLine="420"/>
        <w:jc w:val="left"/>
      </w:pPr>
      <w:r>
        <w:rPr>
          <w:color w:val="000000"/>
          <w:spacing w:val="0"/>
          <w:w w:val="100"/>
          <w:position w:val="0"/>
        </w:rPr>
        <w:t>Ledentu had to file separate actions to secure materials held by different printers</w:t>
      </w:r>
    </w:p>
    <w:p>
      <w:pPr>
        <w:pStyle w:val="Style4"/>
        <w:keepNext w:val="0"/>
        <w:keepLines w:val="0"/>
        <w:widowControl w:val="0"/>
        <w:shd w:val="clear" w:color="auto" w:fill="auto"/>
        <w:bidi w:val="0"/>
        <w:spacing w:before="0" w:after="280" w:line="360" w:lineRule="auto"/>
        <w:ind w:left="0" w:right="0" w:firstLine="0"/>
        <w:jc w:val="left"/>
      </w:pPr>
      <w:r>
        <w:rPr>
          <w:color w:val="000000"/>
          <w:spacing w:val="0"/>
          <w:w w:val="100"/>
          <w:position w:val="0"/>
        </w:rPr>
        <w:t>This geographic dimension of rights management reflects how the physical embodiment of intellectual property created practical enforcement challenges absent in modern abstract rights systems.</w:t>
      </w:r>
    </w:p>
    <w:p>
      <w:pPr>
        <w:pStyle w:val="Style6"/>
        <w:keepNext/>
        <w:keepLines/>
        <w:widowControl w:val="0"/>
        <w:shd w:val="clear" w:color="auto" w:fill="auto"/>
        <w:bidi w:val="0"/>
        <w:spacing w:before="0" w:after="280" w:line="240" w:lineRule="auto"/>
        <w:ind w:left="0" w:right="0" w:firstLine="0"/>
        <w:jc w:val="left"/>
      </w:pPr>
      <w:bookmarkStart w:id="41" w:name="bookmark41"/>
      <w:bookmarkStart w:id="42" w:name="bookmark42"/>
      <w:bookmarkStart w:id="43" w:name="bookmark43"/>
      <w:r>
        <w:rPr>
          <w:color w:val="000000"/>
          <w:spacing w:val="0"/>
          <w:w w:val="100"/>
          <w:position w:val="0"/>
        </w:rPr>
        <w:t>Conclusion: A Transitional Moment in Property Concepts</w:t>
      </w:r>
      <w:bookmarkEnd w:id="41"/>
      <w:bookmarkEnd w:id="42"/>
      <w:bookmarkEnd w:id="43"/>
    </w:p>
    <w:p>
      <w:pPr>
        <w:pStyle w:val="Style4"/>
        <w:keepNext w:val="0"/>
        <w:keepLines w:val="0"/>
        <w:widowControl w:val="0"/>
        <w:shd w:val="clear" w:color="auto" w:fill="auto"/>
        <w:bidi w:val="0"/>
        <w:spacing w:before="0" w:line="382" w:lineRule="auto"/>
        <w:ind w:left="0" w:right="0" w:firstLine="0"/>
        <w:jc w:val="left"/>
      </w:pPr>
      <w:r>
        <w:rPr>
          <w:color w:val="000000"/>
          <w:spacing w:val="0"/>
          <w:w w:val="100"/>
          <w:position w:val="0"/>
        </w:rPr>
        <w:t>The Ikelmer-Ledentu case captures a transitional moment in the evolution of intellectual property:</w:t>
      </w:r>
    </w:p>
    <w:p>
      <w:pPr>
        <w:pStyle w:val="Style4"/>
        <w:keepNext w:val="0"/>
        <w:keepLines w:val="0"/>
        <w:widowControl w:val="0"/>
        <w:numPr>
          <w:ilvl w:val="0"/>
          <w:numId w:val="3"/>
        </w:numPr>
        <w:shd w:val="clear" w:color="auto" w:fill="auto"/>
        <w:tabs>
          <w:tab w:pos="437" w:val="left"/>
        </w:tabs>
        <w:bidi w:val="0"/>
        <w:spacing w:before="0" w:after="60" w:line="382" w:lineRule="auto"/>
        <w:ind w:left="0" w:right="0" w:firstLine="160"/>
        <w:jc w:val="left"/>
      </w:pPr>
      <w:bookmarkStart w:id="44" w:name="bookmark44"/>
      <w:bookmarkEnd w:id="44"/>
      <w:r>
        <w:rPr>
          <w:color w:val="000000"/>
          <w:spacing w:val="0"/>
          <w:w w:val="100"/>
          <w:position w:val="0"/>
        </w:rPr>
        <w:t>French law had established clear legal protection for musical compositions as property</w:t>
      </w:r>
    </w:p>
    <w:p>
      <w:pPr>
        <w:pStyle w:val="Style4"/>
        <w:keepNext w:val="0"/>
        <w:keepLines w:val="0"/>
        <w:widowControl w:val="0"/>
        <w:numPr>
          <w:ilvl w:val="0"/>
          <w:numId w:val="3"/>
        </w:numPr>
        <w:shd w:val="clear" w:color="auto" w:fill="auto"/>
        <w:tabs>
          <w:tab w:pos="437" w:val="left"/>
        </w:tabs>
        <w:bidi w:val="0"/>
        <w:spacing w:before="0" w:after="60" w:line="386" w:lineRule="auto"/>
        <w:ind w:left="420" w:right="0" w:hanging="260"/>
        <w:jc w:val="left"/>
      </w:pPr>
      <w:bookmarkStart w:id="45" w:name="bookmark45"/>
      <w:bookmarkEnd w:id="45"/>
      <w:r>
        <w:rPr>
          <w:color w:val="000000"/>
          <w:spacing w:val="0"/>
          <w:w w:val="100"/>
          <w:position w:val="0"/>
        </w:rPr>
        <w:t>Publishers treated musical rights as valuable commercial commodities (as evidenced by the 63,000 franc purchase price)</w:t>
      </w:r>
    </w:p>
    <w:p>
      <w:pPr>
        <w:pStyle w:val="Style4"/>
        <w:keepNext w:val="0"/>
        <w:keepLines w:val="0"/>
        <w:widowControl w:val="0"/>
        <w:numPr>
          <w:ilvl w:val="0"/>
          <w:numId w:val="3"/>
        </w:numPr>
        <w:shd w:val="clear" w:color="auto" w:fill="auto"/>
        <w:tabs>
          <w:tab w:pos="437" w:val="left"/>
        </w:tabs>
        <w:bidi w:val="0"/>
        <w:spacing w:before="0" w:after="60" w:line="386" w:lineRule="auto"/>
        <w:ind w:left="420" w:right="0" w:hanging="260"/>
        <w:jc w:val="left"/>
      </w:pPr>
      <w:bookmarkStart w:id="46" w:name="bookmark46"/>
      <w:bookmarkEnd w:id="46"/>
      <w:r>
        <w:rPr>
          <w:color w:val="000000"/>
          <w:spacing w:val="0"/>
          <w:w w:val="100"/>
          <w:position w:val="0"/>
        </w:rPr>
        <w:t xml:space="preserve">Yet financial and accounting systems struggled to incorporate these intangible assets (the "pour </w:t>
      </w:r>
      <w:r>
        <w:rPr>
          <w:color w:val="000000"/>
          <w:spacing w:val="0"/>
          <w:w w:val="100"/>
          <w:position w:val="0"/>
        </w:rPr>
        <w:t xml:space="preserve">mémoire" </w:t>
      </w:r>
      <w:r>
        <w:rPr>
          <w:color w:val="000000"/>
          <w:spacing w:val="0"/>
          <w:w w:val="100"/>
          <w:position w:val="0"/>
        </w:rPr>
        <w:t>notation)</w:t>
      </w:r>
    </w:p>
    <w:p>
      <w:pPr>
        <w:pStyle w:val="Style4"/>
        <w:keepNext w:val="0"/>
        <w:keepLines w:val="0"/>
        <w:widowControl w:val="0"/>
        <w:numPr>
          <w:ilvl w:val="0"/>
          <w:numId w:val="3"/>
        </w:numPr>
        <w:shd w:val="clear" w:color="auto" w:fill="auto"/>
        <w:tabs>
          <w:tab w:pos="437" w:val="left"/>
        </w:tabs>
        <w:bidi w:val="0"/>
        <w:spacing w:before="0" w:line="382" w:lineRule="auto"/>
        <w:ind w:left="0" w:right="0" w:firstLine="160"/>
        <w:jc w:val="left"/>
      </w:pPr>
      <w:bookmarkStart w:id="47" w:name="bookmark47"/>
      <w:bookmarkEnd w:id="47"/>
      <w:r>
        <w:rPr>
          <w:color w:val="000000"/>
          <w:spacing w:val="0"/>
          <w:w w:val="100"/>
          <w:position w:val="0"/>
        </w:rPr>
        <w:t>Control remained tethered to physical production materials rather than abstract rights</w:t>
      </w:r>
    </w:p>
    <w:p>
      <w:pPr>
        <w:pStyle w:val="Style4"/>
        <w:keepNext w:val="0"/>
        <w:keepLines w:val="0"/>
        <w:widowControl w:val="0"/>
        <w:shd w:val="clear" w:color="auto" w:fill="auto"/>
        <w:bidi w:val="0"/>
        <w:spacing w:before="0" w:line="377" w:lineRule="auto"/>
        <w:ind w:left="0" w:right="0" w:firstLine="0"/>
        <w:jc w:val="left"/>
      </w:pPr>
      <w:r>
        <w:rPr>
          <w:color w:val="000000"/>
          <w:spacing w:val="0"/>
          <w:w w:val="100"/>
          <w:position w:val="0"/>
        </w:rPr>
        <w:t xml:space="preserve">This case study provides an illuminating window into how the modern concept of intellectual property emerged gradually, with a period where rights existed in </w:t>
      </w:r>
      <w:r>
        <w:rPr>
          <w:color w:val="000000"/>
          <w:spacing w:val="0"/>
          <w:w w:val="100"/>
          <w:position w:val="0"/>
        </w:rPr>
        <w:t xml:space="preserve">a liminal </w:t>
      </w:r>
      <w:r>
        <w:rPr>
          <w:color w:val="000000"/>
          <w:spacing w:val="0"/>
          <w:w w:val="100"/>
          <w:position w:val="0"/>
        </w:rPr>
        <w:t>space: recognized in law, valued in commerce, yet resistant to financial quantification and still bound to physical embodiment.</w:t>
      </w:r>
    </w:p>
    <w:sectPr>
      <w:footnotePr>
        <w:pos w:val="pageBottom"/>
        <w:numFmt w:val="decimal"/>
        <w:numRestart w:val="continuous"/>
      </w:footnotePr>
      <w:pgSz w:w="12240" w:h="15840"/>
      <w:pgMar w:top="477" w:right="739" w:bottom="245" w:left="691" w:header="49" w:footer="3" w:gutter="0"/>
      <w:pgNumType w:start="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Arial" w:eastAsia="Arial" w:hAnsi="Arial" w:cs="Arial"/>
        <w:b/>
        <w:bCs/>
        <w:i w:val="0"/>
        <w:iCs w:val="0"/>
        <w:smallCaps w:val="0"/>
        <w:strike w:val="0"/>
        <w:color w:val="000000"/>
        <w:spacing w:val="0"/>
        <w:w w:val="100"/>
        <w:position w:val="0"/>
        <w:sz w:val="28"/>
        <w:szCs w:val="28"/>
        <w:u w:val="none"/>
        <w:shd w:val="clear" w:color="auto" w:fill="auto"/>
      </w:rPr>
    </w:lvl>
  </w:abstractNum>
  <w:abstractNum w:abstractNumId="2">
    <w:multiLevelType w:val="multilevel"/>
    <w:lvl w:ilvl="0">
      <w:start w:val="1"/>
      <w:numFmt w:val="bullet"/>
      <w:lvlText w:val="•"/>
      <w:rPr>
        <w:rFonts w:ascii="Arial" w:eastAsia="Arial" w:hAnsi="Arial" w:cs="Arial"/>
        <w:b w:val="0"/>
        <w:bCs w:val="0"/>
        <w:i w:val="0"/>
        <w:iCs w:val="0"/>
        <w:smallCaps w:val="0"/>
        <w:strike w:val="0"/>
        <w:color w:val="000000"/>
        <w:spacing w:val="0"/>
        <w:w w:val="100"/>
        <w:position w:val="0"/>
        <w:sz w:val="22"/>
        <w:szCs w:val="22"/>
        <w:u w:val="none"/>
        <w:shd w:val="clear" w:color="auto" w:fill="auto"/>
      </w:rPr>
    </w:lvl>
  </w:abstractNum>
  <w:num w:numId="1">
    <w:abstractNumId w:val="0"/>
  </w:num>
  <w:num w:numId="3">
    <w:abstractNumId w:val="2"/>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rPr>
  </w:style>
  <w:style w:type="character" w:customStyle="1" w:styleId="CharStyle3">
    <w:name w:val="Heading #1|1_"/>
    <w:basedOn w:val="DefaultParagraphFont"/>
    <w:link w:val="Style2"/>
    <w:rPr>
      <w:rFonts w:ascii="Galvji" w:eastAsia="Galvji" w:hAnsi="Galvji" w:cs="Galvji"/>
      <w:b/>
      <w:bCs/>
      <w:i w:val="0"/>
      <w:iCs w:val="0"/>
      <w:smallCaps w:val="0"/>
      <w:strike w:val="0"/>
      <w:sz w:val="32"/>
      <w:szCs w:val="32"/>
      <w:u w:val="none"/>
      <w:shd w:val="clear" w:color="auto" w:fill="auto"/>
    </w:rPr>
  </w:style>
  <w:style w:type="character" w:customStyle="1" w:styleId="CharStyle5">
    <w:name w:val="Body text|1_"/>
    <w:basedOn w:val="DefaultParagraphFont"/>
    <w:link w:val="Style4"/>
    <w:rPr>
      <w:rFonts w:ascii="Arial" w:eastAsia="Arial" w:hAnsi="Arial" w:cs="Arial"/>
      <w:b w:val="0"/>
      <w:bCs w:val="0"/>
      <w:i w:val="0"/>
      <w:iCs w:val="0"/>
      <w:smallCaps w:val="0"/>
      <w:strike w:val="0"/>
      <w:sz w:val="22"/>
      <w:szCs w:val="22"/>
      <w:u w:val="none"/>
      <w:shd w:val="clear" w:color="auto" w:fill="auto"/>
    </w:rPr>
  </w:style>
  <w:style w:type="character" w:customStyle="1" w:styleId="CharStyle7">
    <w:name w:val="Heading #2|1_"/>
    <w:basedOn w:val="DefaultParagraphFont"/>
    <w:link w:val="Style6"/>
    <w:rPr>
      <w:rFonts w:ascii="Arial" w:eastAsia="Arial" w:hAnsi="Arial" w:cs="Arial"/>
      <w:b/>
      <w:bCs/>
      <w:i w:val="0"/>
      <w:iCs w:val="0"/>
      <w:smallCaps w:val="0"/>
      <w:strike w:val="0"/>
      <w:sz w:val="28"/>
      <w:szCs w:val="28"/>
      <w:u w:val="none"/>
      <w:shd w:val="clear" w:color="auto" w:fill="auto"/>
    </w:rPr>
  </w:style>
  <w:style w:type="paragraph" w:customStyle="1" w:styleId="Style2">
    <w:name w:val="Heading #1|1"/>
    <w:basedOn w:val="Normal"/>
    <w:link w:val="CharStyle3"/>
    <w:pPr>
      <w:widowControl w:val="0"/>
      <w:shd w:val="clear" w:color="auto" w:fill="auto"/>
      <w:spacing w:before="240" w:after="200" w:line="302" w:lineRule="auto"/>
      <w:outlineLvl w:val="0"/>
    </w:pPr>
    <w:rPr>
      <w:rFonts w:ascii="Galvji" w:eastAsia="Galvji" w:hAnsi="Galvji" w:cs="Galvji"/>
      <w:b/>
      <w:bCs/>
      <w:i w:val="0"/>
      <w:iCs w:val="0"/>
      <w:smallCaps w:val="0"/>
      <w:strike w:val="0"/>
      <w:sz w:val="32"/>
      <w:szCs w:val="32"/>
      <w:u w:val="none"/>
      <w:shd w:val="clear" w:color="auto" w:fill="auto"/>
    </w:rPr>
  </w:style>
  <w:style w:type="paragraph" w:customStyle="1" w:styleId="Style4">
    <w:name w:val="Body text|1"/>
    <w:basedOn w:val="Normal"/>
    <w:link w:val="CharStyle5"/>
    <w:pPr>
      <w:widowControl w:val="0"/>
      <w:shd w:val="clear" w:color="auto" w:fill="auto"/>
      <w:spacing w:after="200" w:line="379" w:lineRule="auto"/>
    </w:pPr>
    <w:rPr>
      <w:rFonts w:ascii="Arial" w:eastAsia="Arial" w:hAnsi="Arial" w:cs="Arial"/>
      <w:b w:val="0"/>
      <w:bCs w:val="0"/>
      <w:i w:val="0"/>
      <w:iCs w:val="0"/>
      <w:smallCaps w:val="0"/>
      <w:strike w:val="0"/>
      <w:sz w:val="22"/>
      <w:szCs w:val="22"/>
      <w:u w:val="none"/>
      <w:shd w:val="clear" w:color="auto" w:fill="auto"/>
    </w:rPr>
  </w:style>
  <w:style w:type="paragraph" w:customStyle="1" w:styleId="Style6">
    <w:name w:val="Heading #2|1"/>
    <w:basedOn w:val="Normal"/>
    <w:link w:val="CharStyle7"/>
    <w:pPr>
      <w:widowControl w:val="0"/>
      <w:shd w:val="clear" w:color="auto" w:fill="auto"/>
      <w:spacing w:after="300"/>
      <w:outlineLvl w:val="1"/>
    </w:pPr>
    <w:rPr>
      <w:rFonts w:ascii="Arial" w:eastAsia="Arial" w:hAnsi="Arial" w:cs="Arial"/>
      <w:b/>
      <w:bCs/>
      <w:i w:val="0"/>
      <w:iCs w:val="0"/>
      <w:smallCaps w:val="0"/>
      <w:strike w:val="0"/>
      <w:sz w:val="28"/>
      <w:szCs w:val="2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