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B40E" w14:textId="77777777" w:rsidR="005E2607" w:rsidRPr="005E2607" w:rsidRDefault="005E2607" w:rsidP="005E260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The 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Ikelmer-Ledentu</w:t>
      </w:r>
      <w:proofErr w:type="spellEnd"/>
      <w:r w:rsidRPr="005E2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 Business Relationship</w:t>
      </w:r>
    </w:p>
    <w:p w14:paraId="1B323882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Analysis from the 1860 Bankruptcy Report</w:t>
      </w:r>
    </w:p>
    <w:p w14:paraId="70AE8846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bankruptcy report of Alfred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Ikelmer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et Cie provides significant insight into the business relationship between the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Ikelmer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brothers and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a music publisher. This document extracts and analyzes all references to this relationship from the primary source.</w:t>
      </w:r>
    </w:p>
    <w:p w14:paraId="72AED658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1. Acquisition of 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Ledentu's</w:t>
      </w:r>
      <w:proofErr w:type="spellEnd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Business</w:t>
      </w:r>
    </w:p>
    <w:p w14:paraId="3861E3FB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 early 1855, the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Ikelmer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brothers acquired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Ledentu's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music publishing business:</w:t>
      </w:r>
    </w:p>
    <w:p w14:paraId="1E73F152" w14:textId="77777777" w:rsidR="005E2607" w:rsidRPr="005E2607" w:rsidRDefault="005E2607" w:rsidP="005E2607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14:ligatures w14:val="none"/>
        </w:rPr>
        <w:t>"Et enfin de Mr. Ledentu, aussi éditeur de musique, son fonds de commerce, moyennant la somme de... 63,000 fr."</w:t>
      </w:r>
    </w:p>
    <w:p w14:paraId="60FDA829" w14:textId="77777777" w:rsidR="005E2607" w:rsidRPr="005E2607" w:rsidRDefault="005E2607" w:rsidP="005E2607">
      <w:pPr>
        <w:spacing w:before="100" w:beforeAutospacing="1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[Translation: "And finally from 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also a music publisher, his business establishment, for the sum of... 63,000 francs."]</w:t>
      </w:r>
    </w:p>
    <w:p w14:paraId="7E2910C5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was their largest acquisition, representing approximately 66% of their total acquisition expenditure (95,000 francs) during January-May 1855. The document doesn't specify what made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Ledentu's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business significantly more valuable than the others they purchased, but the size of the investment suggests it was a substantial publishing house with valuable musical properties.</w:t>
      </w:r>
    </w:p>
    <w:p w14:paraId="08755AA5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2. Assets Acquired from 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Ledentu</w:t>
      </w:r>
      <w:proofErr w:type="spellEnd"/>
    </w:p>
    <w:p w14:paraId="19230FD6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acquisition included both physical production materials and intellectual property:</w:t>
      </w:r>
    </w:p>
    <w:p w14:paraId="71233871" w14:textId="77777777" w:rsidR="005E2607" w:rsidRPr="005E2607" w:rsidRDefault="005E2607" w:rsidP="005E2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Engraved music plates</w:t>
      </w:r>
    </w:p>
    <w:p w14:paraId="6F392DA0" w14:textId="77777777" w:rsidR="005E2607" w:rsidRPr="005E2607" w:rsidRDefault="005E2607" w:rsidP="005E2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Lithographic stones</w:t>
      </w:r>
    </w:p>
    <w:p w14:paraId="7F984696" w14:textId="77777777" w:rsidR="005E2607" w:rsidRPr="005E2607" w:rsidRDefault="005E2607" w:rsidP="005E2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Musical properties (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propriétés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musicales)</w:t>
      </w:r>
    </w:p>
    <w:p w14:paraId="0FD8E540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specific inventory included:</w:t>
      </w:r>
    </w:p>
    <w:p w14:paraId="0EDF8C5D" w14:textId="77777777" w:rsidR="005E2607" w:rsidRPr="005E2607" w:rsidRDefault="005E2607" w:rsidP="005E26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792 engraved music plates</w:t>
      </w:r>
    </w:p>
    <w:p w14:paraId="31188388" w14:textId="77777777" w:rsidR="005E2607" w:rsidRPr="005E2607" w:rsidRDefault="005E2607" w:rsidP="005E26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803 lithographic stones</w:t>
      </w:r>
    </w:p>
    <w:p w14:paraId="147AD7A5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These materials were held by printer Kuand and collectively valued at 12,209 francs in the bankruptcy inventory.</w:t>
      </w:r>
    </w:p>
    <w:p w14:paraId="47AF833F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Financial Arrangement</w:t>
      </w:r>
    </w:p>
    <w:p w14:paraId="334AEB78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payment structure reveals common industry financing practices:</w:t>
      </w:r>
    </w:p>
    <w:p w14:paraId="5C381D6E" w14:textId="77777777" w:rsidR="005E2607" w:rsidRPr="005E2607" w:rsidRDefault="005E2607" w:rsidP="005E260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Purchase price regulated through promissory notes (billets à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ordre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6FCDDFB2" w14:textId="77777777" w:rsidR="005E2607" w:rsidRPr="005E2607" w:rsidRDefault="005E2607" w:rsidP="005E260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Payment schedule arranged across multiple future dates</w:t>
      </w:r>
    </w:p>
    <w:p w14:paraId="480BAE98" w14:textId="77777777" w:rsidR="005E2607" w:rsidRPr="005E2607" w:rsidRDefault="005E2607" w:rsidP="005E260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Security arrangement giving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rights over the plates and stones</w:t>
      </w:r>
    </w:p>
    <w:p w14:paraId="0335CB86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Security Arrangement (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Nantissement</w:t>
      </w:r>
      <w:proofErr w:type="spellEnd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)</w:t>
      </w:r>
    </w:p>
    <w:p w14:paraId="41CD800A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 critical aspect of the relationship was the security interest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maintained:</w:t>
      </w:r>
    </w:p>
    <w:p w14:paraId="03B5C77F" w14:textId="77777777" w:rsidR="005E2607" w:rsidRPr="005E2607" w:rsidRDefault="005E2607" w:rsidP="005E2607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14:ligatures w14:val="none"/>
        </w:rPr>
        <w:t>"Quelque temps après la faillite, Mr. Ledentu à qui les planches et pierres provenant de son fonds de commerce avaient été affectés à titre de nantissement pour une somme de 19,500 fr., et qui restait créancier de ce chef d'une somme de 13,500 fr. réglée en billets..."</w:t>
      </w:r>
    </w:p>
    <w:p w14:paraId="6FB2FEAB" w14:textId="77777777" w:rsidR="005E2607" w:rsidRPr="005E2607" w:rsidRDefault="005E2607" w:rsidP="005E2607">
      <w:pPr>
        <w:spacing w:before="100" w:beforeAutospacing="1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[Translation: "Some time after the bankruptcy, 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to whom the plates and stones from his business had been assigned as security for a sum of 19,500 francs, and who remained a creditor on this account for a sum of 13,500 francs settled in promissory notes..."]</w:t>
      </w:r>
    </w:p>
    <w:p w14:paraId="40E0D46A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arrangement established that:</w:t>
      </w:r>
    </w:p>
    <w:p w14:paraId="0C41CEBD" w14:textId="77777777" w:rsidR="005E2607" w:rsidRPr="005E2607" w:rsidRDefault="005E2607" w:rsidP="005E26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physical plates and stones served as collateral</w:t>
      </w:r>
    </w:p>
    <w:p w14:paraId="53A4CF2C" w14:textId="77777777" w:rsidR="005E2607" w:rsidRPr="005E2607" w:rsidRDefault="005E2607" w:rsidP="005E26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initial secured amount was 19,500 francs</w:t>
      </w:r>
    </w:p>
    <w:p w14:paraId="74ACB2C2" w14:textId="77777777" w:rsidR="005E2607" w:rsidRPr="005E2607" w:rsidRDefault="005E2607" w:rsidP="005E26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At the time of bankruptcy, 13,500 francs remained outstanding</w:t>
      </w:r>
    </w:p>
    <w:p w14:paraId="2052AC46" w14:textId="77777777" w:rsidR="005E2607" w:rsidRPr="005E2607" w:rsidRDefault="005E2607" w:rsidP="005E26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debt was formalized through promissory notes</w:t>
      </w:r>
    </w:p>
    <w:p w14:paraId="1EA7AD35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5. Post-Bankruptcy Legal Actions</w:t>
      </w:r>
    </w:p>
    <w:p w14:paraId="21AC9170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After the bankruptcy declaration,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took several legal actions:</w:t>
      </w:r>
    </w:p>
    <w:p w14:paraId="74543E97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Initial Claim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Filed a motion with the Commercial Court seeking authorization to liquidate his collateral (the plates and stones)</w:t>
      </w:r>
    </w:p>
    <w:p w14:paraId="5EF21CF1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Trustee Intervention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The bankruptcy trustee, to avoid disadvantageous liquidation of these assets, arranged to pay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13,500 francs owed as funds became available</w:t>
      </w:r>
    </w:p>
    <w:p w14:paraId="094D2D95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Additional Claim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later attempted to extend his security interest to cover subsequent sales, citing Article 2082 of the Napoleonic Code</w:t>
      </w:r>
    </w:p>
    <w:p w14:paraId="70DA7369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Legal Opposition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Filed opposition with Kuand (the printer holding the materials) to prevent release of the plates and stones</w:t>
      </w:r>
    </w:p>
    <w:p w14:paraId="078A6B86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Court Ruling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On April 1, 1862, the court declared itself without jurisdiction and referred the matter to commercial court jurisdiction</w:t>
      </w:r>
    </w:p>
    <w:p w14:paraId="644BA834" w14:textId="77777777" w:rsidR="005E2607" w:rsidRPr="005E2607" w:rsidRDefault="005E2607" w:rsidP="005E26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Resolution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The report notes "Mr.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n'a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pas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renouvelé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sa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demande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" (Mr.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did not renew his request) (Mr.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did not renew his request), suggesting he abandoned his additional claim</w:t>
      </w:r>
    </w:p>
    <w:p w14:paraId="4580B964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6. Settlement of 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Ledentu's</w:t>
      </w:r>
      <w:proofErr w:type="spellEnd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Claim</w:t>
      </w:r>
    </w:p>
    <w:p w14:paraId="76551DBF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bankruptcy administration ultimately paid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his secured claim:</w:t>
      </w:r>
    </w:p>
    <w:p w14:paraId="3A632239" w14:textId="77777777" w:rsidR="005E2607" w:rsidRPr="005E2607" w:rsidRDefault="005E2607" w:rsidP="005E2607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"Paiements à 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14:ligatures w14:val="none"/>
        </w:rPr>
        <w:t xml:space="preserve"> de sa créance privilégiée.................... </w:t>
      </w: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13,533.15"</w:t>
      </w:r>
    </w:p>
    <w:p w14:paraId="0824A586" w14:textId="77777777" w:rsidR="005E2607" w:rsidRPr="005E2607" w:rsidRDefault="005E2607" w:rsidP="005E2607">
      <w:pPr>
        <w:spacing w:before="100" w:beforeAutospacing="1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[Translation: "Payments to Mr.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for his privileged claim.................... 13,533.15"]</w:t>
      </w:r>
    </w:p>
    <w:p w14:paraId="00EEBDBB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amount (13,533.15 francs) represents full payment of the 13,500 francs principal plus 33.15 francs in associated costs.</w:t>
      </w:r>
    </w:p>
    <w:p w14:paraId="61F15D50" w14:textId="77777777" w:rsidR="005E2607" w:rsidRPr="005E2607" w:rsidRDefault="005E2607" w:rsidP="005E26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Conceptual Importance for "</w:t>
      </w:r>
      <w:proofErr w:type="spellStart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Propriété</w:t>
      </w:r>
      <w:proofErr w:type="spellEnd"/>
      <w:r w:rsidRPr="005E26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Musicale"</w:t>
      </w:r>
    </w:p>
    <w:p w14:paraId="0395B09E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Ikelmer-Ledentu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relationship illuminates period concepts of musical property rights:</w:t>
      </w:r>
    </w:p>
    <w:p w14:paraId="20A54137" w14:textId="77777777" w:rsidR="005E2607" w:rsidRPr="005E2607" w:rsidRDefault="005E2607" w:rsidP="005E26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separation of physical production materials from abstract "</w:t>
      </w:r>
      <w:proofErr w:type="spellStart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propriétés</w:t>
      </w:r>
      <w:proofErr w:type="spellEnd"/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musicales"</w:t>
      </w:r>
    </w:p>
    <w:p w14:paraId="7EC3AE13" w14:textId="77777777" w:rsidR="005E2607" w:rsidRPr="005E2607" w:rsidRDefault="005E2607" w:rsidP="005E26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use of physical objects (plates and stones) as both the means of production and as security for payment</w:t>
      </w:r>
    </w:p>
    <w:p w14:paraId="33F9F99A" w14:textId="77777777" w:rsidR="005E2607" w:rsidRPr="005E2607" w:rsidRDefault="005E2607" w:rsidP="005E26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legal understanding that whoever controlled the physical plates effectively controlled the right to reproduce the music</w:t>
      </w:r>
    </w:p>
    <w:p w14:paraId="17E9559A" w14:textId="77777777" w:rsidR="005E2607" w:rsidRPr="005E2607" w:rsidRDefault="005E2607" w:rsidP="005E26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apparent absence of copyright registration as a primary protection mechanism, with physical possession of production materials serving this function</w:t>
      </w:r>
    </w:p>
    <w:p w14:paraId="6D85A173" w14:textId="77777777" w:rsidR="005E2607" w:rsidRPr="005E2607" w:rsidRDefault="005E2607" w:rsidP="005E26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E26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relationship demonstrates how music publishing businesses in mid-19th century France operated at the intersection of commercial law, emerging intellectual property concepts, and traditional secured transactions.</w:t>
      </w:r>
    </w:p>
    <w:p w14:paraId="11BD3273" w14:textId="77777777" w:rsidR="00CB420C" w:rsidRPr="005E2607" w:rsidRDefault="00CB420C">
      <w:pPr>
        <w:rPr>
          <w:lang w:val="en-US"/>
        </w:rPr>
      </w:pPr>
    </w:p>
    <w:sectPr w:rsidR="00CB420C" w:rsidRPr="005E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851BF"/>
    <w:multiLevelType w:val="multilevel"/>
    <w:tmpl w:val="9D9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A2323"/>
    <w:multiLevelType w:val="multilevel"/>
    <w:tmpl w:val="58A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D7175"/>
    <w:multiLevelType w:val="multilevel"/>
    <w:tmpl w:val="AF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419BD"/>
    <w:multiLevelType w:val="multilevel"/>
    <w:tmpl w:val="4364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A06AB"/>
    <w:multiLevelType w:val="multilevel"/>
    <w:tmpl w:val="E32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B2A27"/>
    <w:multiLevelType w:val="multilevel"/>
    <w:tmpl w:val="BFB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83706">
    <w:abstractNumId w:val="2"/>
  </w:num>
  <w:num w:numId="2" w16cid:durableId="1869290099">
    <w:abstractNumId w:val="4"/>
  </w:num>
  <w:num w:numId="3" w16cid:durableId="508954461">
    <w:abstractNumId w:val="5"/>
  </w:num>
  <w:num w:numId="4" w16cid:durableId="283849903">
    <w:abstractNumId w:val="0"/>
  </w:num>
  <w:num w:numId="5" w16cid:durableId="2078697499">
    <w:abstractNumId w:val="3"/>
  </w:num>
  <w:num w:numId="6" w16cid:durableId="190795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7"/>
    <w:rsid w:val="000B53EA"/>
    <w:rsid w:val="005E2607"/>
    <w:rsid w:val="00A05BAE"/>
    <w:rsid w:val="00B02FE1"/>
    <w:rsid w:val="00B41ECD"/>
    <w:rsid w:val="00BA5450"/>
    <w:rsid w:val="00BC069C"/>
    <w:rsid w:val="00CB420C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FD02"/>
  <w15:chartTrackingRefBased/>
  <w15:docId w15:val="{34DB8ACF-B372-CE43-B4F0-17CB0C74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E26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07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0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07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0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0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0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0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E26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0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0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E2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0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E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07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E2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6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E2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Cohen</dc:creator>
  <cp:keywords/>
  <dc:description/>
  <cp:lastModifiedBy>Simon Cohen</cp:lastModifiedBy>
  <cp:revision>1</cp:revision>
  <dcterms:created xsi:type="dcterms:W3CDTF">2025-04-17T18:53:00Z</dcterms:created>
  <dcterms:modified xsi:type="dcterms:W3CDTF">2025-04-17T18:53:00Z</dcterms:modified>
</cp:coreProperties>
</file>