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- 2026-10-26 07:06 BJT</w:t>
      </w:r>
    </w:p>
    <w:p>
      <w:pPr>
        <w:spacing w:after="160"/>
        <w:jc w:val="center"/>
      </w:pPr>
      <w:r>
        <w:rPr>
          <w:rFonts w:ascii="Microsoft YaHei" w:hAnsi="Microsoft YaHei" w:eastAsia="Microsoft YaHei"/>
          <w:b w:val="0"/>
          <w:color w:val="5A5A5A"/>
          <w:sz w:val="16"/>
        </w:rPr>
        <w:t>2026-10-26 | 市场快照 07:06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2026-10-26T07:06:51.913285+08:00 的 BTC/ETH/SOL 行情与 OKX 永续合约备选源（Binance/Bybit 本轮不可用）、Deribit 期权、Binance/OKX 现货成交带与盘口快照；ETF 数据以本次输入中最新可核验公开值为准，ETH/SOL 当日值可能不完整，宏观、催化剂与大佬观点核验截止 2026-10-26 07:06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80,354低于正常震荡区下沿 VAL 80,711，现价不直接追单；下沿只有扫过 VAL 80,711 后收回并形成 HL 才做多；上沿只有进入 84,633-84,813 后冲高失败才做空。两条条件卡有效至 2026-10-26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HTF_TREND_DOWN + PULLBACK / 低于正常震荡区下沿 VAL 80,711</w:t>
            </w:r>
          </w:p>
        </w:tc>
        <w:tc>
          <w:tcPr>
            <w:tcW w:type="dxa" w:w="2131"/>
            <w:vAlign w:val="center"/>
          </w:tcPr>
          <w:p>
            <w:pPr>
              <w:spacing w:after="0" w:line="240" w:lineRule="auto"/>
            </w:pPr>
            <w:r>
              <w:rPr>
                <w:rFonts w:ascii="Microsoft YaHei" w:hAnsi="Microsoft YaHei" w:eastAsia="Microsoft YaHei"/>
                <w:b w:val="0"/>
                <w:color w:val="19212A"/>
                <w:sz w:val="14"/>
              </w:rPr>
              <w:t>下沿等S1 流动性扫单反转多；上沿等S2c 趋势回踩空 84,633-84,813</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80,711-84,733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2,336 收回与 EMA20 2,371，无独立交易卡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2,371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101.46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EMA20 102.60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HTF_TREND_DOWN + PULLBACK，ETH/SOL处于过渡，因此当前更准确的描述是‘中线震荡、短线偏弱’，还不是确认的大级别牛市或熊市。今天只允许下沿扫低收回多、只允许上沿回踩受阻空，现价附近不交易。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 流动性扫单反转多）</w:t>
            </w:r>
          </w:p>
        </w:tc>
        <w:tc>
          <w:tcPr>
            <w:tcW w:type="dxa" w:w="1332"/>
            <w:vAlign w:val="center"/>
          </w:tcPr>
          <w:p>
            <w:pPr>
              <w:spacing w:after="0" w:line="240" w:lineRule="auto"/>
            </w:pPr>
            <w:r>
              <w:rPr>
                <w:rFonts w:ascii="Microsoft YaHei" w:hAnsi="Microsoft YaHei" w:eastAsia="Microsoft YaHei"/>
                <w:b w:val="0"/>
                <w:color w:val="19212A"/>
                <w:sz w:val="12"/>
              </w:rPr>
              <w:t>跌破 VAL 80,711 后，15m/30m 收回 80,711 并形成 HL，且卖压减弱</w:t>
            </w:r>
          </w:p>
        </w:tc>
        <w:tc>
          <w:tcPr>
            <w:tcW w:type="dxa" w:w="1332"/>
            <w:vAlign w:val="center"/>
          </w:tcPr>
          <w:p>
            <w:pPr>
              <w:spacing w:after="0" w:line="240" w:lineRule="auto"/>
            </w:pPr>
            <w:r>
              <w:rPr>
                <w:rFonts w:ascii="Microsoft YaHei" w:hAnsi="Microsoft YaHei" w:eastAsia="Microsoft YaHei"/>
                <w:b w:val="0"/>
                <w:color w:val="19212A"/>
                <w:sz w:val="12"/>
              </w:rPr>
              <w:t>80,611-80,761 / 80,761</w:t>
            </w:r>
          </w:p>
        </w:tc>
        <w:tc>
          <w:tcPr>
            <w:tcW w:type="dxa" w:w="1332"/>
            <w:vAlign w:val="center"/>
          </w:tcPr>
          <w:p>
            <w:pPr>
              <w:spacing w:after="0" w:line="240" w:lineRule="auto"/>
            </w:pPr>
            <w:r>
              <w:rPr>
                <w:rFonts w:ascii="Microsoft YaHei" w:hAnsi="Microsoft YaHei" w:eastAsia="Microsoft YaHei"/>
                <w:b w:val="0"/>
                <w:color w:val="19212A"/>
                <w:sz w:val="12"/>
              </w:rPr>
              <w:t>80,211</w:t>
            </w:r>
          </w:p>
        </w:tc>
        <w:tc>
          <w:tcPr>
            <w:tcW w:type="dxa" w:w="1332"/>
            <w:vAlign w:val="center"/>
          </w:tcPr>
          <w:p>
            <w:pPr>
              <w:spacing w:after="0" w:line="240" w:lineRule="auto"/>
            </w:pPr>
            <w:r>
              <w:rPr>
                <w:rFonts w:ascii="Microsoft YaHei" w:hAnsi="Microsoft YaHei" w:eastAsia="Microsoft YaHei"/>
                <w:b w:val="0"/>
                <w:color w:val="19212A"/>
                <w:sz w:val="12"/>
              </w:rPr>
              <w:t>81,666 / 84,733</w:t>
            </w:r>
          </w:p>
        </w:tc>
        <w:tc>
          <w:tcPr>
            <w:tcW w:type="dxa" w:w="1332"/>
            <w:vAlign w:val="center"/>
          </w:tcPr>
          <w:p>
            <w:pPr>
              <w:spacing w:after="0" w:line="240" w:lineRule="auto"/>
            </w:pPr>
            <w:r>
              <w:rPr>
                <w:rFonts w:ascii="Microsoft YaHei" w:hAnsi="Microsoft YaHei" w:eastAsia="Microsoft YaHei"/>
                <w:b w:val="0"/>
                <w:color w:val="19212A"/>
                <w:sz w:val="12"/>
              </w:rPr>
              <w:t>TP1 1:1.25；加权 1:4.09</w:t>
            </w:r>
          </w:p>
        </w:tc>
        <w:tc>
          <w:tcPr>
            <w:tcW w:type="dxa" w:w="1332"/>
            <w:vAlign w:val="center"/>
          </w:tcPr>
          <w:p>
            <w:pPr>
              <w:spacing w:after="0" w:line="240" w:lineRule="auto"/>
            </w:pPr>
            <w:r>
              <w:rPr>
                <w:rFonts w:ascii="Microsoft YaHei" w:hAnsi="Microsoft YaHei" w:eastAsia="Microsoft YaHei"/>
                <w:b w:val="0"/>
                <w:color w:val="19212A"/>
                <w:sz w:val="12"/>
              </w:rPr>
              <w:t>2026-10-26 20:00；跌回VAL下方或事件/结构失效即取消</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空（S2c 趋势回踩空）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84,633-84,813，15m/30m出现冲高失败、LH并重新跌回 VAH 84,733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84,633-84,813 / 84,813</w:t>
            </w:r>
          </w:p>
        </w:tc>
        <w:tc>
          <w:tcPr>
            <w:tcW w:type="dxa" w:w="1332"/>
            <w:vAlign w:val="center"/>
            <w:shd w:fill="EAF2F8"/>
          </w:tcPr>
          <w:p>
            <w:pPr>
              <w:spacing w:after="0" w:line="240" w:lineRule="auto"/>
            </w:pPr>
            <w:r>
              <w:rPr>
                <w:rFonts w:ascii="Microsoft YaHei" w:hAnsi="Microsoft YaHei" w:eastAsia="Microsoft YaHei"/>
                <w:b w:val="0"/>
                <w:color w:val="19212A"/>
                <w:sz w:val="12"/>
              </w:rPr>
              <w:t>85,233</w:t>
            </w:r>
          </w:p>
        </w:tc>
        <w:tc>
          <w:tcPr>
            <w:tcW w:type="dxa" w:w="1332"/>
            <w:vAlign w:val="center"/>
            <w:shd w:fill="EAF2F8"/>
          </w:tcPr>
          <w:p>
            <w:pPr>
              <w:spacing w:after="0" w:line="240" w:lineRule="auto"/>
            </w:pPr>
            <w:r>
              <w:rPr>
                <w:rFonts w:ascii="Microsoft YaHei" w:hAnsi="Microsoft YaHei" w:eastAsia="Microsoft YaHei"/>
                <w:b w:val="0"/>
                <w:color w:val="19212A"/>
                <w:sz w:val="12"/>
              </w:rPr>
              <w:t>81,666 / 80,711</w:t>
            </w:r>
          </w:p>
        </w:tc>
        <w:tc>
          <w:tcPr>
            <w:tcW w:type="dxa" w:w="1332"/>
            <w:vAlign w:val="center"/>
            <w:shd w:fill="EAF2F8"/>
          </w:tcPr>
          <w:p>
            <w:pPr>
              <w:spacing w:after="0" w:line="240" w:lineRule="auto"/>
            </w:pPr>
            <w:r>
              <w:rPr>
                <w:rFonts w:ascii="Microsoft YaHei" w:hAnsi="Microsoft YaHei" w:eastAsia="Microsoft YaHei"/>
                <w:b w:val="0"/>
                <w:color w:val="19212A"/>
                <w:sz w:val="12"/>
              </w:rPr>
              <w:t>TP1 1:5.84；加权 1:6.93</w:t>
            </w:r>
          </w:p>
        </w:tc>
        <w:tc>
          <w:tcPr>
            <w:tcW w:type="dxa" w:w="1332"/>
            <w:vAlign w:val="center"/>
            <w:shd w:fill="EAF2F8"/>
          </w:tcPr>
          <w:p>
            <w:pPr>
              <w:spacing w:after="0" w:line="240" w:lineRule="auto"/>
            </w:pPr>
            <w:r>
              <w:rPr>
                <w:rFonts w:ascii="Microsoft YaHei" w:hAnsi="Microsoft YaHei" w:eastAsia="Microsoft YaHei"/>
                <w:b w:val="0"/>
                <w:color w:val="19212A"/>
                <w:sz w:val="12"/>
              </w:rPr>
              <w:t>2026-10-26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当前低于正常震荡区下沿 VAL 80,711；POC 81,666 可以理解为最近成交最拥挤的中轴，不是追单位置。下沿多头必须先扫过 VAL 80,711 再收回并形成 HL；上沿空头必须先进入 84,633-84,813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79,760-81,329</w:t>
            </w:r>
          </w:p>
        </w:tc>
        <w:tc>
          <w:tcPr>
            <w:tcW w:type="dxa" w:w="969"/>
            <w:vAlign w:val="center"/>
          </w:tcPr>
          <w:p>
            <w:pPr>
              <w:spacing w:after="0" w:line="240" w:lineRule="auto"/>
            </w:pPr>
            <w:r>
              <w:rPr>
                <w:rFonts w:ascii="Microsoft YaHei" w:hAnsi="Microsoft YaHei" w:eastAsia="Microsoft YaHei"/>
                <w:b w:val="0"/>
                <w:color w:val="19212A"/>
                <w:sz w:val="10"/>
              </w:rPr>
              <w:t>79,017-80,153</w:t>
            </w:r>
          </w:p>
        </w:tc>
        <w:tc>
          <w:tcPr>
            <w:tcW w:type="dxa" w:w="969"/>
            <w:vAlign w:val="center"/>
          </w:tcPr>
          <w:p>
            <w:pPr>
              <w:spacing w:after="0" w:line="240" w:lineRule="auto"/>
            </w:pPr>
            <w:r>
              <w:rPr>
                <w:rFonts w:ascii="Microsoft YaHei" w:hAnsi="Microsoft YaHei" w:eastAsia="Microsoft YaHei"/>
                <w:b w:val="0"/>
                <w:color w:val="19212A"/>
                <w:sz w:val="10"/>
              </w:rPr>
              <w:t>80,787-81,982</w:t>
            </w:r>
          </w:p>
        </w:tc>
        <w:tc>
          <w:tcPr>
            <w:tcW w:type="dxa" w:w="969"/>
            <w:vAlign w:val="center"/>
          </w:tcPr>
          <w:p>
            <w:pPr>
              <w:spacing w:after="0" w:line="240" w:lineRule="auto"/>
            </w:pPr>
            <w:r>
              <w:rPr>
                <w:rFonts w:ascii="Microsoft YaHei" w:hAnsi="Microsoft YaHei" w:eastAsia="Microsoft YaHei"/>
                <w:b w:val="0"/>
                <w:color w:val="19212A"/>
                <w:sz w:val="10"/>
              </w:rPr>
              <w:t>47.0% / 24.2% / 28.7%</w:t>
            </w:r>
          </w:p>
        </w:tc>
        <w:tc>
          <w:tcPr>
            <w:tcW w:type="dxa" w:w="969"/>
            <w:vAlign w:val="center"/>
          </w:tcPr>
          <w:p>
            <w:pPr>
              <w:spacing w:after="0" w:line="240" w:lineRule="auto"/>
            </w:pPr>
            <w:r>
              <w:rPr>
                <w:rFonts w:ascii="Microsoft YaHei" w:hAnsi="Microsoft YaHei" w:eastAsia="Microsoft YaHei"/>
                <w:b w:val="0"/>
                <w:color w:val="19212A"/>
                <w:sz w:val="10"/>
              </w:rPr>
              <w:t>11.3%</w:t>
            </w:r>
          </w:p>
        </w:tc>
        <w:tc>
          <w:tcPr>
            <w:tcW w:type="dxa" w:w="969"/>
            <w:vAlign w:val="center"/>
          </w:tcPr>
          <w:p>
            <w:pPr>
              <w:spacing w:after="0" w:line="240" w:lineRule="auto"/>
            </w:pPr>
            <w:r>
              <w:rPr>
                <w:rFonts w:ascii="Microsoft YaHei" w:hAnsi="Microsoft YaHei" w:eastAsia="Microsoft YaHei"/>
                <w:b w:val="0"/>
                <w:color w:val="19212A"/>
                <w:sz w:val="10"/>
              </w:rPr>
              <w:t>31.2</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80,354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79,193-81,912</w:t>
            </w:r>
          </w:p>
        </w:tc>
        <w:tc>
          <w:tcPr>
            <w:tcW w:type="dxa" w:w="969"/>
            <w:vAlign w:val="center"/>
            <w:shd w:fill="EAF2F8"/>
          </w:tcPr>
          <w:p>
            <w:pPr>
              <w:spacing w:after="0" w:line="240" w:lineRule="auto"/>
            </w:pPr>
            <w:r>
              <w:rPr>
                <w:rFonts w:ascii="Microsoft YaHei" w:hAnsi="Microsoft YaHei" w:eastAsia="Microsoft YaHei"/>
                <w:b w:val="0"/>
                <w:color w:val="19212A"/>
                <w:sz w:val="10"/>
              </w:rPr>
              <w:t>78,215-79,558</w:t>
            </w:r>
          </w:p>
        </w:tc>
        <w:tc>
          <w:tcPr>
            <w:tcW w:type="dxa" w:w="969"/>
            <w:vAlign w:val="center"/>
            <w:shd w:fill="EAF2F8"/>
          </w:tcPr>
          <w:p>
            <w:pPr>
              <w:spacing w:after="0" w:line="240" w:lineRule="auto"/>
            </w:pPr>
            <w:r>
              <w:rPr>
                <w:rFonts w:ascii="Microsoft YaHei" w:hAnsi="Microsoft YaHei" w:eastAsia="Microsoft YaHei"/>
                <w:b w:val="0"/>
                <w:color w:val="19212A"/>
                <w:sz w:val="10"/>
              </w:rPr>
              <w:t>80,854-83,229</w:t>
            </w:r>
          </w:p>
        </w:tc>
        <w:tc>
          <w:tcPr>
            <w:tcW w:type="dxa" w:w="969"/>
            <w:vAlign w:val="center"/>
            <w:shd w:fill="EAF2F8"/>
          </w:tcPr>
          <w:p>
            <w:pPr>
              <w:spacing w:after="0" w:line="240" w:lineRule="auto"/>
            </w:pPr>
            <w:r>
              <w:rPr>
                <w:rFonts w:ascii="Microsoft YaHei" w:hAnsi="Microsoft YaHei" w:eastAsia="Microsoft YaHei"/>
                <w:b w:val="0"/>
                <w:color w:val="19212A"/>
                <w:sz w:val="10"/>
              </w:rPr>
              <w:t>45.4% / 40.1% / 14.5%</w:t>
            </w:r>
          </w:p>
        </w:tc>
        <w:tc>
          <w:tcPr>
            <w:tcW w:type="dxa" w:w="969"/>
            <w:vAlign w:val="center"/>
            <w:shd w:fill="EAF2F8"/>
          </w:tcPr>
          <w:p>
            <w:pPr>
              <w:spacing w:after="0" w:line="240" w:lineRule="auto"/>
            </w:pPr>
            <w:r>
              <w:rPr>
                <w:rFonts w:ascii="Microsoft YaHei" w:hAnsi="Microsoft YaHei" w:eastAsia="Microsoft YaHei"/>
                <w:b w:val="0"/>
                <w:color w:val="19212A"/>
                <w:sz w:val="10"/>
              </w:rPr>
              <w:t>31.4%</w:t>
            </w:r>
          </w:p>
        </w:tc>
        <w:tc>
          <w:tcPr>
            <w:tcW w:type="dxa" w:w="969"/>
            <w:vAlign w:val="center"/>
            <w:shd w:fill="EAF2F8"/>
          </w:tcPr>
          <w:p>
            <w:pPr>
              <w:spacing w:after="0" w:line="240" w:lineRule="auto"/>
            </w:pPr>
            <w:r>
              <w:rPr>
                <w:rFonts w:ascii="Microsoft YaHei" w:hAnsi="Microsoft YaHei" w:eastAsia="Microsoft YaHei"/>
                <w:b w:val="0"/>
                <w:color w:val="19212A"/>
                <w:sz w:val="10"/>
              </w:rPr>
              <w:t>20.1</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80,354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2,305-2,396</w:t>
            </w:r>
          </w:p>
        </w:tc>
        <w:tc>
          <w:tcPr>
            <w:tcW w:type="dxa" w:w="969"/>
            <w:vAlign w:val="center"/>
            <w:shd w:fill="EAF2F8"/>
          </w:tcPr>
          <w:p>
            <w:pPr>
              <w:spacing w:after="0" w:line="240" w:lineRule="auto"/>
            </w:pPr>
            <w:r>
              <w:rPr>
                <w:rFonts w:ascii="Microsoft YaHei" w:hAnsi="Microsoft YaHei" w:eastAsia="Microsoft YaHei"/>
                <w:b w:val="0"/>
                <w:color w:val="19212A"/>
                <w:sz w:val="10"/>
              </w:rPr>
              <w:t>2,251-2,327</w:t>
            </w:r>
          </w:p>
        </w:tc>
        <w:tc>
          <w:tcPr>
            <w:tcW w:type="dxa" w:w="969"/>
            <w:vAlign w:val="center"/>
            <w:shd w:fill="EAF2F8"/>
          </w:tcPr>
          <w:p>
            <w:pPr>
              <w:spacing w:after="0" w:line="240" w:lineRule="auto"/>
            </w:pPr>
            <w:r>
              <w:rPr>
                <w:rFonts w:ascii="Microsoft YaHei" w:hAnsi="Microsoft YaHei" w:eastAsia="Microsoft YaHei"/>
                <w:b w:val="0"/>
                <w:color w:val="19212A"/>
                <w:sz w:val="10"/>
              </w:rPr>
              <w:t>2,356-2,410</w:t>
            </w:r>
          </w:p>
        </w:tc>
        <w:tc>
          <w:tcPr>
            <w:tcW w:type="dxa" w:w="969"/>
            <w:vAlign w:val="center"/>
            <w:shd w:fill="EAF2F8"/>
          </w:tcPr>
          <w:p>
            <w:pPr>
              <w:spacing w:after="0" w:line="240" w:lineRule="auto"/>
            </w:pPr>
            <w:r>
              <w:rPr>
                <w:rFonts w:ascii="Microsoft YaHei" w:hAnsi="Microsoft YaHei" w:eastAsia="Microsoft YaHei"/>
                <w:b w:val="0"/>
                <w:color w:val="19212A"/>
                <w:sz w:val="10"/>
              </w:rPr>
              <w:t>59.3% / 26.1% / 14.6%</w:t>
            </w:r>
          </w:p>
        </w:tc>
        <w:tc>
          <w:tcPr>
            <w:tcW w:type="dxa" w:w="969"/>
            <w:vAlign w:val="center"/>
            <w:shd w:fill="EAF2F8"/>
          </w:tcPr>
          <w:p>
            <w:pPr>
              <w:spacing w:after="0" w:line="240" w:lineRule="auto"/>
            </w:pPr>
            <w:r>
              <w:rPr>
                <w:rFonts w:ascii="Microsoft YaHei" w:hAnsi="Microsoft YaHei" w:eastAsia="Microsoft YaHei"/>
                <w:b w:val="0"/>
                <w:color w:val="19212A"/>
                <w:sz w:val="10"/>
              </w:rPr>
              <w:t>7.4%</w:t>
            </w:r>
          </w:p>
        </w:tc>
        <w:tc>
          <w:tcPr>
            <w:tcW w:type="dxa" w:w="969"/>
            <w:vAlign w:val="center"/>
            <w:shd w:fill="EAF2F8"/>
          </w:tcPr>
          <w:p>
            <w:pPr>
              <w:spacing w:after="0" w:line="240" w:lineRule="auto"/>
            </w:pPr>
            <w:r>
              <w:rPr>
                <w:rFonts w:ascii="Microsoft YaHei" w:hAnsi="Microsoft YaHei" w:eastAsia="Microsoft YaHei"/>
                <w:b w:val="0"/>
                <w:color w:val="19212A"/>
                <w:sz w:val="10"/>
              </w:rPr>
              <w:t>29.0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2,336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2,273-2,430</w:t>
            </w:r>
          </w:p>
        </w:tc>
        <w:tc>
          <w:tcPr>
            <w:tcW w:type="dxa" w:w="969"/>
            <w:vAlign w:val="center"/>
          </w:tcPr>
          <w:p>
            <w:pPr>
              <w:spacing w:after="0" w:line="240" w:lineRule="auto"/>
            </w:pPr>
            <w:r>
              <w:rPr>
                <w:rFonts w:ascii="Microsoft YaHei" w:hAnsi="Microsoft YaHei" w:eastAsia="Microsoft YaHei"/>
                <w:b w:val="0"/>
                <w:color w:val="19212A"/>
                <w:sz w:val="10"/>
              </w:rPr>
              <w:t>2,238-2,306</w:t>
            </w:r>
          </w:p>
        </w:tc>
        <w:tc>
          <w:tcPr>
            <w:tcW w:type="dxa" w:w="969"/>
            <w:vAlign w:val="center"/>
          </w:tcPr>
          <w:p>
            <w:pPr>
              <w:spacing w:after="0" w:line="240" w:lineRule="auto"/>
            </w:pPr>
            <w:r>
              <w:rPr>
                <w:rFonts w:ascii="Microsoft YaHei" w:hAnsi="Microsoft YaHei" w:eastAsia="Microsoft YaHei"/>
                <w:b w:val="0"/>
                <w:color w:val="19212A"/>
                <w:sz w:val="10"/>
              </w:rPr>
              <w:t>2,366-2,453</w:t>
            </w:r>
          </w:p>
        </w:tc>
        <w:tc>
          <w:tcPr>
            <w:tcW w:type="dxa" w:w="969"/>
            <w:vAlign w:val="center"/>
          </w:tcPr>
          <w:p>
            <w:pPr>
              <w:spacing w:after="0" w:line="240" w:lineRule="auto"/>
            </w:pPr>
            <w:r>
              <w:rPr>
                <w:rFonts w:ascii="Microsoft YaHei" w:hAnsi="Microsoft YaHei" w:eastAsia="Microsoft YaHei"/>
                <w:b w:val="0"/>
                <w:color w:val="19212A"/>
                <w:sz w:val="10"/>
              </w:rPr>
              <w:t>47.5% / 50.9% / 1.6%</w:t>
            </w:r>
          </w:p>
        </w:tc>
        <w:tc>
          <w:tcPr>
            <w:tcW w:type="dxa" w:w="969"/>
            <w:vAlign w:val="center"/>
          </w:tcPr>
          <w:p>
            <w:pPr>
              <w:spacing w:after="0" w:line="240" w:lineRule="auto"/>
            </w:pPr>
            <w:r>
              <w:rPr>
                <w:rFonts w:ascii="Microsoft YaHei" w:hAnsi="Microsoft YaHei" w:eastAsia="Microsoft YaHei"/>
                <w:b w:val="0"/>
                <w:color w:val="19212A"/>
                <w:sz w:val="10"/>
              </w:rPr>
              <w:t>48.4%</w:t>
            </w:r>
          </w:p>
        </w:tc>
        <w:tc>
          <w:tcPr>
            <w:tcW w:type="dxa" w:w="969"/>
            <w:vAlign w:val="center"/>
          </w:tcPr>
          <w:p>
            <w:pPr>
              <w:spacing w:after="0" w:line="240" w:lineRule="auto"/>
            </w:pPr>
            <w:r>
              <w:rPr>
                <w:rFonts w:ascii="Microsoft YaHei" w:hAnsi="Microsoft YaHei" w:eastAsia="Microsoft YaHei"/>
                <w:b w:val="0"/>
                <w:color w:val="19212A"/>
                <w:sz w:val="10"/>
              </w:rPr>
              <w:t>19.1</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2,336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99.90-103.63</w:t>
            </w:r>
          </w:p>
        </w:tc>
        <w:tc>
          <w:tcPr>
            <w:tcW w:type="dxa" w:w="969"/>
            <w:vAlign w:val="center"/>
          </w:tcPr>
          <w:p>
            <w:pPr>
              <w:spacing w:after="0" w:line="240" w:lineRule="auto"/>
            </w:pPr>
            <w:r>
              <w:rPr>
                <w:rFonts w:ascii="Microsoft YaHei" w:hAnsi="Microsoft YaHei" w:eastAsia="Microsoft YaHei"/>
                <w:b w:val="0"/>
                <w:color w:val="19212A"/>
                <w:sz w:val="10"/>
              </w:rPr>
              <w:t>98.38-100.88</w:t>
            </w:r>
          </w:p>
        </w:tc>
        <w:tc>
          <w:tcPr>
            <w:tcW w:type="dxa" w:w="969"/>
            <w:vAlign w:val="center"/>
          </w:tcPr>
          <w:p>
            <w:pPr>
              <w:spacing w:after="0" w:line="240" w:lineRule="auto"/>
            </w:pPr>
            <w:r>
              <w:rPr>
                <w:rFonts w:ascii="Microsoft YaHei" w:hAnsi="Microsoft YaHei" w:eastAsia="Microsoft YaHei"/>
                <w:b w:val="0"/>
                <w:color w:val="19212A"/>
                <w:sz w:val="10"/>
              </w:rPr>
              <w:t>102.28-103.96</w:t>
            </w:r>
          </w:p>
        </w:tc>
        <w:tc>
          <w:tcPr>
            <w:tcW w:type="dxa" w:w="969"/>
            <w:vAlign w:val="center"/>
          </w:tcPr>
          <w:p>
            <w:pPr>
              <w:spacing w:after="0" w:line="240" w:lineRule="auto"/>
            </w:pPr>
            <w:r>
              <w:rPr>
                <w:rFonts w:ascii="Microsoft YaHei" w:hAnsi="Microsoft YaHei" w:eastAsia="Microsoft YaHei"/>
                <w:b w:val="0"/>
                <w:color w:val="19212A"/>
                <w:sz w:val="10"/>
              </w:rPr>
              <w:t>39.8% / 30.1% / 30.0%</w:t>
            </w:r>
          </w:p>
        </w:tc>
        <w:tc>
          <w:tcPr>
            <w:tcW w:type="dxa" w:w="969"/>
            <w:vAlign w:val="center"/>
          </w:tcPr>
          <w:p>
            <w:pPr>
              <w:spacing w:after="0" w:line="240" w:lineRule="auto"/>
            </w:pPr>
            <w:r>
              <w:rPr>
                <w:rFonts w:ascii="Microsoft YaHei" w:hAnsi="Microsoft YaHei" w:eastAsia="Microsoft YaHei"/>
                <w:b w:val="0"/>
                <w:color w:val="19212A"/>
                <w:sz w:val="10"/>
              </w:rPr>
              <w:t>6.7%</w:t>
            </w:r>
          </w:p>
        </w:tc>
        <w:tc>
          <w:tcPr>
            <w:tcW w:type="dxa" w:w="969"/>
            <w:vAlign w:val="center"/>
          </w:tcPr>
          <w:p>
            <w:pPr>
              <w:spacing w:after="0" w:line="240" w:lineRule="auto"/>
            </w:pPr>
            <w:r>
              <w:rPr>
                <w:rFonts w:ascii="Microsoft YaHei" w:hAnsi="Microsoft YaHei" w:eastAsia="Microsoft YaHei"/>
                <w:b w:val="0"/>
                <w:color w:val="19212A"/>
                <w:sz w:val="10"/>
              </w:rPr>
              <w:t>28.1</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101.43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98.57-105.03</w:t>
            </w:r>
          </w:p>
        </w:tc>
        <w:tc>
          <w:tcPr>
            <w:tcW w:type="dxa" w:w="969"/>
            <w:vAlign w:val="center"/>
            <w:shd w:fill="EAF2F8"/>
          </w:tcPr>
          <w:p>
            <w:pPr>
              <w:spacing w:after="0" w:line="240" w:lineRule="auto"/>
            </w:pPr>
            <w:r>
              <w:rPr>
                <w:rFonts w:ascii="Microsoft YaHei" w:hAnsi="Microsoft YaHei" w:eastAsia="Microsoft YaHei"/>
                <w:b w:val="0"/>
                <w:color w:val="19212A"/>
                <w:sz w:val="10"/>
              </w:rPr>
              <w:t>96.49-99.97</w:t>
            </w:r>
          </w:p>
        </w:tc>
        <w:tc>
          <w:tcPr>
            <w:tcW w:type="dxa" w:w="969"/>
            <w:vAlign w:val="center"/>
            <w:shd w:fill="EAF2F8"/>
          </w:tcPr>
          <w:p>
            <w:pPr>
              <w:spacing w:after="0" w:line="240" w:lineRule="auto"/>
            </w:pPr>
            <w:r>
              <w:rPr>
                <w:rFonts w:ascii="Microsoft YaHei" w:hAnsi="Microsoft YaHei" w:eastAsia="Microsoft YaHei"/>
                <w:b w:val="0"/>
                <w:color w:val="19212A"/>
                <w:sz w:val="10"/>
              </w:rPr>
              <w:t>102.40-104.78</w:t>
            </w:r>
          </w:p>
        </w:tc>
        <w:tc>
          <w:tcPr>
            <w:tcW w:type="dxa" w:w="969"/>
            <w:vAlign w:val="center"/>
            <w:shd w:fill="EAF2F8"/>
          </w:tcPr>
          <w:p>
            <w:pPr>
              <w:spacing w:after="0" w:line="240" w:lineRule="auto"/>
            </w:pPr>
            <w:r>
              <w:rPr>
                <w:rFonts w:ascii="Microsoft YaHei" w:hAnsi="Microsoft YaHei" w:eastAsia="Microsoft YaHei"/>
                <w:b w:val="0"/>
                <w:color w:val="19212A"/>
                <w:sz w:val="10"/>
              </w:rPr>
              <w:t>34.1% / 57.4% / 8.5%</w:t>
            </w:r>
          </w:p>
        </w:tc>
        <w:tc>
          <w:tcPr>
            <w:tcW w:type="dxa" w:w="969"/>
            <w:vAlign w:val="center"/>
            <w:shd w:fill="EAF2F8"/>
          </w:tcPr>
          <w:p>
            <w:pPr>
              <w:spacing w:after="0" w:line="240" w:lineRule="auto"/>
            </w:pPr>
            <w:r>
              <w:rPr>
                <w:rFonts w:ascii="Microsoft YaHei" w:hAnsi="Microsoft YaHei" w:eastAsia="Microsoft YaHei"/>
                <w:b w:val="0"/>
                <w:color w:val="19212A"/>
                <w:sz w:val="10"/>
              </w:rPr>
              <w:t>19.1%</w:t>
            </w:r>
          </w:p>
        </w:tc>
        <w:tc>
          <w:tcPr>
            <w:tcW w:type="dxa" w:w="969"/>
            <w:vAlign w:val="center"/>
            <w:shd w:fill="EAF2F8"/>
          </w:tcPr>
          <w:p>
            <w:pPr>
              <w:spacing w:after="0" w:line="240" w:lineRule="auto"/>
            </w:pPr>
            <w:r>
              <w:rPr>
                <w:rFonts w:ascii="Microsoft YaHei" w:hAnsi="Microsoft YaHei" w:eastAsia="Microsoft YaHei"/>
                <w:b w:val="0"/>
                <w:color w:val="19212A"/>
                <w:sz w:val="10"/>
              </w:rPr>
              <w:t>19.9</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101.43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80,354，独立使用自身的24h/72h/7d区间；ETH 当前 2,336，独立使用自身的24h/72h/7d区间；SOL 当前 101.43，独立使用自身的24h/72h/7d区间。BTC今天仍要等BTC 下沿是否扫过 VAL 80,711 后收回形成 HL，以及上沿 84,633-84,813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80,711 / POC 81,666 / VAH 84,733</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低于正常震荡区下沿 VAL 80,711不追单；下沿等S1 流动性扫单反转多；上沿等S2c 趋势回踩空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VAL 2,336 / POC 2,401 / VAH 2,414</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PULLBACK</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101.46 / POC 104.46 / VAH 108.16</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+0.39%；DOGE -0.17%；AVAX +0.08%</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81,666 是最近五天成交最密集的价格，可理解为短期筹码最拥挤的‘价格磁铁’；VAL 80,711 是正常震荡区下沿，VAH 84,733 是正常震荡区上沿。BTC 当前低于正常震荡区下沿 VAL 80,711，仍未进入执行带，不是自动做多或做空；下沿等扫低收回、上沿等冲高失败。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80,711后快速收回，卖压减弱并形成HL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S1 流动性扫单反转多已扫描；本轮24h低点仍在VAL上方，尚未触发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S2c 趋势回踩空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HTF_TREND_DOWN + PULLBACK，S5不作为主执行；上沿路径按 S2c 趋势回踩空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低于正常震荡区下沿 VAL 80,711，不能把反弹强度当成追多信号。下沿多头只等扫过 VAL 80,711 后收回形成 HL，空头只等上沿 84,633-84,813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S2c 趋势回踩空；S1 流动性扫单反转多</w:t>
            </w:r>
          </w:p>
        </w:tc>
        <w:tc>
          <w:tcPr>
            <w:tcW w:type="dxa" w:w="710"/>
            <w:vAlign w:val="center"/>
          </w:tcPr>
          <w:p>
            <w:pPr>
              <w:spacing w:after="0" w:line="240" w:lineRule="auto"/>
            </w:pPr>
            <w:r>
              <w:rPr>
                <w:rFonts w:ascii="Microsoft YaHei" w:hAnsi="Microsoft YaHei" w:eastAsia="Microsoft YaHei"/>
                <w:b w:val="0"/>
                <w:color w:val="19212A"/>
                <w:sz w:val="11"/>
              </w:rPr>
              <w:t>HTF_TREND_DOWN + PULLBACK</w:t>
            </w:r>
          </w:p>
        </w:tc>
        <w:tc>
          <w:tcPr>
            <w:tcW w:type="dxa" w:w="710"/>
            <w:vAlign w:val="center"/>
          </w:tcPr>
          <w:p>
            <w:pPr>
              <w:spacing w:after="0" w:line="240" w:lineRule="auto"/>
            </w:pPr>
            <w:r>
              <w:rPr>
                <w:rFonts w:ascii="Microsoft YaHei" w:hAnsi="Microsoft YaHei" w:eastAsia="Microsoft YaHei"/>
                <w:b w:val="0"/>
                <w:color w:val="19212A"/>
                <w:sz w:val="11"/>
              </w:rPr>
              <w:t>现价低于正常震荡区下沿 VAL 80,711；两端都有结构位置，现价不在执行区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84,733 后跌回；多：扫过 VAL 80,711 后收回；现价 80,354</w:t>
            </w:r>
          </w:p>
        </w:tc>
        <w:tc>
          <w:tcPr>
            <w:tcW w:type="dxa" w:w="710"/>
            <w:vAlign w:val="center"/>
          </w:tcPr>
          <w:p>
            <w:pPr>
              <w:spacing w:after="0" w:line="240" w:lineRule="auto"/>
            </w:pPr>
            <w:r>
              <w:rPr>
                <w:rFonts w:ascii="Microsoft YaHei" w:hAnsi="Microsoft YaHei" w:eastAsia="Microsoft YaHei"/>
                <w:b w:val="0"/>
                <w:color w:val="19212A"/>
                <w:sz w:val="11"/>
              </w:rPr>
              <w:t>空 84,753 / 多 80,691</w:t>
            </w:r>
          </w:p>
        </w:tc>
        <w:tc>
          <w:tcPr>
            <w:tcW w:type="dxa" w:w="710"/>
            <w:vAlign w:val="center"/>
          </w:tcPr>
          <w:p>
            <w:pPr>
              <w:spacing w:after="0" w:line="240" w:lineRule="auto"/>
            </w:pPr>
            <w:r>
              <w:rPr>
                <w:rFonts w:ascii="Microsoft YaHei" w:hAnsi="Microsoft YaHei" w:eastAsia="Microsoft YaHei"/>
                <w:b w:val="0"/>
                <w:color w:val="19212A"/>
                <w:sz w:val="11"/>
              </w:rPr>
              <w:t>空 84,813 / 多 80,761</w:t>
            </w:r>
          </w:p>
        </w:tc>
        <w:tc>
          <w:tcPr>
            <w:tcW w:type="dxa" w:w="710"/>
            <w:vAlign w:val="center"/>
          </w:tcPr>
          <w:p>
            <w:pPr>
              <w:spacing w:after="0" w:line="240" w:lineRule="auto"/>
            </w:pPr>
            <w:r>
              <w:rPr>
                <w:rFonts w:ascii="Microsoft YaHei" w:hAnsi="Microsoft YaHei" w:eastAsia="Microsoft YaHei"/>
                <w:b w:val="0"/>
                <w:color w:val="19212A"/>
                <w:sz w:val="11"/>
              </w:rPr>
              <w:t>空 85,233 / 多 80,211</w:t>
            </w:r>
          </w:p>
        </w:tc>
        <w:tc>
          <w:tcPr>
            <w:tcW w:type="dxa" w:w="710"/>
            <w:vAlign w:val="center"/>
          </w:tcPr>
          <w:p>
            <w:pPr>
              <w:spacing w:after="0" w:line="240" w:lineRule="auto"/>
            </w:pPr>
            <w:r>
              <w:rPr>
                <w:rFonts w:ascii="Microsoft YaHei" w:hAnsi="Microsoft YaHei" w:eastAsia="Microsoft YaHei"/>
                <w:b w:val="0"/>
                <w:color w:val="19212A"/>
                <w:sz w:val="11"/>
              </w:rPr>
              <w:t>空看 POC 81,666 / 多看 POC 81,666</w:t>
            </w:r>
          </w:p>
        </w:tc>
        <w:tc>
          <w:tcPr>
            <w:tcW w:type="dxa" w:w="710"/>
            <w:vAlign w:val="center"/>
          </w:tcPr>
          <w:p>
            <w:pPr>
              <w:spacing w:after="0" w:line="240" w:lineRule="auto"/>
            </w:pPr>
            <w:r>
              <w:rPr>
                <w:rFonts w:ascii="Microsoft YaHei" w:hAnsi="Microsoft YaHei" w:eastAsia="Microsoft YaHei"/>
                <w:b w:val="0"/>
                <w:color w:val="19212A"/>
                <w:sz w:val="11"/>
              </w:rPr>
              <w:t>空看 VAL 80,711 / 多看 VAH 84,733</w:t>
            </w:r>
          </w:p>
        </w:tc>
        <w:tc>
          <w:tcPr>
            <w:tcW w:type="dxa" w:w="710"/>
            <w:vAlign w:val="center"/>
          </w:tcPr>
          <w:p>
            <w:pPr>
              <w:spacing w:after="0" w:line="240" w:lineRule="auto"/>
            </w:pPr>
            <w:r>
              <w:rPr>
                <w:rFonts w:ascii="Microsoft YaHei" w:hAnsi="Microsoft YaHei" w:eastAsia="Microsoft YaHei"/>
                <w:b w:val="0"/>
                <w:color w:val="19212A"/>
                <w:sz w:val="11"/>
              </w:rPr>
              <w:t>空 1:6.93 / 多 1:4.09</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空头出现LH且流量不恶化；多头出现HL且流量不恶化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80,711 再收回形成 HL，上沿要进入 84,633-84,813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S1/S2c</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S1 流动性扫单反转多 与  S2c 趋势回踩空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S2c/S1</w:t>
            </w:r>
          </w:p>
        </w:tc>
        <w:tc>
          <w:tcPr>
            <w:tcW w:type="dxa" w:w="888"/>
            <w:vAlign w:val="center"/>
          </w:tcPr>
          <w:p>
            <w:pPr>
              <w:spacing w:after="0" w:line="240" w:lineRule="auto"/>
            </w:pPr>
            <w:r>
              <w:rPr>
                <w:rFonts w:ascii="Microsoft YaHei" w:hAnsi="Microsoft YaHei" w:eastAsia="Microsoft YaHei"/>
                <w:b w:val="0"/>
                <w:color w:val="19212A"/>
                <w:sz w:val="13"/>
              </w:rPr>
              <w:t>HTF_TREND_DOWN + PULLBACK</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S2c_TREND_PULLBACK</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20.2%</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10.1%-20.2%</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S2c 趋势回踩空 / S1 流动性扫单反转多</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80,711 / POC 81,666 / VAH 84,733，两端条件卡均保留，现价不在执行区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80,711、POC 81,666、VAH 84,733，当前 Regime 为 HTF_TREND_DOWN + PULLBACK，价格低于正常震荡区下沿 VAL 80,711；两端条件卡均保留，现价不在执行区。这是按新快照和新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80,354.40 / -0.27%</w:t>
            </w:r>
          </w:p>
        </w:tc>
        <w:tc>
          <w:tcPr>
            <w:tcW w:type="dxa" w:w="1776"/>
            <w:vAlign w:val="center"/>
          </w:tcPr>
          <w:p>
            <w:pPr>
              <w:spacing w:after="0" w:line="240" w:lineRule="auto"/>
            </w:pPr>
            <w:r>
              <w:rPr>
                <w:rFonts w:ascii="Microsoft YaHei" w:hAnsi="Microsoft YaHei" w:eastAsia="Microsoft YaHei"/>
                <w:b w:val="0"/>
                <w:color w:val="19212A"/>
                <w:sz w:val="14"/>
              </w:rPr>
              <w:t>80,711.25 / 81,666.39 / 84,732.90</w:t>
            </w:r>
          </w:p>
        </w:tc>
        <w:tc>
          <w:tcPr>
            <w:tcW w:type="dxa" w:w="1776"/>
            <w:vAlign w:val="center"/>
          </w:tcPr>
          <w:p>
            <w:pPr>
              <w:spacing w:after="0" w:line="240" w:lineRule="auto"/>
            </w:pPr>
            <w:r>
              <w:rPr>
                <w:rFonts w:ascii="Microsoft YaHei" w:hAnsi="Microsoft YaHei" w:eastAsia="Microsoft YaHei"/>
                <w:b w:val="0"/>
                <w:color w:val="19212A"/>
                <w:sz w:val="14"/>
              </w:rPr>
              <w:t>+0.0081%</w:t>
            </w:r>
          </w:p>
        </w:tc>
        <w:tc>
          <w:tcPr>
            <w:tcW w:type="dxa" w:w="1776"/>
            <w:vAlign w:val="center"/>
          </w:tcPr>
          <w:p>
            <w:pPr>
              <w:spacing w:after="0" w:line="240" w:lineRule="auto"/>
            </w:pPr>
            <w:r>
              <w:rPr>
                <w:rFonts w:ascii="Microsoft YaHei" w:hAnsi="Microsoft YaHei" w:eastAsia="Microsoft YaHei"/>
                <w:b w:val="0"/>
                <w:color w:val="19212A"/>
                <w:sz w:val="14"/>
              </w:rPr>
              <w:t>$2.40bn / +0.00%</w:t>
            </w:r>
          </w:p>
        </w:tc>
        <w:tc>
          <w:tcPr>
            <w:tcW w:type="dxa" w:w="1776"/>
            <w:vAlign w:val="center"/>
          </w:tcPr>
          <w:p>
            <w:pPr>
              <w:spacing w:after="0" w:line="240" w:lineRule="auto"/>
            </w:pPr>
            <w:r>
              <w:rPr>
                <w:rFonts w:ascii="Microsoft YaHei" w:hAnsi="Microsoft YaHei" w:eastAsia="Microsoft YaHei"/>
                <w:b w:val="0"/>
                <w:color w:val="19212A"/>
                <w:sz w:val="14"/>
              </w:rPr>
              <w:t>0.045 / 0.045 / 0.045</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2,336.38 / -0.32%</w:t>
            </w:r>
          </w:p>
        </w:tc>
        <w:tc>
          <w:tcPr>
            <w:tcW w:type="dxa" w:w="1776"/>
            <w:vAlign w:val="center"/>
            <w:shd w:fill="EAF2F8"/>
          </w:tcPr>
          <w:p>
            <w:pPr>
              <w:spacing w:after="0" w:line="240" w:lineRule="auto"/>
            </w:pPr>
            <w:r>
              <w:rPr>
                <w:rFonts w:ascii="Microsoft YaHei" w:hAnsi="Microsoft YaHei" w:eastAsia="Microsoft YaHei"/>
                <w:b w:val="0"/>
                <w:color w:val="19212A"/>
                <w:sz w:val="14"/>
              </w:rPr>
              <w:t>2,335.56 / 2,401.01 / 2,414.10</w:t>
            </w:r>
          </w:p>
        </w:tc>
        <w:tc>
          <w:tcPr>
            <w:tcW w:type="dxa" w:w="1776"/>
            <w:vAlign w:val="center"/>
            <w:shd w:fill="EAF2F8"/>
          </w:tcPr>
          <w:p>
            <w:pPr>
              <w:spacing w:after="0" w:line="240" w:lineRule="auto"/>
            </w:pPr>
            <w:r>
              <w:rPr>
                <w:rFonts w:ascii="Microsoft YaHei" w:hAnsi="Microsoft YaHei" w:eastAsia="Microsoft YaHei"/>
                <w:b w:val="0"/>
                <w:color w:val="19212A"/>
                <w:sz w:val="14"/>
              </w:rPr>
              <w:t>+0.0039%</w:t>
            </w:r>
          </w:p>
        </w:tc>
        <w:tc>
          <w:tcPr>
            <w:tcW w:type="dxa" w:w="1776"/>
            <w:vAlign w:val="center"/>
            <w:shd w:fill="EAF2F8"/>
          </w:tcPr>
          <w:p>
            <w:pPr>
              <w:spacing w:after="0" w:line="240" w:lineRule="auto"/>
            </w:pPr>
            <w:r>
              <w:rPr>
                <w:rFonts w:ascii="Microsoft YaHei" w:hAnsi="Microsoft YaHei" w:eastAsia="Microsoft YaHei"/>
                <w:b w:val="0"/>
                <w:color w:val="19212A"/>
                <w:sz w:val="14"/>
              </w:rPr>
              <w:t>$1.41bn / +0.00%</w:t>
            </w:r>
          </w:p>
        </w:tc>
        <w:tc>
          <w:tcPr>
            <w:tcW w:type="dxa" w:w="1776"/>
            <w:vAlign w:val="center"/>
            <w:shd w:fill="EAF2F8"/>
          </w:tcPr>
          <w:p>
            <w:pPr>
              <w:spacing w:after="0" w:line="240" w:lineRule="auto"/>
            </w:pPr>
            <w:r>
              <w:rPr>
                <w:rFonts w:ascii="Microsoft YaHei" w:hAnsi="Microsoft YaHei" w:eastAsia="Microsoft YaHei"/>
                <w:b w:val="0"/>
                <w:color w:val="19212A"/>
                <w:sz w:val="14"/>
              </w:rPr>
              <w:t>0.348 / 0.348 / 0.348</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101.43 / -0.10%</w:t>
            </w:r>
          </w:p>
        </w:tc>
        <w:tc>
          <w:tcPr>
            <w:tcW w:type="dxa" w:w="1776"/>
            <w:vAlign w:val="center"/>
          </w:tcPr>
          <w:p>
            <w:pPr>
              <w:spacing w:after="0" w:line="240" w:lineRule="auto"/>
            </w:pPr>
            <w:r>
              <w:rPr>
                <w:rFonts w:ascii="Microsoft YaHei" w:hAnsi="Microsoft YaHei" w:eastAsia="Microsoft YaHei"/>
                <w:b w:val="0"/>
                <w:color w:val="19212A"/>
                <w:sz w:val="14"/>
              </w:rPr>
              <w:t>101.46 / 104.46 / 108.16</w:t>
            </w:r>
          </w:p>
        </w:tc>
        <w:tc>
          <w:tcPr>
            <w:tcW w:type="dxa" w:w="1776"/>
            <w:vAlign w:val="center"/>
          </w:tcPr>
          <w:p>
            <w:pPr>
              <w:spacing w:after="0" w:line="240" w:lineRule="auto"/>
            </w:pPr>
            <w:r>
              <w:rPr>
                <w:rFonts w:ascii="Microsoft YaHei" w:hAnsi="Microsoft YaHei" w:eastAsia="Microsoft YaHei"/>
                <w:b w:val="0"/>
                <w:color w:val="19212A"/>
                <w:sz w:val="14"/>
              </w:rPr>
              <w:t>+0.0023%</w:t>
            </w:r>
          </w:p>
        </w:tc>
        <w:tc>
          <w:tcPr>
            <w:tcW w:type="dxa" w:w="1776"/>
            <w:vAlign w:val="center"/>
          </w:tcPr>
          <w:p>
            <w:pPr>
              <w:spacing w:after="0" w:line="240" w:lineRule="auto"/>
            </w:pPr>
            <w:r>
              <w:rPr>
                <w:rFonts w:ascii="Microsoft YaHei" w:hAnsi="Microsoft YaHei" w:eastAsia="Microsoft YaHei"/>
                <w:b w:val="0"/>
                <w:color w:val="19212A"/>
                <w:sz w:val="14"/>
              </w:rPr>
              <w:t>$0.30bn / +0.00%</w:t>
            </w:r>
          </w:p>
        </w:tc>
        <w:tc>
          <w:tcPr>
            <w:tcW w:type="dxa" w:w="1776"/>
            <w:vAlign w:val="center"/>
          </w:tcPr>
          <w:p>
            <w:pPr>
              <w:spacing w:after="0" w:line="240" w:lineRule="auto"/>
            </w:pPr>
            <w:r>
              <w:rPr>
                <w:rFonts w:ascii="Microsoft YaHei" w:hAnsi="Microsoft YaHei" w:eastAsia="Microsoft YaHei"/>
                <w:b w:val="0"/>
                <w:color w:val="19212A"/>
                <w:sz w:val="14"/>
              </w:rPr>
              <w:t>17.883 / 17.883 / 17.883</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0.045，下沿多头要等扫过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7,623.68</w:t>
            </w:r>
          </w:p>
        </w:tc>
        <w:tc>
          <w:tcPr>
            <w:tcW w:type="dxa" w:w="2664"/>
            <w:vAlign w:val="center"/>
            <w:shd w:fill="EAF2F8"/>
          </w:tcPr>
          <w:p>
            <w:pPr>
              <w:spacing w:after="0" w:line="240" w:lineRule="auto"/>
            </w:pPr>
            <w:r>
              <w:rPr>
                <w:rFonts w:ascii="Microsoft YaHei" w:hAnsi="Microsoft YaHei" w:eastAsia="Microsoft YaHei"/>
                <w:b w:val="0"/>
                <w:color w:val="19212A"/>
                <w:sz w:val="14"/>
              </w:rPr>
              <w:t>-0.52%</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25,955.34</w:t>
            </w:r>
          </w:p>
        </w:tc>
        <w:tc>
          <w:tcPr>
            <w:tcW w:type="dxa" w:w="2664"/>
            <w:vAlign w:val="center"/>
          </w:tcPr>
          <w:p>
            <w:pPr>
              <w:spacing w:after="0" w:line="240" w:lineRule="auto"/>
            </w:pPr>
            <w:r>
              <w:rPr>
                <w:rFonts w:ascii="Microsoft YaHei" w:hAnsi="Microsoft YaHei" w:eastAsia="Microsoft YaHei"/>
                <w:b w:val="0"/>
                <w:color w:val="19212A"/>
                <w:sz w:val="14"/>
              </w:rPr>
              <w:t>-0.21%</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101.81</w:t>
            </w:r>
          </w:p>
        </w:tc>
        <w:tc>
          <w:tcPr>
            <w:tcW w:type="dxa" w:w="2664"/>
            <w:vAlign w:val="center"/>
            <w:shd w:fill="EAF2F8"/>
          </w:tcPr>
          <w:p>
            <w:pPr>
              <w:spacing w:after="0" w:line="240" w:lineRule="auto"/>
            </w:pPr>
            <w:r>
              <w:rPr>
                <w:rFonts w:ascii="Microsoft YaHei" w:hAnsi="Microsoft YaHei" w:eastAsia="Microsoft YaHei"/>
                <w:b w:val="0"/>
                <w:color w:val="19212A"/>
                <w:sz w:val="14"/>
              </w:rPr>
              <w:t>+0.20%</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4.99</w:t>
            </w:r>
          </w:p>
        </w:tc>
        <w:tc>
          <w:tcPr>
            <w:tcW w:type="dxa" w:w="2664"/>
            <w:vAlign w:val="center"/>
          </w:tcPr>
          <w:p>
            <w:pPr>
              <w:spacing w:after="0" w:line="240" w:lineRule="auto"/>
            </w:pPr>
            <w:r>
              <w:rPr>
                <w:rFonts w:ascii="Microsoft YaHei" w:hAnsi="Microsoft YaHei" w:eastAsia="Microsoft YaHei"/>
                <w:b w:val="0"/>
                <w:color w:val="19212A"/>
                <w:sz w:val="14"/>
              </w:rPr>
              <w:t>+0.71%</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4,014.30</w:t>
            </w:r>
          </w:p>
        </w:tc>
        <w:tc>
          <w:tcPr>
            <w:tcW w:type="dxa" w:w="2664"/>
            <w:vAlign w:val="center"/>
            <w:shd w:fill="EAF2F8"/>
          </w:tcPr>
          <w:p>
            <w:pPr>
              <w:spacing w:after="0" w:line="240" w:lineRule="auto"/>
            </w:pPr>
            <w:r>
              <w:rPr>
                <w:rFonts w:ascii="Microsoft YaHei" w:hAnsi="Microsoft YaHei" w:eastAsia="Microsoft YaHei"/>
                <w:b w:val="0"/>
                <w:color w:val="19212A"/>
                <w:sz w:val="14"/>
              </w:rPr>
              <w:t>+0.16%</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102.11</w:t>
            </w:r>
          </w:p>
        </w:tc>
        <w:tc>
          <w:tcPr>
            <w:tcW w:type="dxa" w:w="2664"/>
            <w:vAlign w:val="center"/>
          </w:tcPr>
          <w:p>
            <w:pPr>
              <w:spacing w:after="0" w:line="240" w:lineRule="auto"/>
            </w:pPr>
            <w:r>
              <w:rPr>
                <w:rFonts w:ascii="Microsoft YaHei" w:hAnsi="Microsoft YaHei" w:eastAsia="Microsoft YaHei"/>
                <w:b w:val="0"/>
                <w:color w:val="19212A"/>
                <w:sz w:val="14"/>
              </w:rPr>
              <w:t>-1.12%</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-0.52%、纳指 -0.21%，风险偏好偏弱；DXY +0.20%、10年期收益率 +0.71%，美元与利率仍有压制，黄金 +0.16% 则保留避险/通胀对冲需求。宏观没有给出可以覆盖技术结构的单边优势，因此不在 BTC 低于正常震荡区下沿 VAL 80,711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$303.4bn，提供中期流动性底座，但不能证明今天正在主动买币。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183s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15.5%</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169s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21.3%</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361s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59.6%</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$4.58m</w:t>
            </w:r>
          </w:p>
        </w:tc>
        <w:tc>
          <w:tcPr>
            <w:tcW w:type="dxa" w:w="2131"/>
            <w:vAlign w:val="center"/>
          </w:tcPr>
          <w:p>
            <w:pPr>
              <w:spacing w:after="0" w:line="240" w:lineRule="auto"/>
            </w:pPr>
            <w:r>
              <w:rPr>
                <w:rFonts w:ascii="Microsoft YaHei" w:hAnsi="Microsoft YaHei" w:eastAsia="Microsoft YaHei"/>
                <w:b w:val="0"/>
                <w:color w:val="19212A"/>
                <w:sz w:val="14"/>
              </w:rPr>
              <w:t>$6.57m</w:t>
            </w:r>
          </w:p>
        </w:tc>
        <w:tc>
          <w:tcPr>
            <w:tcW w:type="dxa" w:w="2131"/>
            <w:vAlign w:val="center"/>
          </w:tcPr>
          <w:p>
            <w:pPr>
              <w:spacing w:after="0" w:line="240" w:lineRule="auto"/>
            </w:pPr>
            <w:r>
              <w:rPr>
                <w:rFonts w:ascii="Microsoft YaHei" w:hAnsi="Microsoft YaHei" w:eastAsia="Microsoft YaHei"/>
                <w:b w:val="0"/>
                <w:color w:val="19212A"/>
                <w:sz w:val="14"/>
              </w:rPr>
              <w:t>-17.8%</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$3.61m</w:t>
            </w:r>
          </w:p>
        </w:tc>
        <w:tc>
          <w:tcPr>
            <w:tcW w:type="dxa" w:w="2131"/>
            <w:vAlign w:val="center"/>
            <w:shd w:fill="EAF2F8"/>
          </w:tcPr>
          <w:p>
            <w:pPr>
              <w:spacing w:after="0" w:line="240" w:lineRule="auto"/>
            </w:pPr>
            <w:r>
              <w:rPr>
                <w:rFonts w:ascii="Microsoft YaHei" w:hAnsi="Microsoft YaHei" w:eastAsia="Microsoft YaHei"/>
                <w:b w:val="0"/>
                <w:color w:val="19212A"/>
                <w:sz w:val="14"/>
              </w:rPr>
              <w:t>$4.83m</w:t>
            </w:r>
          </w:p>
        </w:tc>
        <w:tc>
          <w:tcPr>
            <w:tcW w:type="dxa" w:w="2131"/>
            <w:vAlign w:val="center"/>
            <w:shd w:fill="EAF2F8"/>
          </w:tcPr>
          <w:p>
            <w:pPr>
              <w:spacing w:after="0" w:line="240" w:lineRule="auto"/>
            </w:pPr>
            <w:r>
              <w:rPr>
                <w:rFonts w:ascii="Microsoft YaHei" w:hAnsi="Microsoft YaHei" w:eastAsia="Microsoft YaHei"/>
                <w:b w:val="0"/>
                <w:color w:val="19212A"/>
                <w:sz w:val="14"/>
              </w:rPr>
              <w:t>-14.5%</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$1.74m</w:t>
            </w:r>
          </w:p>
        </w:tc>
        <w:tc>
          <w:tcPr>
            <w:tcW w:type="dxa" w:w="2131"/>
            <w:vAlign w:val="center"/>
          </w:tcPr>
          <w:p>
            <w:pPr>
              <w:spacing w:after="0" w:line="240" w:lineRule="auto"/>
            </w:pPr>
            <w:r>
              <w:rPr>
                <w:rFonts w:ascii="Microsoft YaHei" w:hAnsi="Microsoft YaHei" w:eastAsia="Microsoft YaHei"/>
                <w:b w:val="0"/>
                <w:color w:val="19212A"/>
                <w:sz w:val="14"/>
              </w:rPr>
              <w:t>$1.28m</w:t>
            </w:r>
          </w:p>
        </w:tc>
        <w:tc>
          <w:tcPr>
            <w:tcW w:type="dxa" w:w="2131"/>
            <w:vAlign w:val="center"/>
          </w:tcPr>
          <w:p>
            <w:pPr>
              <w:spacing w:after="0" w:line="240" w:lineRule="auto"/>
            </w:pPr>
            <w:r>
              <w:rPr>
                <w:rFonts w:ascii="Microsoft YaHei" w:hAnsi="Microsoft YaHei" w:eastAsia="Microsoft YaHei"/>
                <w:b w:val="0"/>
                <w:color w:val="19212A"/>
                <w:sz w:val="14"/>
              </w:rPr>
              <w:t>+15.4%</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-0.27%</w:t>
            </w:r>
          </w:p>
        </w:tc>
        <w:tc>
          <w:tcPr>
            <w:tcW w:type="dxa" w:w="1522"/>
            <w:vAlign w:val="center"/>
          </w:tcPr>
          <w:p>
            <w:pPr>
              <w:spacing w:after="0" w:line="240" w:lineRule="auto"/>
            </w:pPr>
            <w:r>
              <w:rPr>
                <w:rFonts w:ascii="Microsoft YaHei" w:hAnsi="Microsoft YaHei" w:eastAsia="Microsoft YaHei"/>
                <w:b w:val="0"/>
                <w:color w:val="19212A"/>
                <w:sz w:val="13"/>
              </w:rPr>
              <w:t>+0.0081%</w:t>
            </w:r>
          </w:p>
        </w:tc>
        <w:tc>
          <w:tcPr>
            <w:tcW w:type="dxa" w:w="1522"/>
            <w:vAlign w:val="center"/>
          </w:tcPr>
          <w:p>
            <w:pPr>
              <w:spacing w:after="0" w:line="240" w:lineRule="auto"/>
            </w:pPr>
            <w:r>
              <w:rPr>
                <w:rFonts w:ascii="Microsoft YaHei" w:hAnsi="Microsoft YaHei" w:eastAsia="Microsoft YaHei"/>
                <w:b w:val="0"/>
                <w:color w:val="19212A"/>
                <w:sz w:val="13"/>
              </w:rPr>
              <w:t>$2.40bn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0.045/0.045/0.045</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-0.32%</w:t>
            </w:r>
          </w:p>
        </w:tc>
        <w:tc>
          <w:tcPr>
            <w:tcW w:type="dxa" w:w="1522"/>
            <w:vAlign w:val="center"/>
            <w:shd w:fill="EAF2F8"/>
          </w:tcPr>
          <w:p>
            <w:pPr>
              <w:spacing w:after="0" w:line="240" w:lineRule="auto"/>
            </w:pPr>
            <w:r>
              <w:rPr>
                <w:rFonts w:ascii="Microsoft YaHei" w:hAnsi="Microsoft YaHei" w:eastAsia="Microsoft YaHei"/>
                <w:b w:val="0"/>
                <w:color w:val="19212A"/>
                <w:sz w:val="13"/>
              </w:rPr>
              <w:t>+0.0039%</w:t>
            </w:r>
          </w:p>
        </w:tc>
        <w:tc>
          <w:tcPr>
            <w:tcW w:type="dxa" w:w="1522"/>
            <w:vAlign w:val="center"/>
            <w:shd w:fill="EAF2F8"/>
          </w:tcPr>
          <w:p>
            <w:pPr>
              <w:spacing w:after="0" w:line="240" w:lineRule="auto"/>
            </w:pPr>
            <w:r>
              <w:rPr>
                <w:rFonts w:ascii="Microsoft YaHei" w:hAnsi="Microsoft YaHei" w:eastAsia="Microsoft YaHei"/>
                <w:b w:val="0"/>
                <w:color w:val="19212A"/>
                <w:sz w:val="13"/>
              </w:rPr>
              <w:t>$1.41bn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0.348/0.348/0.348</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-0.10%</w:t>
            </w:r>
          </w:p>
        </w:tc>
        <w:tc>
          <w:tcPr>
            <w:tcW w:type="dxa" w:w="1522"/>
            <w:vAlign w:val="center"/>
          </w:tcPr>
          <w:p>
            <w:pPr>
              <w:spacing w:after="0" w:line="240" w:lineRule="auto"/>
            </w:pPr>
            <w:r>
              <w:rPr>
                <w:rFonts w:ascii="Microsoft YaHei" w:hAnsi="Microsoft YaHei" w:eastAsia="Microsoft YaHei"/>
                <w:b w:val="0"/>
                <w:color w:val="19212A"/>
                <w:sz w:val="13"/>
              </w:rPr>
              <w:t>+0.0023%</w:t>
            </w:r>
          </w:p>
        </w:tc>
        <w:tc>
          <w:tcPr>
            <w:tcW w:type="dxa" w:w="1522"/>
            <w:vAlign w:val="center"/>
          </w:tcPr>
          <w:p>
            <w:pPr>
              <w:spacing w:after="0" w:line="240" w:lineRule="auto"/>
            </w:pPr>
            <w:r>
              <w:rPr>
                <w:rFonts w:ascii="Microsoft YaHei" w:hAnsi="Microsoft YaHei" w:eastAsia="Microsoft YaHei"/>
                <w:b w:val="0"/>
                <w:color w:val="19212A"/>
                <w:sz w:val="13"/>
              </w:rPr>
              <w:t>$0.30bn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17.883/17.883/17.883</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0.27%、OI 增加 0.00%，最近三小时 Taker 为 0.045、0.045、0.045：价格与OI同步增加更像反弹中的杠杆回补，但末端 Taker 尚未稳定站上1.10，不能直接当成趋势反转。ETH 24小时下跌 0.32%、OI 增加 0.00%；SOL 24小时下跌 0.10%、OI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1.21</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0.50</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0.54</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1.21；ETH 全期限 0.50、近月 0.54。本轮只取得期权持仓结构，没有稳定的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80,711</w:t>
            </w:r>
          </w:p>
        </w:tc>
        <w:tc>
          <w:tcPr>
            <w:tcW w:type="dxa" w:w="1522"/>
            <w:vAlign w:val="center"/>
          </w:tcPr>
          <w:p>
            <w:pPr>
              <w:spacing w:after="0" w:line="240" w:lineRule="auto"/>
            </w:pPr>
            <w:r>
              <w:rPr>
                <w:rFonts w:ascii="Microsoft YaHei" w:hAnsi="Microsoft YaHei" w:eastAsia="Microsoft YaHei"/>
                <w:b w:val="0"/>
                <w:color w:val="19212A"/>
                <w:sz w:val="12"/>
              </w:rPr>
              <w:t>81,666</w:t>
            </w:r>
          </w:p>
        </w:tc>
        <w:tc>
          <w:tcPr>
            <w:tcW w:type="dxa" w:w="1522"/>
            <w:vAlign w:val="center"/>
          </w:tcPr>
          <w:p>
            <w:pPr>
              <w:spacing w:after="0" w:line="240" w:lineRule="auto"/>
            </w:pPr>
            <w:r>
              <w:rPr>
                <w:rFonts w:ascii="Microsoft YaHei" w:hAnsi="Microsoft YaHei" w:eastAsia="Microsoft YaHei"/>
                <w:b w:val="0"/>
                <w:color w:val="19212A"/>
                <w:sz w:val="12"/>
              </w:rPr>
              <w:t>84,733</w:t>
            </w:r>
          </w:p>
        </w:tc>
        <w:tc>
          <w:tcPr>
            <w:tcW w:type="dxa" w:w="1522"/>
            <w:vAlign w:val="center"/>
          </w:tcPr>
          <w:p>
            <w:pPr>
              <w:spacing w:after="0" w:line="240" w:lineRule="auto"/>
            </w:pPr>
            <w:r>
              <w:rPr>
                <w:rFonts w:ascii="Microsoft YaHei" w:hAnsi="Microsoft YaHei" w:eastAsia="Microsoft YaHei"/>
                <w:b w:val="0"/>
                <w:color w:val="19212A"/>
                <w:sz w:val="12"/>
              </w:rPr>
              <w:t>80,711 / 80,211 / 80,711</w:t>
            </w:r>
          </w:p>
        </w:tc>
        <w:tc>
          <w:tcPr>
            <w:tcW w:type="dxa" w:w="1522"/>
            <w:vAlign w:val="center"/>
          </w:tcPr>
          <w:p>
            <w:pPr>
              <w:spacing w:after="0" w:line="240" w:lineRule="auto"/>
            </w:pPr>
            <w:r>
              <w:rPr>
                <w:rFonts w:ascii="Microsoft YaHei" w:hAnsi="Microsoft YaHei" w:eastAsia="Microsoft YaHei"/>
                <w:b w:val="0"/>
                <w:color w:val="19212A"/>
                <w:sz w:val="12"/>
              </w:rPr>
              <w:t>84,733 / 85,233 / 84,733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2,336</w:t>
            </w:r>
          </w:p>
        </w:tc>
        <w:tc>
          <w:tcPr>
            <w:tcW w:type="dxa" w:w="1522"/>
            <w:vAlign w:val="center"/>
            <w:shd w:fill="EAF2F8"/>
          </w:tcPr>
          <w:p>
            <w:pPr>
              <w:spacing w:after="0" w:line="240" w:lineRule="auto"/>
            </w:pPr>
            <w:r>
              <w:rPr>
                <w:rFonts w:ascii="Microsoft YaHei" w:hAnsi="Microsoft YaHei" w:eastAsia="Microsoft YaHei"/>
                <w:b w:val="0"/>
                <w:color w:val="19212A"/>
                <w:sz w:val="12"/>
              </w:rPr>
              <w:t>2,401</w:t>
            </w:r>
          </w:p>
        </w:tc>
        <w:tc>
          <w:tcPr>
            <w:tcW w:type="dxa" w:w="1522"/>
            <w:vAlign w:val="center"/>
            <w:shd w:fill="EAF2F8"/>
          </w:tcPr>
          <w:p>
            <w:pPr>
              <w:spacing w:after="0" w:line="240" w:lineRule="auto"/>
            </w:pPr>
            <w:r>
              <w:rPr>
                <w:rFonts w:ascii="Microsoft YaHei" w:hAnsi="Microsoft YaHei" w:eastAsia="Microsoft YaHei"/>
                <w:b w:val="0"/>
                <w:color w:val="19212A"/>
                <w:sz w:val="12"/>
              </w:rPr>
              <w:t>2,414</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101.46</w:t>
            </w:r>
          </w:p>
        </w:tc>
        <w:tc>
          <w:tcPr>
            <w:tcW w:type="dxa" w:w="1522"/>
            <w:vAlign w:val="center"/>
          </w:tcPr>
          <w:p>
            <w:pPr>
              <w:spacing w:after="0" w:line="240" w:lineRule="auto"/>
            </w:pPr>
            <w:r>
              <w:rPr>
                <w:rFonts w:ascii="Microsoft YaHei" w:hAnsi="Microsoft YaHei" w:eastAsia="Microsoft YaHei"/>
                <w:b w:val="0"/>
                <w:color w:val="19212A"/>
                <w:sz w:val="12"/>
              </w:rPr>
              <w:t>104.46</w:t>
            </w:r>
          </w:p>
        </w:tc>
        <w:tc>
          <w:tcPr>
            <w:tcW w:type="dxa" w:w="1522"/>
            <w:vAlign w:val="center"/>
          </w:tcPr>
          <w:p>
            <w:pPr>
              <w:spacing w:after="0" w:line="240" w:lineRule="auto"/>
            </w:pPr>
            <w:r>
              <w:rPr>
                <w:rFonts w:ascii="Microsoft YaHei" w:hAnsi="Microsoft YaHei" w:eastAsia="Microsoft YaHei"/>
                <w:b w:val="0"/>
                <w:color w:val="19212A"/>
                <w:sz w:val="12"/>
              </w:rPr>
              <w:t>108.16</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8.8042</w:t>
            </w:r>
          </w:p>
        </w:tc>
        <w:tc>
          <w:tcPr>
            <w:tcW w:type="dxa" w:w="1522"/>
            <w:vAlign w:val="center"/>
            <w:shd w:fill="EAF2F8"/>
          </w:tcPr>
          <w:p>
            <w:pPr>
              <w:spacing w:after="0" w:line="240" w:lineRule="auto"/>
            </w:pPr>
            <w:r>
              <w:rPr>
                <w:rFonts w:ascii="Microsoft YaHei" w:hAnsi="Microsoft YaHei" w:eastAsia="Microsoft YaHei"/>
                <w:b w:val="0"/>
                <w:color w:val="19212A"/>
                <w:sz w:val="12"/>
              </w:rPr>
              <w:t>9.1172</w:t>
            </w:r>
          </w:p>
        </w:tc>
        <w:tc>
          <w:tcPr>
            <w:tcW w:type="dxa" w:w="1522"/>
            <w:vAlign w:val="center"/>
            <w:shd w:fill="EAF2F8"/>
          </w:tcPr>
          <w:p>
            <w:pPr>
              <w:spacing w:after="0" w:line="240" w:lineRule="auto"/>
            </w:pPr>
            <w:r>
              <w:rPr>
                <w:rFonts w:ascii="Microsoft YaHei" w:hAnsi="Microsoft YaHei" w:eastAsia="Microsoft YaHei"/>
                <w:b w:val="0"/>
                <w:color w:val="19212A"/>
                <w:sz w:val="12"/>
              </w:rPr>
              <w:t>9.2575</w:t>
            </w:r>
          </w:p>
        </w:tc>
        <w:tc>
          <w:tcPr>
            <w:tcW w:type="dxa" w:w="1522"/>
            <w:vAlign w:val="center"/>
            <w:shd w:fill="EAF2F8"/>
          </w:tcPr>
          <w:p>
            <w:pPr>
              <w:spacing w:after="0" w:line="240" w:lineRule="auto"/>
            </w:pPr>
            <w:r>
              <w:rPr>
                <w:rFonts w:ascii="Microsoft YaHei" w:hAnsi="Microsoft YaHei" w:eastAsia="Microsoft YaHei"/>
                <w:b w:val="0"/>
                <w:color w:val="19212A"/>
                <w:sz w:val="12"/>
              </w:rPr>
              <w:t>8.7370 / 8.8042</w:t>
            </w:r>
          </w:p>
        </w:tc>
        <w:tc>
          <w:tcPr>
            <w:tcW w:type="dxa" w:w="1522"/>
            <w:vAlign w:val="center"/>
            <w:shd w:fill="EAF2F8"/>
          </w:tcPr>
          <w:p>
            <w:pPr>
              <w:spacing w:after="0" w:line="240" w:lineRule="auto"/>
            </w:pPr>
            <w:r>
              <w:rPr>
                <w:rFonts w:ascii="Microsoft YaHei" w:hAnsi="Microsoft YaHei" w:eastAsia="Microsoft YaHei"/>
                <w:b w:val="0"/>
                <w:color w:val="19212A"/>
                <w:sz w:val="12"/>
              </w:rPr>
              <w:t>9.2575 / 9.0210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1.2702</w:t>
            </w:r>
          </w:p>
        </w:tc>
        <w:tc>
          <w:tcPr>
            <w:tcW w:type="dxa" w:w="1522"/>
            <w:vAlign w:val="center"/>
          </w:tcPr>
          <w:p>
            <w:pPr>
              <w:spacing w:after="0" w:line="240" w:lineRule="auto"/>
            </w:pPr>
            <w:r>
              <w:rPr>
                <w:rFonts w:ascii="Microsoft YaHei" w:hAnsi="Microsoft YaHei" w:eastAsia="Microsoft YaHei"/>
                <w:b w:val="0"/>
                <w:color w:val="19212A"/>
                <w:sz w:val="12"/>
              </w:rPr>
              <w:t>1.3199</w:t>
            </w:r>
          </w:p>
        </w:tc>
        <w:tc>
          <w:tcPr>
            <w:tcW w:type="dxa" w:w="1522"/>
            <w:vAlign w:val="center"/>
          </w:tcPr>
          <w:p>
            <w:pPr>
              <w:spacing w:after="0" w:line="240" w:lineRule="auto"/>
            </w:pPr>
            <w:r>
              <w:rPr>
                <w:rFonts w:ascii="Microsoft YaHei" w:hAnsi="Microsoft YaHei" w:eastAsia="Microsoft YaHei"/>
                <w:b w:val="0"/>
                <w:color w:val="19212A"/>
                <w:sz w:val="12"/>
              </w:rPr>
              <w:t>1.3260</w:t>
            </w:r>
          </w:p>
        </w:tc>
        <w:tc>
          <w:tcPr>
            <w:tcW w:type="dxa" w:w="1522"/>
            <w:vAlign w:val="center"/>
          </w:tcPr>
          <w:p>
            <w:pPr>
              <w:spacing w:after="0" w:line="240" w:lineRule="auto"/>
            </w:pPr>
            <w:r>
              <w:rPr>
                <w:rFonts w:ascii="Microsoft YaHei" w:hAnsi="Microsoft YaHei" w:eastAsia="Microsoft YaHei"/>
                <w:b w:val="0"/>
                <w:color w:val="19212A"/>
                <w:sz w:val="12"/>
              </w:rPr>
              <w:t>1.2884 / 1.2702</w:t>
            </w:r>
          </w:p>
        </w:tc>
        <w:tc>
          <w:tcPr>
            <w:tcW w:type="dxa" w:w="1522"/>
            <w:vAlign w:val="center"/>
          </w:tcPr>
          <w:p>
            <w:pPr>
              <w:spacing w:after="0" w:line="240" w:lineRule="auto"/>
            </w:pPr>
            <w:r>
              <w:rPr>
                <w:rFonts w:ascii="Microsoft YaHei" w:hAnsi="Microsoft YaHei" w:eastAsia="Microsoft YaHei"/>
                <w:b w:val="0"/>
                <w:color w:val="19212A"/>
                <w:sz w:val="12"/>
              </w:rPr>
              <w:t>1.3260 / 1.3153</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80,711 与 VAH 84,733 之间、靠近 POC 81,666，说明价格在正常成交区中部，不自动等于多头或空头；下沿扫低收回才有多头条件，上沿 84,633-84,813 失败才有空头条件。AVAX 的 POC 约 9.1172、XRP 的 POC 约 1.3199，只代表这五天成交最密集处。真实全网清算热力图本轮未取得，图中上下方数字只是止损/流动性代理，不代表真实清算金额。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-0.27%</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-0.32%</w:t>
            </w:r>
          </w:p>
        </w:tc>
        <w:tc>
          <w:tcPr>
            <w:tcW w:type="dxa" w:w="2131"/>
            <w:vAlign w:val="center"/>
            <w:shd w:fill="EAF2F8"/>
          </w:tcPr>
          <w:p>
            <w:pPr>
              <w:spacing w:after="0" w:line="240" w:lineRule="auto"/>
            </w:pPr>
            <w:r>
              <w:rPr>
                <w:rFonts w:ascii="Microsoft YaHei" w:hAnsi="Microsoft YaHei" w:eastAsia="Microsoft YaHei"/>
                <w:b w:val="0"/>
                <w:color w:val="19212A"/>
                <w:sz w:val="14"/>
              </w:rPr>
              <w:t>ETH/BTC -0.28%</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-0.10% / +0.08% / +0.39%</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-0.74% / +0.39% / -0.17%</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+0.35pp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+0.08%；OI +0.00%；Funding +0.0067%；Taker 0.924</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+0.65pp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+0.39%；OI +0.00%；Funding +0.0076%；Taker 0.718</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+0.35pp</w:t>
            </w:r>
          </w:p>
        </w:tc>
        <w:tc>
          <w:tcPr>
            <w:tcW w:type="dxa" w:w="2664"/>
            <w:vAlign w:val="center"/>
          </w:tcPr>
          <w:p>
            <w:pPr>
              <w:spacing w:after="0" w:line="240" w:lineRule="auto"/>
            </w:pPr>
            <w:r>
              <w:rPr>
                <w:rFonts w:ascii="Microsoft YaHei" w:hAnsi="Microsoft YaHei" w:eastAsia="Microsoft YaHei"/>
                <w:b w:val="0"/>
                <w:color w:val="19212A"/>
                <w:sz w:val="14"/>
              </w:rPr>
              <w:t>+0.65pp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0.924</w:t>
            </w:r>
          </w:p>
        </w:tc>
        <w:tc>
          <w:tcPr>
            <w:tcW w:type="dxa" w:w="2664"/>
            <w:vAlign w:val="center"/>
          </w:tcPr>
          <w:p>
            <w:pPr>
              <w:spacing w:after="0" w:line="240" w:lineRule="auto"/>
            </w:pPr>
            <w:r>
              <w:rPr>
                <w:rFonts w:ascii="Microsoft YaHei" w:hAnsi="Microsoft YaHei" w:eastAsia="Microsoft YaHei"/>
                <w:b w:val="0"/>
                <w:color w:val="19212A"/>
                <w:sz w:val="14"/>
              </w:rPr>
              <w:t>OI +0.00%，Taker 0.718</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S1/S2c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conference（2026-10-28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84,633-84,813是否触达；15m/30m能否冲高失败、跌回VAH 84,733下方并形成LH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84,633-84,813是否触达；反弹后能否重新跌回VAL下方并形成LH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OI增加后是否继续；Taker能否从0.045回落并再次转弱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80,711 后收回形成 HL，或上沿 84,633-84,813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2026-10-26T07:06:51.913285+08:00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2026-10-26T07:06:51.913285+08:00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2026-10-26 07:06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2026-10-26T07:06:51.913285+08:00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2026-10-26T07:06:51.913285+08:00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2026-10-26T07:06:51.913285+08:00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2026-10-26T07:06:51.913285+08:00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2026-10-26</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2026-10-26T07:06:51.913285+08:00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2026-10-26</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2026-10-26</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2026-10-26T07:06:51.913285+08:00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2026-10-26</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- 2026-10-26</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