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2026-10-13 | 市场快照 22:41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2026-10-13T22:41:08.598816+08:00 的 Binance 同轮行情、衍生品、Deribit 期权、Binance/OKX 现货成交带与盘口快照；ETF BTC 最新公开值到 2026-10-07，ETH/SOL 当日值未完整取得，宏观、催化剂与大佬观点核验截止 2026-10-13 22:41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83,657 位于 POC 81,532 上方、接近价值区上半部，不直接追多或追空；今天下沿多头路径因 POC 过近、TP1 净R:R不足而 INVALID，不执行。唯一保留的条件路径是上方 83,434-83,614 冲高受阻后做空。条件卡有效至 2026-10-13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4H区间 / 现价位于价值区中上部</w:t>
            </w:r>
          </w:p>
        </w:tc>
        <w:tc>
          <w:tcPr>
            <w:tcW w:type="dxa" w:w="2131"/>
            <w:vAlign w:val="center"/>
          </w:tcPr>
          <w:p>
            <w:pPr>
              <w:spacing w:after="0" w:line="240" w:lineRule="auto"/>
            </w:pPr>
            <w:r>
              <w:rPr>
                <w:rFonts w:ascii="Microsoft YaHei" w:hAnsi="Microsoft YaHei" w:eastAsia="Microsoft YaHei"/>
                <w:b w:val="0"/>
                <w:color w:val="19212A"/>
                <w:sz w:val="14"/>
              </w:rPr>
              <w:t>下沿多头 INVALID（POC过近）；只保留上沿 83,434-83,614 受阻做空</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81,430-83,534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2,462 收回与 EMA20 2,518，无独立交易卡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2,518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107.96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EMA20 109.53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的4H是区间，ETH/SOL处于过渡，因此当前更准确的描述是‘中线震荡、短线偏弱’，还不是确认的大级别牛市或熊市。今天下沿多头因第一阻力过近而取消，只保留上沿受阻空头条件。</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多（S1/S5）INVALID</w:t>
            </w:r>
          </w:p>
        </w:tc>
        <w:tc>
          <w:tcPr>
            <w:tcW w:type="dxa" w:w="1332"/>
            <w:vAlign w:val="center"/>
          </w:tcPr>
          <w:p>
            <w:pPr>
              <w:spacing w:after="0" w:line="240" w:lineRule="auto"/>
            </w:pPr>
            <w:r>
              <w:rPr>
                <w:rFonts w:ascii="Microsoft YaHei" w:hAnsi="Microsoft YaHei" w:eastAsia="Microsoft YaHei"/>
                <w:b w:val="0"/>
                <w:color w:val="19212A"/>
                <w:sz w:val="12"/>
              </w:rPr>
              <w:t>下沿 81,330-81,480 即使扫低收回也不执行：POC 81,532 距离过近，TP1净R:R不足</w:t>
            </w:r>
          </w:p>
        </w:tc>
        <w:tc>
          <w:tcPr>
            <w:tcW w:type="dxa" w:w="1332"/>
            <w:vAlign w:val="center"/>
          </w:tcPr>
          <w:p>
            <w:pPr>
              <w:spacing w:after="0" w:line="240" w:lineRule="auto"/>
            </w:pPr>
            <w:r>
              <w:rPr>
                <w:rFonts w:ascii="Microsoft YaHei" w:hAnsi="Microsoft YaHei" w:eastAsia="Microsoft YaHei"/>
                <w:b w:val="0"/>
                <w:color w:val="19212A"/>
                <w:sz w:val="12"/>
              </w:rPr>
              <w:t>81,330-81,480 / 81,480</w:t>
            </w:r>
          </w:p>
        </w:tc>
        <w:tc>
          <w:tcPr>
            <w:tcW w:type="dxa" w:w="1332"/>
            <w:vAlign w:val="center"/>
          </w:tcPr>
          <w:p>
            <w:pPr>
              <w:spacing w:after="0" w:line="240" w:lineRule="auto"/>
            </w:pPr>
            <w:r>
              <w:rPr>
                <w:rFonts w:ascii="Microsoft YaHei" w:hAnsi="Microsoft YaHei" w:eastAsia="Microsoft YaHei"/>
                <w:b w:val="0"/>
                <w:color w:val="19212A"/>
                <w:sz w:val="12"/>
              </w:rPr>
              <w:t>80,930</w:t>
            </w:r>
          </w:p>
        </w:tc>
        <w:tc>
          <w:tcPr>
            <w:tcW w:type="dxa" w:w="1332"/>
            <w:vAlign w:val="center"/>
          </w:tcPr>
          <w:p>
            <w:pPr>
              <w:spacing w:after="0" w:line="240" w:lineRule="auto"/>
            </w:pPr>
            <w:r>
              <w:rPr>
                <w:rFonts w:ascii="Microsoft YaHei" w:hAnsi="Microsoft YaHei" w:eastAsia="Microsoft YaHei"/>
                <w:b w:val="0"/>
                <w:color w:val="19212A"/>
                <w:sz w:val="12"/>
              </w:rPr>
              <w:t>81,532 / 83,534</w:t>
            </w:r>
          </w:p>
        </w:tc>
        <w:tc>
          <w:tcPr>
            <w:tcW w:type="dxa" w:w="1332"/>
            <w:vAlign w:val="center"/>
          </w:tcPr>
          <w:p>
            <w:pPr>
              <w:spacing w:after="0" w:line="240" w:lineRule="auto"/>
            </w:pPr>
            <w:r>
              <w:rPr>
                <w:rFonts w:ascii="Microsoft YaHei" w:hAnsi="Microsoft YaHei" w:eastAsia="Microsoft YaHei"/>
                <w:b w:val="0"/>
                <w:color w:val="19212A"/>
                <w:sz w:val="12"/>
              </w:rPr>
              <w:t>TP1 1:-0.07；加权 1:1.78</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空（S5上沿受阻回落）</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83,434-83,614，15m/30m出现冲高失败、LH并重新跌回 VAH 83,534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83,434-83,614 / 83,614</w:t>
            </w:r>
          </w:p>
        </w:tc>
        <w:tc>
          <w:tcPr>
            <w:tcW w:type="dxa" w:w="1332"/>
            <w:vAlign w:val="center"/>
            <w:shd w:fill="EAF2F8"/>
          </w:tcPr>
          <w:p>
            <w:pPr>
              <w:spacing w:after="0" w:line="240" w:lineRule="auto"/>
            </w:pPr>
            <w:r>
              <w:rPr>
                <w:rFonts w:ascii="Microsoft YaHei" w:hAnsi="Microsoft YaHei" w:eastAsia="Microsoft YaHei"/>
                <w:b w:val="0"/>
                <w:color w:val="19212A"/>
                <w:sz w:val="12"/>
              </w:rPr>
              <w:t>84,034</w:t>
            </w:r>
          </w:p>
        </w:tc>
        <w:tc>
          <w:tcPr>
            <w:tcW w:type="dxa" w:w="1332"/>
            <w:vAlign w:val="center"/>
            <w:shd w:fill="EAF2F8"/>
          </w:tcPr>
          <w:p>
            <w:pPr>
              <w:spacing w:after="0" w:line="240" w:lineRule="auto"/>
            </w:pPr>
            <w:r>
              <w:rPr>
                <w:rFonts w:ascii="Microsoft YaHei" w:hAnsi="Microsoft YaHei" w:eastAsia="Microsoft YaHei"/>
                <w:b w:val="0"/>
                <w:color w:val="19212A"/>
                <w:sz w:val="12"/>
              </w:rPr>
              <w:t>81,532 / 81,430</w:t>
            </w:r>
          </w:p>
        </w:tc>
        <w:tc>
          <w:tcPr>
            <w:tcW w:type="dxa" w:w="1332"/>
            <w:vAlign w:val="center"/>
            <w:shd w:fill="EAF2F8"/>
          </w:tcPr>
          <w:p>
            <w:pPr>
              <w:spacing w:after="0" w:line="240" w:lineRule="auto"/>
            </w:pPr>
            <w:r>
              <w:rPr>
                <w:rFonts w:ascii="Microsoft YaHei" w:hAnsi="Microsoft YaHei" w:eastAsia="Microsoft YaHei"/>
                <w:b w:val="0"/>
                <w:color w:val="19212A"/>
                <w:sz w:val="12"/>
              </w:rPr>
              <w:t>TP1 1:3.81；加权 1:3.93</w:t>
            </w:r>
          </w:p>
        </w:tc>
        <w:tc>
          <w:tcPr>
            <w:tcW w:type="dxa" w:w="1332"/>
            <w:vAlign w:val="center"/>
            <w:shd w:fill="EAF2F8"/>
          </w:tcPr>
          <w:p>
            <w:pPr>
              <w:spacing w:after="0" w:line="240" w:lineRule="auto"/>
            </w:pPr>
            <w:r>
              <w:rPr>
                <w:rFonts w:ascii="Microsoft YaHei" w:hAnsi="Microsoft YaHei" w:eastAsia="Microsoft YaHei"/>
                <w:b w:val="0"/>
                <w:color w:val="19212A"/>
                <w:sz w:val="12"/>
              </w:rPr>
              <w:t>2026-10-13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当前在 POC 81,532 附近，POC 可以理解为最近成交最拥挤的中轴，不是追单位置。今天下沿多头卡因第一阻力过近被取消；只有上方 83,434-83,614 冲高失败、跌回 VAH 下方并形成 LH，才考虑做空。每张有效卡最多0.10%账户风险，只是亏损上限，不是必须用满的目标仓位。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82,002-84,670</w:t>
            </w:r>
          </w:p>
        </w:tc>
        <w:tc>
          <w:tcPr>
            <w:tcW w:type="dxa" w:w="1332"/>
            <w:vAlign w:val="center"/>
          </w:tcPr>
          <w:p>
            <w:pPr>
              <w:spacing w:after="0" w:line="240" w:lineRule="auto"/>
            </w:pPr>
            <w:r>
              <w:rPr>
                <w:rFonts w:ascii="Microsoft YaHei" w:hAnsi="Microsoft YaHei" w:eastAsia="Microsoft YaHei"/>
                <w:b w:val="0"/>
                <w:color w:val="19212A"/>
                <w:sz w:val="13"/>
              </w:rPr>
              <w:t>81,098-82,883</w:t>
            </w:r>
          </w:p>
        </w:tc>
        <w:tc>
          <w:tcPr>
            <w:tcW w:type="dxa" w:w="1332"/>
            <w:vAlign w:val="center"/>
          </w:tcPr>
          <w:p>
            <w:pPr>
              <w:spacing w:after="0" w:line="240" w:lineRule="auto"/>
            </w:pPr>
            <w:r>
              <w:rPr>
                <w:rFonts w:ascii="Microsoft YaHei" w:hAnsi="Microsoft YaHei" w:eastAsia="Microsoft YaHei"/>
                <w:b w:val="0"/>
                <w:color w:val="19212A"/>
                <w:sz w:val="13"/>
              </w:rPr>
              <w:t>83,738-85,078</w:t>
            </w:r>
          </w:p>
        </w:tc>
        <w:tc>
          <w:tcPr>
            <w:tcW w:type="dxa" w:w="1332"/>
            <w:vAlign w:val="center"/>
          </w:tcPr>
          <w:p>
            <w:pPr>
              <w:spacing w:after="0" w:line="240" w:lineRule="auto"/>
            </w:pPr>
            <w:r>
              <w:rPr>
                <w:rFonts w:ascii="Microsoft YaHei" w:hAnsi="Microsoft YaHei" w:eastAsia="Microsoft YaHei"/>
                <w:b w:val="0"/>
                <w:color w:val="19212A"/>
                <w:sz w:val="13"/>
              </w:rPr>
              <w:t>35.3% / 30.8% / 33.9%</w:t>
            </w:r>
          </w:p>
        </w:tc>
        <w:tc>
          <w:tcPr>
            <w:tcW w:type="dxa" w:w="1332"/>
            <w:vAlign w:val="center"/>
          </w:tcPr>
          <w:p>
            <w:pPr>
              <w:spacing w:after="0" w:line="240" w:lineRule="auto"/>
            </w:pPr>
            <w:r>
              <w:rPr>
                <w:rFonts w:ascii="Microsoft YaHei" w:hAnsi="Microsoft YaHei" w:eastAsia="Microsoft YaHei"/>
                <w:b w:val="0"/>
                <w:color w:val="19212A"/>
                <w:sz w:val="13"/>
              </w:rPr>
              <w:t>7.3%</w:t>
            </w:r>
          </w:p>
        </w:tc>
        <w:tc>
          <w:tcPr>
            <w:tcW w:type="dxa" w:w="1332"/>
            <w:vAlign w:val="center"/>
          </w:tcPr>
          <w:p>
            <w:pPr>
              <w:spacing w:after="0" w:line="240" w:lineRule="auto"/>
            </w:pPr>
            <w:r>
              <w:rPr>
                <w:rFonts w:ascii="Microsoft YaHei" w:hAnsi="Microsoft YaHei" w:eastAsia="Microsoft YaHei"/>
                <w:b w:val="0"/>
                <w:color w:val="19212A"/>
                <w:sz w:val="13"/>
              </w:rPr>
              <w:t>117.2</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81,046-85,668</w:t>
            </w:r>
          </w:p>
        </w:tc>
        <w:tc>
          <w:tcPr>
            <w:tcW w:type="dxa" w:w="1332"/>
            <w:vAlign w:val="center"/>
            <w:shd w:fill="EAF2F8"/>
          </w:tcPr>
          <w:p>
            <w:pPr>
              <w:spacing w:after="0" w:line="240" w:lineRule="auto"/>
            </w:pPr>
            <w:r>
              <w:rPr>
                <w:rFonts w:ascii="Microsoft YaHei" w:hAnsi="Microsoft YaHei" w:eastAsia="Microsoft YaHei"/>
                <w:b w:val="0"/>
                <w:color w:val="19212A"/>
                <w:sz w:val="13"/>
              </w:rPr>
              <w:t>79,821-82,580</w:t>
            </w:r>
          </w:p>
        </w:tc>
        <w:tc>
          <w:tcPr>
            <w:tcW w:type="dxa" w:w="1332"/>
            <w:vAlign w:val="center"/>
            <w:shd w:fill="EAF2F8"/>
          </w:tcPr>
          <w:p>
            <w:pPr>
              <w:spacing w:after="0" w:line="240" w:lineRule="auto"/>
            </w:pPr>
            <w:r>
              <w:rPr>
                <w:rFonts w:ascii="Microsoft YaHei" w:hAnsi="Microsoft YaHei" w:eastAsia="Microsoft YaHei"/>
                <w:b w:val="0"/>
                <w:color w:val="19212A"/>
                <w:sz w:val="13"/>
              </w:rPr>
              <w:t>84,439-86,616</w:t>
            </w:r>
          </w:p>
        </w:tc>
        <w:tc>
          <w:tcPr>
            <w:tcW w:type="dxa" w:w="1332"/>
            <w:vAlign w:val="center"/>
            <w:shd w:fill="EAF2F8"/>
          </w:tcPr>
          <w:p>
            <w:pPr>
              <w:spacing w:after="0" w:line="240" w:lineRule="auto"/>
            </w:pPr>
            <w:r>
              <w:rPr>
                <w:rFonts w:ascii="Microsoft YaHei" w:hAnsi="Microsoft YaHei" w:eastAsia="Microsoft YaHei"/>
                <w:b w:val="0"/>
                <w:color w:val="19212A"/>
                <w:sz w:val="13"/>
              </w:rPr>
              <w:t>42.3% / 47.5% / 10.2%</w:t>
            </w:r>
          </w:p>
        </w:tc>
        <w:tc>
          <w:tcPr>
            <w:tcW w:type="dxa" w:w="1332"/>
            <w:vAlign w:val="center"/>
            <w:shd w:fill="EAF2F8"/>
          </w:tcPr>
          <w:p>
            <w:pPr>
              <w:spacing w:after="0" w:line="240" w:lineRule="auto"/>
            </w:pPr>
            <w:r>
              <w:rPr>
                <w:rFonts w:ascii="Microsoft YaHei" w:hAnsi="Microsoft YaHei" w:eastAsia="Microsoft YaHei"/>
                <w:b w:val="0"/>
                <w:color w:val="19212A"/>
                <w:sz w:val="13"/>
              </w:rPr>
              <w:t>43.9%</w:t>
            </w:r>
          </w:p>
        </w:tc>
        <w:tc>
          <w:tcPr>
            <w:tcW w:type="dxa" w:w="1332"/>
            <w:vAlign w:val="center"/>
            <w:shd w:fill="EAF2F8"/>
          </w:tcPr>
          <w:p>
            <w:pPr>
              <w:spacing w:after="0" w:line="240" w:lineRule="auto"/>
            </w:pPr>
            <w:r>
              <w:rPr>
                <w:rFonts w:ascii="Microsoft YaHei" w:hAnsi="Microsoft YaHei" w:eastAsia="Microsoft YaHei"/>
                <w:b w:val="0"/>
                <w:color w:val="19212A"/>
                <w:sz w:val="13"/>
              </w:rPr>
              <w:t>117.3</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79,869-86,931</w:t>
            </w:r>
          </w:p>
        </w:tc>
        <w:tc>
          <w:tcPr>
            <w:tcW w:type="dxa" w:w="1332"/>
            <w:vAlign w:val="center"/>
          </w:tcPr>
          <w:p>
            <w:pPr>
              <w:spacing w:after="0" w:line="240" w:lineRule="auto"/>
            </w:pPr>
            <w:r>
              <w:rPr>
                <w:rFonts w:ascii="Microsoft YaHei" w:hAnsi="Microsoft YaHei" w:eastAsia="Microsoft YaHei"/>
                <w:b w:val="0"/>
                <w:color w:val="19212A"/>
                <w:sz w:val="13"/>
              </w:rPr>
              <w:t>78,139-82,096</w:t>
            </w:r>
          </w:p>
        </w:tc>
        <w:tc>
          <w:tcPr>
            <w:tcW w:type="dxa" w:w="1332"/>
            <w:vAlign w:val="center"/>
          </w:tcPr>
          <w:p>
            <w:pPr>
              <w:spacing w:after="0" w:line="240" w:lineRule="auto"/>
            </w:pPr>
            <w:r>
              <w:rPr>
                <w:rFonts w:ascii="Microsoft YaHei" w:hAnsi="Microsoft YaHei" w:eastAsia="Microsoft YaHei"/>
                <w:b w:val="0"/>
                <w:color w:val="19212A"/>
                <w:sz w:val="13"/>
              </w:rPr>
              <w:t>84,742-88,185</w:t>
            </w:r>
          </w:p>
        </w:tc>
        <w:tc>
          <w:tcPr>
            <w:tcW w:type="dxa" w:w="1332"/>
            <w:vAlign w:val="center"/>
          </w:tcPr>
          <w:p>
            <w:pPr>
              <w:spacing w:after="0" w:line="240" w:lineRule="auto"/>
            </w:pPr>
            <w:r>
              <w:rPr>
                <w:rFonts w:ascii="Microsoft YaHei" w:hAnsi="Microsoft YaHei" w:eastAsia="Microsoft YaHei"/>
                <w:b w:val="0"/>
                <w:color w:val="19212A"/>
                <w:sz w:val="13"/>
              </w:rPr>
              <w:t>43.8% / 50.4% / 5.9%</w:t>
            </w:r>
          </w:p>
        </w:tc>
        <w:tc>
          <w:tcPr>
            <w:tcW w:type="dxa" w:w="1332"/>
            <w:vAlign w:val="center"/>
          </w:tcPr>
          <w:p>
            <w:pPr>
              <w:spacing w:after="0" w:line="240" w:lineRule="auto"/>
            </w:pPr>
            <w:r>
              <w:rPr>
                <w:rFonts w:ascii="Microsoft YaHei" w:hAnsi="Microsoft YaHei" w:eastAsia="Microsoft YaHei"/>
                <w:b w:val="0"/>
                <w:color w:val="19212A"/>
                <w:sz w:val="13"/>
              </w:rPr>
              <w:t>59.6%</w:t>
            </w:r>
          </w:p>
        </w:tc>
        <w:tc>
          <w:tcPr>
            <w:tcW w:type="dxa" w:w="1332"/>
            <w:vAlign w:val="center"/>
          </w:tcPr>
          <w:p>
            <w:pPr>
              <w:spacing w:after="0" w:line="240" w:lineRule="auto"/>
            </w:pPr>
            <w:r>
              <w:rPr>
                <w:rFonts w:ascii="Microsoft YaHei" w:hAnsi="Microsoft YaHei" w:eastAsia="Microsoft YaHei"/>
                <w:b w:val="0"/>
                <w:color w:val="19212A"/>
                <w:sz w:val="13"/>
              </w:rPr>
              <w:t>117.3</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这不是胜率。当前统计带只用于说明波动范围，不能把某一个点位当成绝对顶部。今天更重要的是观察上沿 83,434-83,614 是否冲高失败并形成LH；VAL 81,430 即使收回，也因POC过近而暂不构成多头交易条件。</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81,430 / POC 81,532 / VAH 83,534</w:t>
            </w:r>
          </w:p>
        </w:tc>
        <w:tc>
          <w:tcPr>
            <w:tcW w:type="dxa" w:w="2131"/>
            <w:vAlign w:val="center"/>
          </w:tcPr>
          <w:p>
            <w:pPr>
              <w:spacing w:after="0" w:line="240" w:lineRule="auto"/>
            </w:pPr>
            <w:r>
              <w:rPr>
                <w:rFonts w:ascii="Microsoft YaHei" w:hAnsi="Microsoft YaHei" w:eastAsia="Microsoft YaHei"/>
                <w:b w:val="0"/>
                <w:color w:val="19212A"/>
                <w:sz w:val="14"/>
              </w:rPr>
              <w:t>HTF_RANGE + RANGE_MIDDLE</w:t>
            </w:r>
          </w:p>
        </w:tc>
        <w:tc>
          <w:tcPr>
            <w:tcW w:type="dxa" w:w="2131"/>
            <w:vAlign w:val="center"/>
          </w:tcPr>
          <w:p>
            <w:pPr>
              <w:spacing w:after="0" w:line="240" w:lineRule="auto"/>
            </w:pPr>
            <w:r>
              <w:rPr>
                <w:rFonts w:ascii="Microsoft YaHei" w:hAnsi="Microsoft YaHei" w:eastAsia="Microsoft YaHei"/>
                <w:b w:val="0"/>
                <w:color w:val="19212A"/>
                <w:sz w:val="14"/>
              </w:rPr>
              <w:t>区间中部不追单；下沿多 INVALID；只等上沿受阻空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2,462 / POC 2,463 / VAH 2,544</w:t>
            </w:r>
          </w:p>
        </w:tc>
        <w:tc>
          <w:tcPr>
            <w:tcW w:type="dxa" w:w="2131"/>
            <w:vAlign w:val="center"/>
            <w:shd w:fill="EAF2F8"/>
          </w:tcPr>
          <w:p>
            <w:pPr>
              <w:spacing w:after="0" w:line="240" w:lineRule="auto"/>
            </w:pPr>
            <w:r>
              <w:rPr>
                <w:rFonts w:ascii="Microsoft YaHei" w:hAnsi="Microsoft YaHei" w:eastAsia="Microsoft YaHei"/>
                <w:b w:val="0"/>
                <w:color w:val="19212A"/>
                <w:sz w:val="14"/>
              </w:rPr>
              <w:t>HTF_RANGE + RANGE_MIDDLE</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107.96 / POC 109.73 / VAH 112.81</w:t>
            </w:r>
          </w:p>
        </w:tc>
        <w:tc>
          <w:tcPr>
            <w:tcW w:type="dxa" w:w="2131"/>
            <w:vAlign w:val="center"/>
          </w:tcPr>
          <w:p>
            <w:pPr>
              <w:spacing w:after="0" w:line="240" w:lineRule="auto"/>
            </w:pPr>
            <w:r>
              <w:rPr>
                <w:rFonts w:ascii="Microsoft YaHei" w:hAnsi="Microsoft YaHei" w:eastAsia="Microsoft YaHei"/>
                <w:b w:val="0"/>
                <w:color w:val="19212A"/>
                <w:sz w:val="14"/>
              </w:rPr>
              <w:t>HTF_TRANSITION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-0.01%；DOGE -0.20%；AVAX -2.91%</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81,532 是最近五天成交最密集的价格，可理解为短期筹码最拥挤的‘价格磁铁’；VAL 81,430 是正常震荡区下沿，VAH 83,534 是正常震荡区上沿。BTC 当前在 POC 上方、靠近价值区上半部，但仍未进入上沿执行带，不是自动做多或做空；今天下沿多头因 POC 过近而取消，只等待上沿冲高失败。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81,430后快速收回，卖压减弱并形成HL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本轮24h低点仍在 VAL 上方，尚未触达下沿扫单区</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BTC/ETH处于过渡区，不给趋势回踩卡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下沿多头 INVALID；只保留上沿 83,434-83,614 受阻做空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在 POC 81,532 上方、处于价值区中上部，不能把反弹强度当成追多信号。今天下沿多头因 POC 过近而取消，空头只等上沿 83,434-83,614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S5上沿受阻空；下沿多 INVALID</w:t>
            </w:r>
          </w:p>
        </w:tc>
        <w:tc>
          <w:tcPr>
            <w:tcW w:type="dxa" w:w="710"/>
            <w:vAlign w:val="center"/>
          </w:tcPr>
          <w:p>
            <w:pPr>
              <w:spacing w:after="0" w:line="240" w:lineRule="auto"/>
            </w:pPr>
            <w:r>
              <w:rPr>
                <w:rFonts w:ascii="Microsoft YaHei" w:hAnsi="Microsoft YaHei" w:eastAsia="Microsoft YaHei"/>
                <w:b w:val="0"/>
                <w:color w:val="19212A"/>
                <w:sz w:val="11"/>
              </w:rPr>
              <w:t>HTF_RANGE + RANGE_MIDDLE_UPPER_HALF</w:t>
            </w:r>
          </w:p>
        </w:tc>
        <w:tc>
          <w:tcPr>
            <w:tcW w:type="dxa" w:w="710"/>
            <w:vAlign w:val="center"/>
          </w:tcPr>
          <w:p>
            <w:pPr>
              <w:spacing w:after="0" w:line="240" w:lineRule="auto"/>
            </w:pPr>
            <w:r>
              <w:rPr>
                <w:rFonts w:ascii="Microsoft YaHei" w:hAnsi="Microsoft YaHei" w:eastAsia="Microsoft YaHei"/>
                <w:b w:val="0"/>
                <w:color w:val="19212A"/>
                <w:sz w:val="11"/>
              </w:rPr>
              <w:t>现价位于POC上方、接近价值区上半部；下沿第一阻力过近，只有上沿有合格位置</w:t>
            </w:r>
          </w:p>
        </w:tc>
        <w:tc>
          <w:tcPr>
            <w:tcW w:type="dxa" w:w="710"/>
            <w:vAlign w:val="center"/>
          </w:tcPr>
          <w:p>
            <w:pPr>
              <w:spacing w:after="0" w:line="240" w:lineRule="auto"/>
            </w:pPr>
            <w:r>
              <w:rPr>
                <w:rFonts w:ascii="Microsoft YaHei" w:hAnsi="Microsoft YaHei" w:eastAsia="Microsoft YaHei"/>
                <w:b w:val="0"/>
                <w:color w:val="19212A"/>
                <w:sz w:val="11"/>
              </w:rPr>
              <w:t>空：触及 VAH 83,534 后跌回；现价 83,657</w:t>
            </w:r>
          </w:p>
        </w:tc>
        <w:tc>
          <w:tcPr>
            <w:tcW w:type="dxa" w:w="710"/>
            <w:vAlign w:val="center"/>
          </w:tcPr>
          <w:p>
            <w:pPr>
              <w:spacing w:after="0" w:line="240" w:lineRule="auto"/>
            </w:pPr>
            <w:r>
              <w:rPr>
                <w:rFonts w:ascii="Microsoft YaHei" w:hAnsi="Microsoft YaHei" w:eastAsia="Microsoft YaHei"/>
                <w:b w:val="0"/>
                <w:color w:val="19212A"/>
                <w:sz w:val="11"/>
              </w:rPr>
              <w:t>空 83,554</w:t>
            </w:r>
          </w:p>
        </w:tc>
        <w:tc>
          <w:tcPr>
            <w:tcW w:type="dxa" w:w="710"/>
            <w:vAlign w:val="center"/>
          </w:tcPr>
          <w:p>
            <w:pPr>
              <w:spacing w:after="0" w:line="240" w:lineRule="auto"/>
            </w:pPr>
            <w:r>
              <w:rPr>
                <w:rFonts w:ascii="Microsoft YaHei" w:hAnsi="Microsoft YaHei" w:eastAsia="Microsoft YaHei"/>
                <w:b w:val="0"/>
                <w:color w:val="19212A"/>
                <w:sz w:val="11"/>
              </w:rPr>
              <w:t>空 83,614</w:t>
            </w:r>
          </w:p>
        </w:tc>
        <w:tc>
          <w:tcPr>
            <w:tcW w:type="dxa" w:w="710"/>
            <w:vAlign w:val="center"/>
          </w:tcPr>
          <w:p>
            <w:pPr>
              <w:spacing w:after="0" w:line="240" w:lineRule="auto"/>
            </w:pPr>
            <w:r>
              <w:rPr>
                <w:rFonts w:ascii="Microsoft YaHei" w:hAnsi="Microsoft YaHei" w:eastAsia="Microsoft YaHei"/>
                <w:b w:val="0"/>
                <w:color w:val="19212A"/>
                <w:sz w:val="11"/>
              </w:rPr>
              <w:t>空 84,034</w:t>
            </w:r>
          </w:p>
        </w:tc>
        <w:tc>
          <w:tcPr>
            <w:tcW w:type="dxa" w:w="710"/>
            <w:vAlign w:val="center"/>
          </w:tcPr>
          <w:p>
            <w:pPr>
              <w:spacing w:after="0" w:line="240" w:lineRule="auto"/>
            </w:pPr>
            <w:r>
              <w:rPr>
                <w:rFonts w:ascii="Microsoft YaHei" w:hAnsi="Microsoft YaHei" w:eastAsia="Microsoft YaHei"/>
                <w:b w:val="0"/>
                <w:color w:val="19212A"/>
                <w:sz w:val="11"/>
              </w:rPr>
              <w:t>空看 POC 81,532</w:t>
            </w:r>
          </w:p>
        </w:tc>
        <w:tc>
          <w:tcPr>
            <w:tcW w:type="dxa" w:w="710"/>
            <w:vAlign w:val="center"/>
          </w:tcPr>
          <w:p>
            <w:pPr>
              <w:spacing w:after="0" w:line="240" w:lineRule="auto"/>
            </w:pPr>
            <w:r>
              <w:rPr>
                <w:rFonts w:ascii="Microsoft YaHei" w:hAnsi="Microsoft YaHei" w:eastAsia="Microsoft YaHei"/>
                <w:b w:val="0"/>
                <w:color w:val="19212A"/>
                <w:sz w:val="11"/>
              </w:rPr>
              <w:t>空看 VAL 81,430</w:t>
            </w:r>
          </w:p>
        </w:tc>
        <w:tc>
          <w:tcPr>
            <w:tcW w:type="dxa" w:w="710"/>
            <w:vAlign w:val="center"/>
          </w:tcPr>
          <w:p>
            <w:pPr>
              <w:spacing w:after="0" w:line="240" w:lineRule="auto"/>
            </w:pPr>
            <w:r>
              <w:rPr>
                <w:rFonts w:ascii="Microsoft YaHei" w:hAnsi="Microsoft YaHei" w:eastAsia="Microsoft YaHei"/>
                <w:b w:val="0"/>
                <w:color w:val="19212A"/>
                <w:sz w:val="11"/>
              </w:rPr>
              <w:t>空 1:3.93</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最多0.10%账户风险上限</w:t>
            </w:r>
          </w:p>
        </w:tc>
        <w:tc>
          <w:tcPr>
            <w:tcW w:type="dxa" w:w="710"/>
            <w:vAlign w:val="center"/>
          </w:tcPr>
          <w:p>
            <w:pPr>
              <w:spacing w:after="0" w:line="240" w:lineRule="auto"/>
            </w:pPr>
            <w:r>
              <w:rPr>
                <w:rFonts w:ascii="Microsoft YaHei" w:hAnsi="Microsoft YaHei" w:eastAsia="Microsoft YaHei"/>
                <w:b w:val="0"/>
                <w:color w:val="19212A"/>
                <w:sz w:val="11"/>
              </w:rPr>
              <w:t>跌回VAH下并形成LH</w:t>
            </w:r>
          </w:p>
        </w:tc>
        <w:tc>
          <w:tcPr>
            <w:tcW w:type="dxa" w:w="710"/>
            <w:vAlign w:val="center"/>
          </w:tcPr>
          <w:p>
            <w:pPr>
              <w:spacing w:after="0" w:line="240" w:lineRule="auto"/>
            </w:pPr>
            <w:r>
              <w:rPr>
                <w:rFonts w:ascii="Microsoft YaHei" w:hAnsi="Microsoft YaHei" w:eastAsia="Microsoft YaHei"/>
                <w:b w:val="0"/>
                <w:color w:val="19212A"/>
                <w:sz w:val="11"/>
              </w:rPr>
              <w:t>重新站稳Max Entry即取消；超过Max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仍在中部。下沿多头因 POC 距离过近被取消；只有到上沿 83,434-83,614 并出现受阻、跌回 VAH 下方形成 LH，才从等待进入执行判断；触发后也不能超过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BTC价值区上沿 + 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BTC上沿受阻空1张条件卡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下沿多头TP1净R:R不足；ETH/SOL未给更好位置；山寨未形成题材共振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扫描了13个流动标的，只有 BTC 上沿的 S5 受阻做空路径通过位置和动态盈亏比检查。下沿多头因第一阻力过近、TP1净R:R不足而 INVALID；当前空头卡仍未触发，没有模型成交，当前价附近不追单。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 下沿收回多 / 上沿受阻空</w:t>
            </w:r>
          </w:p>
        </w:tc>
        <w:tc>
          <w:tcPr>
            <w:tcW w:type="dxa" w:w="888"/>
            <w:vAlign w:val="center"/>
          </w:tcPr>
          <w:p>
            <w:pPr>
              <w:spacing w:after="0" w:line="240" w:lineRule="auto"/>
            </w:pPr>
            <w:r>
              <w:rPr>
                <w:rFonts w:ascii="Microsoft YaHei" w:hAnsi="Microsoft YaHei" w:eastAsia="Microsoft YaHei"/>
                <w:b w:val="0"/>
                <w:color w:val="19212A"/>
                <w:sz w:val="13"/>
              </w:rPr>
              <w:t>HTF_RANGE / RANGE_MIDDLE_UPPER_HALF</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S5_RANGE_EDGE_SWEEP_RECLAIM_REJECTION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19.9%</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10.0%-19.9%</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S5上沿受阻空；下沿多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INVALID_LONG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81,430 / POC 81,532 / VAH 83,534，下沿多头因第一阻力过近取消，仅保留上沿空头条件卡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81,430、POC 81,532、VAH 83,534，当前 Regime 为4H区间、执行级别位于中上部；下沿多头因第一阻力过近取消，只保留上沿冲高失败做空。这是按新快照和新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83,657.40 / +1.31%</w:t>
            </w:r>
          </w:p>
        </w:tc>
        <w:tc>
          <w:tcPr>
            <w:tcW w:type="dxa" w:w="1776"/>
            <w:vAlign w:val="center"/>
          </w:tcPr>
          <w:p>
            <w:pPr>
              <w:spacing w:after="0" w:line="240" w:lineRule="auto"/>
            </w:pPr>
            <w:r>
              <w:rPr>
                <w:rFonts w:ascii="Microsoft YaHei" w:hAnsi="Microsoft YaHei" w:eastAsia="Microsoft YaHei"/>
                <w:b w:val="0"/>
                <w:color w:val="19212A"/>
                <w:sz w:val="14"/>
              </w:rPr>
              <w:t>81,430.46 / 81,532.26 / 83,534.23</w:t>
            </w:r>
          </w:p>
        </w:tc>
        <w:tc>
          <w:tcPr>
            <w:tcW w:type="dxa" w:w="1776"/>
            <w:vAlign w:val="center"/>
          </w:tcPr>
          <w:p>
            <w:pPr>
              <w:spacing w:after="0" w:line="240" w:lineRule="auto"/>
            </w:pPr>
            <w:r>
              <w:rPr>
                <w:rFonts w:ascii="Microsoft YaHei" w:hAnsi="Microsoft YaHei" w:eastAsia="Microsoft YaHei"/>
                <w:b w:val="0"/>
                <w:color w:val="19212A"/>
                <w:sz w:val="14"/>
              </w:rPr>
              <w:t>+0.0083%</w:t>
            </w:r>
          </w:p>
        </w:tc>
        <w:tc>
          <w:tcPr>
            <w:tcW w:type="dxa" w:w="1776"/>
            <w:vAlign w:val="center"/>
          </w:tcPr>
          <w:p>
            <w:pPr>
              <w:spacing w:after="0" w:line="240" w:lineRule="auto"/>
            </w:pPr>
            <w:r>
              <w:rPr>
                <w:rFonts w:ascii="Microsoft YaHei" w:hAnsi="Microsoft YaHei" w:eastAsia="Microsoft YaHei"/>
                <w:b w:val="0"/>
                <w:color w:val="19212A"/>
                <w:sz w:val="14"/>
              </w:rPr>
              <w:t>$7.64bn / -1.18%</w:t>
            </w:r>
          </w:p>
        </w:tc>
        <w:tc>
          <w:tcPr>
            <w:tcW w:type="dxa" w:w="1776"/>
            <w:vAlign w:val="center"/>
          </w:tcPr>
          <w:p>
            <w:pPr>
              <w:spacing w:after="0" w:line="240" w:lineRule="auto"/>
            </w:pPr>
            <w:r>
              <w:rPr>
                <w:rFonts w:ascii="Microsoft YaHei" w:hAnsi="Microsoft YaHei" w:eastAsia="Microsoft YaHei"/>
                <w:b w:val="0"/>
                <w:color w:val="19212A"/>
                <w:sz w:val="14"/>
              </w:rPr>
              <w:t>1.195 / 0.879 / 1.046</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2,522.44 / +0.19%</w:t>
            </w:r>
          </w:p>
        </w:tc>
        <w:tc>
          <w:tcPr>
            <w:tcW w:type="dxa" w:w="1776"/>
            <w:vAlign w:val="center"/>
            <w:shd w:fill="EAF2F8"/>
          </w:tcPr>
          <w:p>
            <w:pPr>
              <w:spacing w:after="0" w:line="240" w:lineRule="auto"/>
            </w:pPr>
            <w:r>
              <w:rPr>
                <w:rFonts w:ascii="Microsoft YaHei" w:hAnsi="Microsoft YaHei" w:eastAsia="Microsoft YaHei"/>
                <w:b w:val="0"/>
                <w:color w:val="19212A"/>
                <w:sz w:val="14"/>
              </w:rPr>
              <w:t>2,461.61 / 2,463.13 / 2,543.60</w:t>
            </w:r>
          </w:p>
        </w:tc>
        <w:tc>
          <w:tcPr>
            <w:tcW w:type="dxa" w:w="1776"/>
            <w:vAlign w:val="center"/>
            <w:shd w:fill="EAF2F8"/>
          </w:tcPr>
          <w:p>
            <w:pPr>
              <w:spacing w:after="0" w:line="240" w:lineRule="auto"/>
            </w:pPr>
            <w:r>
              <w:rPr>
                <w:rFonts w:ascii="Microsoft YaHei" w:hAnsi="Microsoft YaHei" w:eastAsia="Microsoft YaHei"/>
                <w:b w:val="0"/>
                <w:color w:val="19212A"/>
                <w:sz w:val="14"/>
              </w:rPr>
              <w:t>+0.0084%</w:t>
            </w:r>
          </w:p>
        </w:tc>
        <w:tc>
          <w:tcPr>
            <w:tcW w:type="dxa" w:w="1776"/>
            <w:vAlign w:val="center"/>
            <w:shd w:fill="EAF2F8"/>
          </w:tcPr>
          <w:p>
            <w:pPr>
              <w:spacing w:after="0" w:line="240" w:lineRule="auto"/>
            </w:pPr>
            <w:r>
              <w:rPr>
                <w:rFonts w:ascii="Microsoft YaHei" w:hAnsi="Microsoft YaHei" w:eastAsia="Microsoft YaHei"/>
                <w:b w:val="0"/>
                <w:color w:val="19212A"/>
                <w:sz w:val="14"/>
              </w:rPr>
              <w:t>$5.57bn / -4.64%</w:t>
            </w:r>
          </w:p>
        </w:tc>
        <w:tc>
          <w:tcPr>
            <w:tcW w:type="dxa" w:w="1776"/>
            <w:vAlign w:val="center"/>
            <w:shd w:fill="EAF2F8"/>
          </w:tcPr>
          <w:p>
            <w:pPr>
              <w:spacing w:after="0" w:line="240" w:lineRule="auto"/>
            </w:pPr>
            <w:r>
              <w:rPr>
                <w:rFonts w:ascii="Microsoft YaHei" w:hAnsi="Microsoft YaHei" w:eastAsia="Microsoft YaHei"/>
                <w:b w:val="0"/>
                <w:color w:val="19212A"/>
                <w:sz w:val="14"/>
              </w:rPr>
              <w:t>1.214 / 1.077 / 1.048</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107.91 / -0.75%</w:t>
            </w:r>
          </w:p>
        </w:tc>
        <w:tc>
          <w:tcPr>
            <w:tcW w:type="dxa" w:w="1776"/>
            <w:vAlign w:val="center"/>
          </w:tcPr>
          <w:p>
            <w:pPr>
              <w:spacing w:after="0" w:line="240" w:lineRule="auto"/>
            </w:pPr>
            <w:r>
              <w:rPr>
                <w:rFonts w:ascii="Microsoft YaHei" w:hAnsi="Microsoft YaHei" w:eastAsia="Microsoft YaHei"/>
                <w:b w:val="0"/>
                <w:color w:val="19212A"/>
                <w:sz w:val="14"/>
              </w:rPr>
              <w:t>107.96 / 109.73 / 112.81</w:t>
            </w:r>
          </w:p>
        </w:tc>
        <w:tc>
          <w:tcPr>
            <w:tcW w:type="dxa" w:w="1776"/>
            <w:vAlign w:val="center"/>
          </w:tcPr>
          <w:p>
            <w:pPr>
              <w:spacing w:after="0" w:line="240" w:lineRule="auto"/>
            </w:pPr>
            <w:r>
              <w:rPr>
                <w:rFonts w:ascii="Microsoft YaHei" w:hAnsi="Microsoft YaHei" w:eastAsia="Microsoft YaHei"/>
                <w:b w:val="0"/>
                <w:color w:val="19212A"/>
                <w:sz w:val="14"/>
              </w:rPr>
              <w:t>+0.0013%</w:t>
            </w:r>
          </w:p>
        </w:tc>
        <w:tc>
          <w:tcPr>
            <w:tcW w:type="dxa" w:w="1776"/>
            <w:vAlign w:val="center"/>
          </w:tcPr>
          <w:p>
            <w:pPr>
              <w:spacing w:after="0" w:line="240" w:lineRule="auto"/>
            </w:pPr>
            <w:r>
              <w:rPr>
                <w:rFonts w:ascii="Microsoft YaHei" w:hAnsi="Microsoft YaHei" w:eastAsia="Microsoft YaHei"/>
                <w:b w:val="0"/>
                <w:color w:val="19212A"/>
                <w:sz w:val="14"/>
              </w:rPr>
              <w:t>$0.92bn / -2.26%</w:t>
            </w:r>
          </w:p>
        </w:tc>
        <w:tc>
          <w:tcPr>
            <w:tcW w:type="dxa" w:w="1776"/>
            <w:vAlign w:val="center"/>
          </w:tcPr>
          <w:p>
            <w:pPr>
              <w:spacing w:after="0" w:line="240" w:lineRule="auto"/>
            </w:pPr>
            <w:r>
              <w:rPr>
                <w:rFonts w:ascii="Microsoft YaHei" w:hAnsi="Microsoft YaHei" w:eastAsia="Microsoft YaHei"/>
                <w:b w:val="0"/>
                <w:color w:val="19212A"/>
                <w:sz w:val="14"/>
              </w:rPr>
              <w:t>1.113 / 1.122 / 1.212</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1.046，今天只有上沿冲高失败形成更低高点，才有空头交易依据；下沿多头要等价值区重算后第一阻力拉开。</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日正常成交区。数据：Binance USDⓈ-M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7,803.51</w:t>
            </w:r>
          </w:p>
        </w:tc>
        <w:tc>
          <w:tcPr>
            <w:tcW w:type="dxa" w:w="2664"/>
            <w:vAlign w:val="center"/>
            <w:shd w:fill="EAF2F8"/>
          </w:tcPr>
          <w:p>
            <w:pPr>
              <w:spacing w:after="0" w:line="240" w:lineRule="auto"/>
            </w:pPr>
            <w:r>
              <w:rPr>
                <w:rFonts w:ascii="Microsoft YaHei" w:hAnsi="Microsoft YaHei" w:eastAsia="Microsoft YaHei"/>
                <w:b w:val="0"/>
                <w:color w:val="19212A"/>
                <w:sz w:val="14"/>
              </w:rPr>
              <w:t>-0.05%</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27,228.62</w:t>
            </w:r>
          </w:p>
        </w:tc>
        <w:tc>
          <w:tcPr>
            <w:tcW w:type="dxa" w:w="2664"/>
            <w:vAlign w:val="center"/>
          </w:tcPr>
          <w:p>
            <w:pPr>
              <w:spacing w:after="0" w:line="240" w:lineRule="auto"/>
            </w:pPr>
            <w:r>
              <w:rPr>
                <w:rFonts w:ascii="Microsoft YaHei" w:hAnsi="Microsoft YaHei" w:eastAsia="Microsoft YaHei"/>
                <w:b w:val="0"/>
                <w:color w:val="19212A"/>
                <w:sz w:val="14"/>
              </w:rPr>
              <w:t>-0.06%</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102.27</w:t>
            </w:r>
          </w:p>
        </w:tc>
        <w:tc>
          <w:tcPr>
            <w:tcW w:type="dxa" w:w="2664"/>
            <w:vAlign w:val="center"/>
            <w:shd w:fill="EAF2F8"/>
          </w:tcPr>
          <w:p>
            <w:pPr>
              <w:spacing w:after="0" w:line="240" w:lineRule="auto"/>
            </w:pPr>
            <w:r>
              <w:rPr>
                <w:rFonts w:ascii="Microsoft YaHei" w:hAnsi="Microsoft YaHei" w:eastAsia="Microsoft YaHei"/>
                <w:b w:val="0"/>
                <w:color w:val="19212A"/>
                <w:sz w:val="14"/>
              </w:rPr>
              <w:t>-0.30%</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5.22</w:t>
            </w:r>
          </w:p>
        </w:tc>
        <w:tc>
          <w:tcPr>
            <w:tcW w:type="dxa" w:w="2664"/>
            <w:vAlign w:val="center"/>
          </w:tcPr>
          <w:p>
            <w:pPr>
              <w:spacing w:after="0" w:line="240" w:lineRule="auto"/>
            </w:pPr>
            <w:r>
              <w:rPr>
                <w:rFonts w:ascii="Microsoft YaHei" w:hAnsi="Microsoft YaHei" w:eastAsia="Microsoft YaHei"/>
                <w:b w:val="0"/>
                <w:color w:val="19212A"/>
                <w:sz w:val="14"/>
              </w:rPr>
              <w:t>-0.44%</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4,192.20</w:t>
            </w:r>
          </w:p>
        </w:tc>
        <w:tc>
          <w:tcPr>
            <w:tcW w:type="dxa" w:w="2664"/>
            <w:vAlign w:val="center"/>
            <w:shd w:fill="EAF2F8"/>
          </w:tcPr>
          <w:p>
            <w:pPr>
              <w:spacing w:after="0" w:line="240" w:lineRule="auto"/>
            </w:pPr>
            <w:r>
              <w:rPr>
                <w:rFonts w:ascii="Microsoft YaHei" w:hAnsi="Microsoft YaHei" w:eastAsia="Microsoft YaHei"/>
                <w:b w:val="0"/>
                <w:color w:val="19212A"/>
                <w:sz w:val="14"/>
              </w:rPr>
              <w:t>+0.04%</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93.62</w:t>
            </w:r>
          </w:p>
        </w:tc>
        <w:tc>
          <w:tcPr>
            <w:tcW w:type="dxa" w:w="2664"/>
            <w:vAlign w:val="center"/>
          </w:tcPr>
          <w:p>
            <w:pPr>
              <w:spacing w:after="0" w:line="240" w:lineRule="auto"/>
            </w:pPr>
            <w:r>
              <w:rPr>
                <w:rFonts w:ascii="Microsoft YaHei" w:hAnsi="Microsoft YaHei" w:eastAsia="Microsoft YaHei"/>
                <w:b w:val="0"/>
                <w:color w:val="19212A"/>
                <w:sz w:val="14"/>
              </w:rPr>
              <w:t>-0.13%</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POC 中部猜方向，只等待上沿受阻空；下沿多头因第一阻力过近暂不执行。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$312.9bn，提供中期流动性底座，但不能证明今天正在主动买币。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Binance Spot</w:t>
            </w:r>
          </w:p>
        </w:tc>
        <w:tc>
          <w:tcPr>
            <w:tcW w:type="dxa" w:w="1522"/>
            <w:vAlign w:val="center"/>
          </w:tcPr>
          <w:p>
            <w:pPr>
              <w:spacing w:after="0" w:line="240" w:lineRule="auto"/>
            </w:pPr>
            <w:r>
              <w:rPr>
                <w:rFonts w:ascii="Microsoft YaHei" w:hAnsi="Microsoft YaHei" w:eastAsia="Microsoft YaHei"/>
                <w:b w:val="0"/>
                <w:color w:val="19212A"/>
                <w:sz w:val="13"/>
              </w:rPr>
              <w:t>56s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65.3%</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Binance Spot</w:t>
            </w:r>
          </w:p>
        </w:tc>
        <w:tc>
          <w:tcPr>
            <w:tcW w:type="dxa" w:w="1522"/>
            <w:vAlign w:val="center"/>
            <w:shd w:fill="EAF2F8"/>
          </w:tcPr>
          <w:p>
            <w:pPr>
              <w:spacing w:after="0" w:line="240" w:lineRule="auto"/>
            </w:pPr>
            <w:r>
              <w:rPr>
                <w:rFonts w:ascii="Microsoft YaHei" w:hAnsi="Microsoft YaHei" w:eastAsia="Microsoft YaHei"/>
                <w:b w:val="0"/>
                <w:color w:val="19212A"/>
                <w:sz w:val="13"/>
              </w:rPr>
              <w:t>103s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59.4%</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Binance Spot</w:t>
            </w:r>
          </w:p>
        </w:tc>
        <w:tc>
          <w:tcPr>
            <w:tcW w:type="dxa" w:w="1522"/>
            <w:vAlign w:val="center"/>
          </w:tcPr>
          <w:p>
            <w:pPr>
              <w:spacing w:after="0" w:line="240" w:lineRule="auto"/>
            </w:pPr>
            <w:r>
              <w:rPr>
                <w:rFonts w:ascii="Microsoft YaHei" w:hAnsi="Microsoft YaHei" w:eastAsia="Microsoft YaHei"/>
                <w:b w:val="0"/>
                <w:color w:val="19212A"/>
                <w:sz w:val="13"/>
              </w:rPr>
              <w:t>442s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46.5%</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$11.72m</w:t>
            </w:r>
          </w:p>
        </w:tc>
        <w:tc>
          <w:tcPr>
            <w:tcW w:type="dxa" w:w="2131"/>
            <w:vAlign w:val="center"/>
          </w:tcPr>
          <w:p>
            <w:pPr>
              <w:spacing w:after="0" w:line="240" w:lineRule="auto"/>
            </w:pPr>
            <w:r>
              <w:rPr>
                <w:rFonts w:ascii="Microsoft YaHei" w:hAnsi="Microsoft YaHei" w:eastAsia="Microsoft YaHei"/>
                <w:b w:val="0"/>
                <w:color w:val="19212A"/>
                <w:sz w:val="14"/>
              </w:rPr>
              <w:t>$14.95m</w:t>
            </w:r>
          </w:p>
        </w:tc>
        <w:tc>
          <w:tcPr>
            <w:tcW w:type="dxa" w:w="2131"/>
            <w:vAlign w:val="center"/>
          </w:tcPr>
          <w:p>
            <w:pPr>
              <w:spacing w:after="0" w:line="240" w:lineRule="auto"/>
            </w:pPr>
            <w:r>
              <w:rPr>
                <w:rFonts w:ascii="Microsoft YaHei" w:hAnsi="Microsoft YaHei" w:eastAsia="Microsoft YaHei"/>
                <w:b w:val="0"/>
                <w:color w:val="19212A"/>
                <w:sz w:val="14"/>
              </w:rPr>
              <w:t>-12.1%</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$8.37m</w:t>
            </w:r>
          </w:p>
        </w:tc>
        <w:tc>
          <w:tcPr>
            <w:tcW w:type="dxa" w:w="2131"/>
            <w:vAlign w:val="center"/>
            <w:shd w:fill="EAF2F8"/>
          </w:tcPr>
          <w:p>
            <w:pPr>
              <w:spacing w:after="0" w:line="240" w:lineRule="auto"/>
            </w:pPr>
            <w:r>
              <w:rPr>
                <w:rFonts w:ascii="Microsoft YaHei" w:hAnsi="Microsoft YaHei" w:eastAsia="Microsoft YaHei"/>
                <w:b w:val="0"/>
                <w:color w:val="19212A"/>
                <w:sz w:val="14"/>
              </w:rPr>
              <w:t>$8.36m</w:t>
            </w:r>
          </w:p>
        </w:tc>
        <w:tc>
          <w:tcPr>
            <w:tcW w:type="dxa" w:w="2131"/>
            <w:vAlign w:val="center"/>
            <w:shd w:fill="EAF2F8"/>
          </w:tcPr>
          <w:p>
            <w:pPr>
              <w:spacing w:after="0" w:line="240" w:lineRule="auto"/>
            </w:pPr>
            <w:r>
              <w:rPr>
                <w:rFonts w:ascii="Microsoft YaHei" w:hAnsi="Microsoft YaHei" w:eastAsia="Microsoft YaHei"/>
                <w:b w:val="0"/>
                <w:color w:val="19212A"/>
                <w:sz w:val="14"/>
              </w:rPr>
              <w:t>+0.1%</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$3.05m</w:t>
            </w:r>
          </w:p>
        </w:tc>
        <w:tc>
          <w:tcPr>
            <w:tcW w:type="dxa" w:w="2131"/>
            <w:vAlign w:val="center"/>
          </w:tcPr>
          <w:p>
            <w:pPr>
              <w:spacing w:after="0" w:line="240" w:lineRule="auto"/>
            </w:pPr>
            <w:r>
              <w:rPr>
                <w:rFonts w:ascii="Microsoft YaHei" w:hAnsi="Microsoft YaHei" w:eastAsia="Microsoft YaHei"/>
                <w:b w:val="0"/>
                <w:color w:val="19212A"/>
                <w:sz w:val="14"/>
              </w:rPr>
              <w:t>$3.65m</w:t>
            </w:r>
          </w:p>
        </w:tc>
        <w:tc>
          <w:tcPr>
            <w:tcW w:type="dxa" w:w="2131"/>
            <w:vAlign w:val="center"/>
          </w:tcPr>
          <w:p>
            <w:pPr>
              <w:spacing w:after="0" w:line="240" w:lineRule="auto"/>
            </w:pPr>
            <w:r>
              <w:rPr>
                <w:rFonts w:ascii="Microsoft YaHei" w:hAnsi="Microsoft YaHei" w:eastAsia="Microsoft YaHei"/>
                <w:b w:val="0"/>
                <w:color w:val="19212A"/>
                <w:sz w:val="14"/>
              </w:rPr>
              <w:t>-9.0%</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Binance 现货短样本中，BTC 主动净额约 +0.24m 美元、买方占比 65.3%，盘口偏差 -12.1%；ETH 主动净额约 +0.08m、买方占比 59.4%，盘口偏差 +0.1%；SOL 末端主动流量仍有修复，但不是持续买盘证据。BTC/ETH 样本显示卖压更明显，标签化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+1.31%</w:t>
            </w:r>
          </w:p>
        </w:tc>
        <w:tc>
          <w:tcPr>
            <w:tcW w:type="dxa" w:w="1522"/>
            <w:vAlign w:val="center"/>
          </w:tcPr>
          <w:p>
            <w:pPr>
              <w:spacing w:after="0" w:line="240" w:lineRule="auto"/>
            </w:pPr>
            <w:r>
              <w:rPr>
                <w:rFonts w:ascii="Microsoft YaHei" w:hAnsi="Microsoft YaHei" w:eastAsia="Microsoft YaHei"/>
                <w:b w:val="0"/>
                <w:color w:val="19212A"/>
                <w:sz w:val="13"/>
              </w:rPr>
              <w:t>+0.0083%</w:t>
            </w:r>
          </w:p>
        </w:tc>
        <w:tc>
          <w:tcPr>
            <w:tcW w:type="dxa" w:w="1522"/>
            <w:vAlign w:val="center"/>
          </w:tcPr>
          <w:p>
            <w:pPr>
              <w:spacing w:after="0" w:line="240" w:lineRule="auto"/>
            </w:pPr>
            <w:r>
              <w:rPr>
                <w:rFonts w:ascii="Microsoft YaHei" w:hAnsi="Microsoft YaHei" w:eastAsia="Microsoft YaHei"/>
                <w:b w:val="0"/>
                <w:color w:val="19212A"/>
                <w:sz w:val="13"/>
              </w:rPr>
              <w:t>$7.64bn</w:t>
            </w:r>
          </w:p>
        </w:tc>
        <w:tc>
          <w:tcPr>
            <w:tcW w:type="dxa" w:w="1522"/>
            <w:vAlign w:val="center"/>
          </w:tcPr>
          <w:p>
            <w:pPr>
              <w:spacing w:after="0" w:line="240" w:lineRule="auto"/>
            </w:pPr>
            <w:r>
              <w:rPr>
                <w:rFonts w:ascii="Microsoft YaHei" w:hAnsi="Microsoft YaHei" w:eastAsia="Microsoft YaHei"/>
                <w:b w:val="0"/>
                <w:color w:val="19212A"/>
                <w:sz w:val="13"/>
              </w:rPr>
              <w:t>-1.18%</w:t>
            </w:r>
          </w:p>
        </w:tc>
        <w:tc>
          <w:tcPr>
            <w:tcW w:type="dxa" w:w="1522"/>
            <w:vAlign w:val="center"/>
          </w:tcPr>
          <w:p>
            <w:pPr>
              <w:spacing w:after="0" w:line="240" w:lineRule="auto"/>
            </w:pPr>
            <w:r>
              <w:rPr>
                <w:rFonts w:ascii="Microsoft YaHei" w:hAnsi="Microsoft YaHei" w:eastAsia="Microsoft YaHei"/>
                <w:b w:val="0"/>
                <w:color w:val="19212A"/>
                <w:sz w:val="13"/>
              </w:rPr>
              <w:t>1.195/0.879/1.046</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+0.19%</w:t>
            </w:r>
          </w:p>
        </w:tc>
        <w:tc>
          <w:tcPr>
            <w:tcW w:type="dxa" w:w="1522"/>
            <w:vAlign w:val="center"/>
            <w:shd w:fill="EAF2F8"/>
          </w:tcPr>
          <w:p>
            <w:pPr>
              <w:spacing w:after="0" w:line="240" w:lineRule="auto"/>
            </w:pPr>
            <w:r>
              <w:rPr>
                <w:rFonts w:ascii="Microsoft YaHei" w:hAnsi="Microsoft YaHei" w:eastAsia="Microsoft YaHei"/>
                <w:b w:val="0"/>
                <w:color w:val="19212A"/>
                <w:sz w:val="13"/>
              </w:rPr>
              <w:t>+0.0084%</w:t>
            </w:r>
          </w:p>
        </w:tc>
        <w:tc>
          <w:tcPr>
            <w:tcW w:type="dxa" w:w="1522"/>
            <w:vAlign w:val="center"/>
            <w:shd w:fill="EAF2F8"/>
          </w:tcPr>
          <w:p>
            <w:pPr>
              <w:spacing w:after="0" w:line="240" w:lineRule="auto"/>
            </w:pPr>
            <w:r>
              <w:rPr>
                <w:rFonts w:ascii="Microsoft YaHei" w:hAnsi="Microsoft YaHei" w:eastAsia="Microsoft YaHei"/>
                <w:b w:val="0"/>
                <w:color w:val="19212A"/>
                <w:sz w:val="13"/>
              </w:rPr>
              <w:t>$5.57bn</w:t>
            </w:r>
          </w:p>
        </w:tc>
        <w:tc>
          <w:tcPr>
            <w:tcW w:type="dxa" w:w="1522"/>
            <w:vAlign w:val="center"/>
            <w:shd w:fill="EAF2F8"/>
          </w:tcPr>
          <w:p>
            <w:pPr>
              <w:spacing w:after="0" w:line="240" w:lineRule="auto"/>
            </w:pPr>
            <w:r>
              <w:rPr>
                <w:rFonts w:ascii="Microsoft YaHei" w:hAnsi="Microsoft YaHei" w:eastAsia="Microsoft YaHei"/>
                <w:b w:val="0"/>
                <w:color w:val="19212A"/>
                <w:sz w:val="13"/>
              </w:rPr>
              <w:t>-4.64%</w:t>
            </w:r>
          </w:p>
        </w:tc>
        <w:tc>
          <w:tcPr>
            <w:tcW w:type="dxa" w:w="1522"/>
            <w:vAlign w:val="center"/>
            <w:shd w:fill="EAF2F8"/>
          </w:tcPr>
          <w:p>
            <w:pPr>
              <w:spacing w:after="0" w:line="240" w:lineRule="auto"/>
            </w:pPr>
            <w:r>
              <w:rPr>
                <w:rFonts w:ascii="Microsoft YaHei" w:hAnsi="Microsoft YaHei" w:eastAsia="Microsoft YaHei"/>
                <w:b w:val="0"/>
                <w:color w:val="19212A"/>
                <w:sz w:val="13"/>
              </w:rPr>
              <w:t>1.214/1.077/1.048</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-0.75%</w:t>
            </w:r>
          </w:p>
        </w:tc>
        <w:tc>
          <w:tcPr>
            <w:tcW w:type="dxa" w:w="1522"/>
            <w:vAlign w:val="center"/>
          </w:tcPr>
          <w:p>
            <w:pPr>
              <w:spacing w:after="0" w:line="240" w:lineRule="auto"/>
            </w:pPr>
            <w:r>
              <w:rPr>
                <w:rFonts w:ascii="Microsoft YaHei" w:hAnsi="Microsoft YaHei" w:eastAsia="Microsoft YaHei"/>
                <w:b w:val="0"/>
                <w:color w:val="19212A"/>
                <w:sz w:val="13"/>
              </w:rPr>
              <w:t>+0.0013%</w:t>
            </w:r>
          </w:p>
        </w:tc>
        <w:tc>
          <w:tcPr>
            <w:tcW w:type="dxa" w:w="1522"/>
            <w:vAlign w:val="center"/>
          </w:tcPr>
          <w:p>
            <w:pPr>
              <w:spacing w:after="0" w:line="240" w:lineRule="auto"/>
            </w:pPr>
            <w:r>
              <w:rPr>
                <w:rFonts w:ascii="Microsoft YaHei" w:hAnsi="Microsoft YaHei" w:eastAsia="Microsoft YaHei"/>
                <w:b w:val="0"/>
                <w:color w:val="19212A"/>
                <w:sz w:val="13"/>
              </w:rPr>
              <w:t>$0.92bn</w:t>
            </w:r>
          </w:p>
        </w:tc>
        <w:tc>
          <w:tcPr>
            <w:tcW w:type="dxa" w:w="1522"/>
            <w:vAlign w:val="center"/>
          </w:tcPr>
          <w:p>
            <w:pPr>
              <w:spacing w:after="0" w:line="240" w:lineRule="auto"/>
            </w:pPr>
            <w:r>
              <w:rPr>
                <w:rFonts w:ascii="Microsoft YaHei" w:hAnsi="Microsoft YaHei" w:eastAsia="Microsoft YaHei"/>
                <w:b w:val="0"/>
                <w:color w:val="19212A"/>
                <w:sz w:val="13"/>
              </w:rPr>
              <w:t>-2.26%</w:t>
            </w:r>
          </w:p>
        </w:tc>
        <w:tc>
          <w:tcPr>
            <w:tcW w:type="dxa" w:w="1522"/>
            <w:vAlign w:val="center"/>
          </w:tcPr>
          <w:p>
            <w:pPr>
              <w:spacing w:after="0" w:line="240" w:lineRule="auto"/>
            </w:pPr>
            <w:r>
              <w:rPr>
                <w:rFonts w:ascii="Microsoft YaHei" w:hAnsi="Microsoft YaHei" w:eastAsia="Microsoft YaHei"/>
                <w:b w:val="0"/>
                <w:color w:val="19212A"/>
                <w:sz w:val="13"/>
              </w:rPr>
              <w:t>1.113/1.122/1.212</w:t>
            </w:r>
          </w:p>
        </w:tc>
        <w:tc>
          <w:tcPr>
            <w:tcW w:type="dxa" w:w="1522"/>
            <w:vAlign w:val="center"/>
          </w:tcPr>
          <w:p>
            <w:pPr>
              <w:spacing w:after="0" w:line="240" w:lineRule="auto"/>
            </w:pPr>
            <w:r>
              <w:rPr>
                <w:rFonts w:ascii="Microsoft YaHei" w:hAnsi="Microsoft YaHei" w:eastAsia="Microsoft YaHei"/>
                <w:b w:val="0"/>
                <w:color w:val="19212A"/>
                <w:sz w:val="13"/>
              </w:rPr>
              <w:t>价格跌/OI降，去杠杆进行中，末端Taker转弱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1.31%、OI 下降 1.18%，最近三小时 Taker 为 1.195、0.879、1.046：价格与OI同步增加更像反弹中的杠杆回补，但末端 Taker 尚未稳定站上1.10，不能直接当成趋势反转。ETH 24小时上涨 0.19%、OI 下降 4.64%；SOL 24小时下跌 0.75%、OI 下降 2.26%。当前更像下跌后的修复与重新加杠杆混合，只有价格重新站回价值区、Taker持续改善且OI扩张不伴随冲高回落，才升级为趋势反转观察。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CVD。来源：Binance USDⓈ-M。</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0.59</w:t>
            </w:r>
          </w:p>
        </w:tc>
        <w:tc>
          <w:tcPr>
            <w:tcW w:type="dxa" w:w="1776"/>
            <w:vAlign w:val="center"/>
          </w:tcPr>
          <w:p>
            <w:pPr>
              <w:spacing w:after="0" w:line="240" w:lineRule="auto"/>
            </w:pPr>
            <w:r>
              <w:rPr>
                <w:rFonts w:ascii="Microsoft YaHei" w:hAnsi="Microsoft YaHei" w:eastAsia="Microsoft YaHei"/>
                <w:b w:val="0"/>
                <w:color w:val="19212A"/>
                <w:sz w:val="14"/>
              </w:rPr>
              <w:t>14OCT26</w:t>
            </w:r>
          </w:p>
        </w:tc>
        <w:tc>
          <w:tcPr>
            <w:tcW w:type="dxa" w:w="1776"/>
            <w:vAlign w:val="center"/>
          </w:tcPr>
          <w:p>
            <w:pPr>
              <w:spacing w:after="0" w:line="240" w:lineRule="auto"/>
            </w:pPr>
            <w:r>
              <w:rPr>
                <w:rFonts w:ascii="Microsoft YaHei" w:hAnsi="Microsoft YaHei" w:eastAsia="Microsoft YaHei"/>
                <w:b w:val="0"/>
                <w:color w:val="19212A"/>
                <w:sz w:val="14"/>
              </w:rPr>
              <w:t>0.80</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0.52</w:t>
            </w:r>
          </w:p>
        </w:tc>
        <w:tc>
          <w:tcPr>
            <w:tcW w:type="dxa" w:w="1776"/>
            <w:vAlign w:val="center"/>
            <w:shd w:fill="EAF2F8"/>
          </w:tcPr>
          <w:p>
            <w:pPr>
              <w:spacing w:after="0" w:line="240" w:lineRule="auto"/>
            </w:pPr>
            <w:r>
              <w:rPr>
                <w:rFonts w:ascii="Microsoft YaHei" w:hAnsi="Microsoft YaHei" w:eastAsia="Microsoft YaHei"/>
                <w:b w:val="0"/>
                <w:color w:val="19212A"/>
                <w:sz w:val="14"/>
              </w:rPr>
              <w:t>14OCT26</w:t>
            </w:r>
          </w:p>
        </w:tc>
        <w:tc>
          <w:tcPr>
            <w:tcW w:type="dxa" w:w="1776"/>
            <w:vAlign w:val="center"/>
            <w:shd w:fill="EAF2F8"/>
          </w:tcPr>
          <w:p>
            <w:pPr>
              <w:spacing w:after="0" w:line="240" w:lineRule="auto"/>
            </w:pPr>
            <w:r>
              <w:rPr>
                <w:rFonts w:ascii="Microsoft YaHei" w:hAnsi="Microsoft YaHei" w:eastAsia="Microsoft YaHei"/>
                <w:b w:val="0"/>
                <w:color w:val="19212A"/>
                <w:sz w:val="14"/>
              </w:rPr>
              <w:t>1.70</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0.59、近月 0.80；ETH 全期限 0.52、近月 1.70。本轮只取得期权持仓结构，没有稳定的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81,430</w:t>
            </w:r>
          </w:p>
        </w:tc>
        <w:tc>
          <w:tcPr>
            <w:tcW w:type="dxa" w:w="1522"/>
            <w:vAlign w:val="center"/>
          </w:tcPr>
          <w:p>
            <w:pPr>
              <w:spacing w:after="0" w:line="240" w:lineRule="auto"/>
            </w:pPr>
            <w:r>
              <w:rPr>
                <w:rFonts w:ascii="Microsoft YaHei" w:hAnsi="Microsoft YaHei" w:eastAsia="Microsoft YaHei"/>
                <w:b w:val="0"/>
                <w:color w:val="19212A"/>
                <w:sz w:val="12"/>
              </w:rPr>
              <w:t>81,532</w:t>
            </w:r>
          </w:p>
        </w:tc>
        <w:tc>
          <w:tcPr>
            <w:tcW w:type="dxa" w:w="1522"/>
            <w:vAlign w:val="center"/>
          </w:tcPr>
          <w:p>
            <w:pPr>
              <w:spacing w:after="0" w:line="240" w:lineRule="auto"/>
            </w:pPr>
            <w:r>
              <w:rPr>
                <w:rFonts w:ascii="Microsoft YaHei" w:hAnsi="Microsoft YaHei" w:eastAsia="Microsoft YaHei"/>
                <w:b w:val="0"/>
                <w:color w:val="19212A"/>
                <w:sz w:val="12"/>
              </w:rPr>
              <w:t>83,534</w:t>
            </w:r>
          </w:p>
        </w:tc>
        <w:tc>
          <w:tcPr>
            <w:tcW w:type="dxa" w:w="1522"/>
            <w:vAlign w:val="center"/>
          </w:tcPr>
          <w:p>
            <w:pPr>
              <w:spacing w:after="0" w:line="240" w:lineRule="auto"/>
            </w:pPr>
            <w:r>
              <w:rPr>
                <w:rFonts w:ascii="Microsoft YaHei" w:hAnsi="Microsoft YaHei" w:eastAsia="Microsoft YaHei"/>
                <w:b w:val="0"/>
                <w:color w:val="19212A"/>
                <w:sz w:val="12"/>
              </w:rPr>
              <w:t>81,430 / 80,930 / 81,430</w:t>
            </w:r>
          </w:p>
        </w:tc>
        <w:tc>
          <w:tcPr>
            <w:tcW w:type="dxa" w:w="1522"/>
            <w:vAlign w:val="center"/>
          </w:tcPr>
          <w:p>
            <w:pPr>
              <w:spacing w:after="0" w:line="240" w:lineRule="auto"/>
            </w:pPr>
            <w:r>
              <w:rPr>
                <w:rFonts w:ascii="Microsoft YaHei" w:hAnsi="Microsoft YaHei" w:eastAsia="Microsoft YaHei"/>
                <w:b w:val="0"/>
                <w:color w:val="19212A"/>
                <w:sz w:val="12"/>
              </w:rPr>
              <w:t>83,534 / 84,034 / 84,077</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2,462</w:t>
            </w:r>
          </w:p>
        </w:tc>
        <w:tc>
          <w:tcPr>
            <w:tcW w:type="dxa" w:w="1522"/>
            <w:vAlign w:val="center"/>
            <w:shd w:fill="EAF2F8"/>
          </w:tcPr>
          <w:p>
            <w:pPr>
              <w:spacing w:after="0" w:line="240" w:lineRule="auto"/>
            </w:pPr>
            <w:r>
              <w:rPr>
                <w:rFonts w:ascii="Microsoft YaHei" w:hAnsi="Microsoft YaHei" w:eastAsia="Microsoft YaHei"/>
                <w:b w:val="0"/>
                <w:color w:val="19212A"/>
                <w:sz w:val="12"/>
              </w:rPr>
              <w:t>2,463</w:t>
            </w:r>
          </w:p>
        </w:tc>
        <w:tc>
          <w:tcPr>
            <w:tcW w:type="dxa" w:w="1522"/>
            <w:vAlign w:val="center"/>
            <w:shd w:fill="EAF2F8"/>
          </w:tcPr>
          <w:p>
            <w:pPr>
              <w:spacing w:after="0" w:line="240" w:lineRule="auto"/>
            </w:pPr>
            <w:r>
              <w:rPr>
                <w:rFonts w:ascii="Microsoft YaHei" w:hAnsi="Microsoft YaHei" w:eastAsia="Microsoft YaHei"/>
                <w:b w:val="0"/>
                <w:color w:val="19212A"/>
                <w:sz w:val="12"/>
              </w:rPr>
              <w:t>2,544</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107.96</w:t>
            </w:r>
          </w:p>
        </w:tc>
        <w:tc>
          <w:tcPr>
            <w:tcW w:type="dxa" w:w="1522"/>
            <w:vAlign w:val="center"/>
          </w:tcPr>
          <w:p>
            <w:pPr>
              <w:spacing w:after="0" w:line="240" w:lineRule="auto"/>
            </w:pPr>
            <w:r>
              <w:rPr>
                <w:rFonts w:ascii="Microsoft YaHei" w:hAnsi="Microsoft YaHei" w:eastAsia="Microsoft YaHei"/>
                <w:b w:val="0"/>
                <w:color w:val="19212A"/>
                <w:sz w:val="12"/>
              </w:rPr>
              <w:t>109.73</w:t>
            </w:r>
          </w:p>
        </w:tc>
        <w:tc>
          <w:tcPr>
            <w:tcW w:type="dxa" w:w="1522"/>
            <w:vAlign w:val="center"/>
          </w:tcPr>
          <w:p>
            <w:pPr>
              <w:spacing w:after="0" w:line="240" w:lineRule="auto"/>
            </w:pPr>
            <w:r>
              <w:rPr>
                <w:rFonts w:ascii="Microsoft YaHei" w:hAnsi="Microsoft YaHei" w:eastAsia="Microsoft YaHei"/>
                <w:b w:val="0"/>
                <w:color w:val="19212A"/>
                <w:sz w:val="12"/>
              </w:rPr>
              <w:t>112.81</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10.1457</w:t>
            </w:r>
          </w:p>
        </w:tc>
        <w:tc>
          <w:tcPr>
            <w:tcW w:type="dxa" w:w="1522"/>
            <w:vAlign w:val="center"/>
            <w:shd w:fill="EAF2F8"/>
          </w:tcPr>
          <w:p>
            <w:pPr>
              <w:spacing w:after="0" w:line="240" w:lineRule="auto"/>
            </w:pPr>
            <w:r>
              <w:rPr>
                <w:rFonts w:ascii="Microsoft YaHei" w:hAnsi="Microsoft YaHei" w:eastAsia="Microsoft YaHei"/>
                <w:b w:val="0"/>
                <w:color w:val="19212A"/>
                <w:sz w:val="12"/>
              </w:rPr>
              <w:t>10.1576</w:t>
            </w:r>
          </w:p>
        </w:tc>
        <w:tc>
          <w:tcPr>
            <w:tcW w:type="dxa" w:w="1522"/>
            <w:vAlign w:val="center"/>
            <w:shd w:fill="EAF2F8"/>
          </w:tcPr>
          <w:p>
            <w:pPr>
              <w:spacing w:after="0" w:line="240" w:lineRule="auto"/>
            </w:pPr>
            <w:r>
              <w:rPr>
                <w:rFonts w:ascii="Microsoft YaHei" w:hAnsi="Microsoft YaHei" w:eastAsia="Microsoft YaHei"/>
                <w:b w:val="0"/>
                <w:color w:val="19212A"/>
                <w:sz w:val="12"/>
              </w:rPr>
              <w:t>10.8845</w:t>
            </w:r>
          </w:p>
        </w:tc>
        <w:tc>
          <w:tcPr>
            <w:tcW w:type="dxa" w:w="1522"/>
            <w:vAlign w:val="center"/>
            <w:shd w:fill="EAF2F8"/>
          </w:tcPr>
          <w:p>
            <w:pPr>
              <w:spacing w:after="0" w:line="240" w:lineRule="auto"/>
            </w:pPr>
            <w:r>
              <w:rPr>
                <w:rFonts w:ascii="Microsoft YaHei" w:hAnsi="Microsoft YaHei" w:eastAsia="Microsoft YaHei"/>
                <w:b w:val="0"/>
                <w:color w:val="19212A"/>
                <w:sz w:val="12"/>
              </w:rPr>
              <w:t>9.8010 / 10.1457</w:t>
            </w:r>
          </w:p>
        </w:tc>
        <w:tc>
          <w:tcPr>
            <w:tcW w:type="dxa" w:w="1522"/>
            <w:vAlign w:val="center"/>
            <w:shd w:fill="EAF2F8"/>
          </w:tcPr>
          <w:p>
            <w:pPr>
              <w:spacing w:after="0" w:line="240" w:lineRule="auto"/>
            </w:pPr>
            <w:r>
              <w:rPr>
                <w:rFonts w:ascii="Microsoft YaHei" w:hAnsi="Microsoft YaHei" w:eastAsia="Microsoft YaHei"/>
                <w:b w:val="0"/>
                <w:color w:val="19212A"/>
                <w:sz w:val="12"/>
              </w:rPr>
              <w:t>10.8845 / 10.7340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1.3576</w:t>
            </w:r>
          </w:p>
        </w:tc>
        <w:tc>
          <w:tcPr>
            <w:tcW w:type="dxa" w:w="1522"/>
            <w:vAlign w:val="center"/>
          </w:tcPr>
          <w:p>
            <w:pPr>
              <w:spacing w:after="0" w:line="240" w:lineRule="auto"/>
            </w:pPr>
            <w:r>
              <w:rPr>
                <w:rFonts w:ascii="Microsoft YaHei" w:hAnsi="Microsoft YaHei" w:eastAsia="Microsoft YaHei"/>
                <w:b w:val="0"/>
                <w:color w:val="19212A"/>
                <w:sz w:val="12"/>
              </w:rPr>
              <w:t>1.3643</w:t>
            </w:r>
          </w:p>
        </w:tc>
        <w:tc>
          <w:tcPr>
            <w:tcW w:type="dxa" w:w="1522"/>
            <w:vAlign w:val="center"/>
          </w:tcPr>
          <w:p>
            <w:pPr>
              <w:spacing w:after="0" w:line="240" w:lineRule="auto"/>
            </w:pPr>
            <w:r>
              <w:rPr>
                <w:rFonts w:ascii="Microsoft YaHei" w:hAnsi="Microsoft YaHei" w:eastAsia="Microsoft YaHei"/>
                <w:b w:val="0"/>
                <w:color w:val="19212A"/>
                <w:sz w:val="12"/>
              </w:rPr>
              <w:t>1.4075</w:t>
            </w:r>
          </w:p>
        </w:tc>
        <w:tc>
          <w:tcPr>
            <w:tcW w:type="dxa" w:w="1522"/>
            <w:vAlign w:val="center"/>
          </w:tcPr>
          <w:p>
            <w:pPr>
              <w:spacing w:after="0" w:line="240" w:lineRule="auto"/>
            </w:pPr>
            <w:r>
              <w:rPr>
                <w:rFonts w:ascii="Microsoft YaHei" w:hAnsi="Microsoft YaHei" w:eastAsia="Microsoft YaHei"/>
                <w:b w:val="0"/>
                <w:color w:val="19212A"/>
                <w:sz w:val="12"/>
              </w:rPr>
              <w:t>1.3103 / 1.3576</w:t>
            </w:r>
          </w:p>
        </w:tc>
        <w:tc>
          <w:tcPr>
            <w:tcW w:type="dxa" w:w="1522"/>
            <w:vAlign w:val="center"/>
          </w:tcPr>
          <w:p>
            <w:pPr>
              <w:spacing w:after="0" w:line="240" w:lineRule="auto"/>
            </w:pPr>
            <w:r>
              <w:rPr>
                <w:rFonts w:ascii="Microsoft YaHei" w:hAnsi="Microsoft YaHei" w:eastAsia="Microsoft YaHei"/>
                <w:b w:val="0"/>
                <w:color w:val="19212A"/>
                <w:sz w:val="12"/>
              </w:rPr>
              <w:t>1.4075 / 1.3822</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81,430 与 VAH 83,534 之间、靠近 POC 81,532，说明价格在正常成交区中部，不自动等于多头或空头；下沿扫低收回才有多头条件，上沿 83,434-83,614 失败才有空头条件。AVAX 的 POC 约 10.1576、XRP 的 POC 约 1.3643，只代表这五天成交最密集处。真实全网清算热力图本轮未取得，图中上下方数字只是止损/流动性代理，不代表真实清算金额。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+1.31%</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+0.19%</w:t>
            </w:r>
          </w:p>
        </w:tc>
        <w:tc>
          <w:tcPr>
            <w:tcW w:type="dxa" w:w="2131"/>
            <w:vAlign w:val="center"/>
            <w:shd w:fill="EAF2F8"/>
          </w:tcPr>
          <w:p>
            <w:pPr>
              <w:spacing w:after="0" w:line="240" w:lineRule="auto"/>
            </w:pPr>
            <w:r>
              <w:rPr>
                <w:rFonts w:ascii="Microsoft YaHei" w:hAnsi="Microsoft YaHei" w:eastAsia="Microsoft YaHei"/>
                <w:b w:val="0"/>
                <w:color w:val="19212A"/>
                <w:sz w:val="14"/>
              </w:rPr>
              <w:t>ETH/BTC -1.35%</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-0.75% / -2.91% / -0.01%</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+0.25% / -0.01% / -0.20%</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-4.22pp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-2.91%；OI -10.37%；Funding +0.0100%；Taker 1.237</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-1.32pp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-0.01%；OI -2.42%；Funding -0.0015%；Taker 1.151</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-4.22pp</w:t>
            </w:r>
          </w:p>
        </w:tc>
        <w:tc>
          <w:tcPr>
            <w:tcW w:type="dxa" w:w="2664"/>
            <w:vAlign w:val="center"/>
          </w:tcPr>
          <w:p>
            <w:pPr>
              <w:spacing w:after="0" w:line="240" w:lineRule="auto"/>
            </w:pPr>
            <w:r>
              <w:rPr>
                <w:rFonts w:ascii="Microsoft YaHei" w:hAnsi="Microsoft YaHei" w:eastAsia="Microsoft YaHei"/>
                <w:b w:val="0"/>
                <w:color w:val="19212A"/>
                <w:sz w:val="14"/>
              </w:rPr>
              <w:t>-1.32pp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-10.37%，Taker 1.237</w:t>
            </w:r>
          </w:p>
        </w:tc>
        <w:tc>
          <w:tcPr>
            <w:tcW w:type="dxa" w:w="2664"/>
            <w:vAlign w:val="center"/>
          </w:tcPr>
          <w:p>
            <w:pPr>
              <w:spacing w:after="0" w:line="240" w:lineRule="auto"/>
            </w:pPr>
            <w:r>
              <w:rPr>
                <w:rFonts w:ascii="Microsoft YaHei" w:hAnsi="Microsoft YaHei" w:eastAsia="Microsoft YaHei"/>
                <w:b w:val="0"/>
                <w:color w:val="19212A"/>
                <w:sz w:val="14"/>
              </w:rPr>
              <w:t>OI -2.42%，Taker 1.151</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 条件卡没有可核验成交，所以没有模型交易，也不能计入 Kelly。今天下沿多头因第一阻力过近取消，只保留‘反弹失败做空’路径；有效卡的最大风险预算仍是0.10%，不是要求必须用满的目标仓位。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已发生或计划日期已过去的事件不会因为当天没有新消息就从时间线消失；报告把它们标为‘已落地’，并单独写首次确认时间和本次是否新增。10月13日 Solana staking rewards、10月8日稳定币与10月9日 MOVE 解锁的计划时间都已过去，但本轮没有取得实际结果，因此保留为已落地事件而不是重新列为待公布。下一项正式宏观节点是10月14日CPI；CLARITY投票结果没有新日期，只保留历史结果。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83,434-83,614是否触达；15m/30m能否冲高失败、跌回VAH 83,534下方并形成LH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83,434-83,614是否触达；反弹后能否重新跌回VAL下方并形成LH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OI增加后是否继续；Taker能否从1.046回落并再次转弱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会涨还是跌，而是观察上沿 83,434-83,614 是否出现冲高失败。今天 VAL 81,430 附近即使收回，也因 POC 81,532 过近而不能直接做多；只有价值区重算后第一阻力重新拉开，才恢复多头评估。当前价附近不追空，也不直接抄底。</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Binance USDⓈ-M direct API</w:t>
            </w:r>
          </w:p>
        </w:tc>
        <w:tc>
          <w:tcPr>
            <w:tcW w:type="dxa" w:w="2131"/>
            <w:vAlign w:val="center"/>
          </w:tcPr>
          <w:p>
            <w:pPr>
              <w:spacing w:after="0" w:line="240" w:lineRule="auto"/>
            </w:pPr>
            <w:r>
              <w:rPr>
                <w:rFonts w:ascii="Microsoft YaHei" w:hAnsi="Microsoft YaHei" w:eastAsia="Microsoft YaHei"/>
                <w:b w:val="0"/>
                <w:color w:val="19212A"/>
                <w:sz w:val="12"/>
              </w:rPr>
              <w:t>2026-10-13T22:41:08.598816+08:00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2026-10-13T22:41:08.598816+08:00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2026-10-13 22:41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published through 2026-10-07 for BTC;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2026-10-13T22:41:08.598816+08:00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2026-10-13T22:41:08.598816+08:00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2026-10-13T22:41:08.598816+08:00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2026-10-13T22:41:08.598816+08:00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2026-10-13</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Binance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2026-10-13T22:41:08.598816+08:00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2026-10-13</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2026-10-13</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2026-10-13T22:41:08.598816+08:00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2026-10-13</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- 2026-10-13</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