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2026-10-19 | 市场快照 06:54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2026-10-19T06:54:49.683352+08:00 的 BTC/ETH/SOL 行情与 OKX 永续合约备选源（Binance/Bybit 本轮不可用）、Deribit 期权、Binance/OKX 现货成交带与盘口快照；ETF 数据以本次输入中最新可核验公开值为准，ETH/SOL 当日值可能不完整，宏观、催化剂与大佬观点核验截止 2026-10-19 06:54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81,778处于 POC 81,124 与 VAH 82,084 之间、位于价值区上半部，现价不直接追单；下沿多头本轮因 TP1 净R:R不足而淘汰，不做多；上沿只有进入 81,984-82,164 后冲高失败才做空。上沿一条条件卡有效至 2026-10-19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RANGE_MIDDLE / 处于 POC 81,124 与 VAH 82,084 之间、位于价值区上半部</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81,984-82,164</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80,773-82,084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2,359 收回与 EMA20 2,416，无独立交易卡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2,416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102.82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EMA20 104.05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RANGE_MIDDLE，ETH/SOL处于过渡，因此当前更准确的描述是‘中线震荡、短线偏弱’，还不是确认的大级别牛市或熊市。今天只允许上沿回踩受阻空，现价附近不交易。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80,673-80,823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80,673-80,823 / 80,823</w:t>
            </w:r>
          </w:p>
        </w:tc>
        <w:tc>
          <w:tcPr>
            <w:tcW w:type="dxa" w:w="1332"/>
            <w:vAlign w:val="center"/>
          </w:tcPr>
          <w:p>
            <w:pPr>
              <w:spacing w:after="0" w:line="240" w:lineRule="auto"/>
            </w:pPr>
            <w:r>
              <w:rPr>
                <w:rFonts w:ascii="Microsoft YaHei" w:hAnsi="Microsoft YaHei" w:eastAsia="Microsoft YaHei"/>
                <w:b w:val="0"/>
                <w:color w:val="19212A"/>
                <w:sz w:val="12"/>
              </w:rPr>
              <w:t>80,273</w:t>
            </w:r>
          </w:p>
        </w:tc>
        <w:tc>
          <w:tcPr>
            <w:tcW w:type="dxa" w:w="1332"/>
            <w:vAlign w:val="center"/>
          </w:tcPr>
          <w:p>
            <w:pPr>
              <w:spacing w:after="0" w:line="240" w:lineRule="auto"/>
            </w:pPr>
            <w:r>
              <w:rPr>
                <w:rFonts w:ascii="Microsoft YaHei" w:hAnsi="Microsoft YaHei" w:eastAsia="Microsoft YaHei"/>
                <w:b w:val="0"/>
                <w:color w:val="19212A"/>
                <w:sz w:val="12"/>
              </w:rPr>
              <w:t>81,124 / 82,084</w:t>
            </w:r>
          </w:p>
        </w:tc>
        <w:tc>
          <w:tcPr>
            <w:tcW w:type="dxa" w:w="1332"/>
            <w:vAlign w:val="center"/>
          </w:tcPr>
          <w:p>
            <w:pPr>
              <w:spacing w:after="0" w:line="240" w:lineRule="auto"/>
            </w:pPr>
            <w:r>
              <w:rPr>
                <w:rFonts w:ascii="Microsoft YaHei" w:hAnsi="Microsoft YaHei" w:eastAsia="Microsoft YaHei"/>
                <w:b w:val="0"/>
                <w:color w:val="19212A"/>
                <w:sz w:val="12"/>
              </w:rPr>
              <w:t>TP1 1:0.32；加权 1:1.21</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81,984-82,164，15m/30m出现冲高失败、LH并重新跌回 VAH 82,084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81,984-82,164 / 82,164</w:t>
            </w:r>
          </w:p>
        </w:tc>
        <w:tc>
          <w:tcPr>
            <w:tcW w:type="dxa" w:w="1332"/>
            <w:vAlign w:val="center"/>
            <w:shd w:fill="EAF2F8"/>
          </w:tcPr>
          <w:p>
            <w:pPr>
              <w:spacing w:after="0" w:line="240" w:lineRule="auto"/>
            </w:pPr>
            <w:r>
              <w:rPr>
                <w:rFonts w:ascii="Microsoft YaHei" w:hAnsi="Microsoft YaHei" w:eastAsia="Microsoft YaHei"/>
                <w:b w:val="0"/>
                <w:color w:val="19212A"/>
                <w:sz w:val="12"/>
              </w:rPr>
              <w:t>82,584</w:t>
            </w:r>
          </w:p>
        </w:tc>
        <w:tc>
          <w:tcPr>
            <w:tcW w:type="dxa" w:w="1332"/>
            <w:vAlign w:val="center"/>
            <w:shd w:fill="EAF2F8"/>
          </w:tcPr>
          <w:p>
            <w:pPr>
              <w:spacing w:after="0" w:line="240" w:lineRule="auto"/>
            </w:pPr>
            <w:r>
              <w:rPr>
                <w:rFonts w:ascii="Microsoft YaHei" w:hAnsi="Microsoft YaHei" w:eastAsia="Microsoft YaHei"/>
                <w:b w:val="0"/>
                <w:color w:val="19212A"/>
                <w:sz w:val="12"/>
              </w:rPr>
              <w:t>81,124 / 80,773</w:t>
            </w:r>
          </w:p>
        </w:tc>
        <w:tc>
          <w:tcPr>
            <w:tcW w:type="dxa" w:w="1332"/>
            <w:vAlign w:val="center"/>
            <w:shd w:fill="EAF2F8"/>
          </w:tcPr>
          <w:p>
            <w:pPr>
              <w:spacing w:after="0" w:line="240" w:lineRule="auto"/>
            </w:pPr>
            <w:r>
              <w:rPr>
                <w:rFonts w:ascii="Microsoft YaHei" w:hAnsi="Microsoft YaHei" w:eastAsia="Microsoft YaHei"/>
                <w:b w:val="0"/>
                <w:color w:val="19212A"/>
                <w:sz w:val="12"/>
              </w:rPr>
              <w:t>TP1 1:1.81；加权 1:2.22</w:t>
            </w:r>
          </w:p>
        </w:tc>
        <w:tc>
          <w:tcPr>
            <w:tcW w:type="dxa" w:w="1332"/>
            <w:vAlign w:val="center"/>
            <w:shd w:fill="EAF2F8"/>
          </w:tcPr>
          <w:p>
            <w:pPr>
              <w:spacing w:after="0" w:line="240" w:lineRule="auto"/>
            </w:pPr>
            <w:r>
              <w:rPr>
                <w:rFonts w:ascii="Microsoft YaHei" w:hAnsi="Microsoft YaHei" w:eastAsia="Microsoft YaHei"/>
                <w:b w:val="0"/>
                <w:color w:val="19212A"/>
                <w:sz w:val="12"/>
              </w:rPr>
              <w:t>2026-10-19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POC 81,124 与 VAH 82,084 之间、位于价值区上半部；POC 81,124 可以理解为最近成交最拥挤的中轴，不是追单位置。下沿多头本轮因 TP1 净R:R不足而取消；上沿空头必须先进入 81,984-82,164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79,562-82,146</w:t>
            </w:r>
          </w:p>
        </w:tc>
        <w:tc>
          <w:tcPr>
            <w:tcW w:type="dxa" w:w="1332"/>
            <w:vAlign w:val="center"/>
          </w:tcPr>
          <w:p>
            <w:pPr>
              <w:spacing w:after="0" w:line="240" w:lineRule="auto"/>
            </w:pPr>
            <w:r>
              <w:rPr>
                <w:rFonts w:ascii="Microsoft YaHei" w:hAnsi="Microsoft YaHei" w:eastAsia="Microsoft YaHei"/>
                <w:b w:val="0"/>
                <w:color w:val="19212A"/>
                <w:sz w:val="13"/>
              </w:rPr>
              <w:t>79,701-80,317</w:t>
            </w:r>
          </w:p>
        </w:tc>
        <w:tc>
          <w:tcPr>
            <w:tcW w:type="dxa" w:w="1332"/>
            <w:vAlign w:val="center"/>
          </w:tcPr>
          <w:p>
            <w:pPr>
              <w:spacing w:after="0" w:line="240" w:lineRule="auto"/>
            </w:pPr>
            <w:r>
              <w:rPr>
                <w:rFonts w:ascii="Microsoft YaHei" w:hAnsi="Microsoft YaHei" w:eastAsia="Microsoft YaHei"/>
                <w:b w:val="0"/>
                <w:color w:val="19212A"/>
                <w:sz w:val="13"/>
              </w:rPr>
              <w:t>81,150-81,495</w:t>
            </w:r>
          </w:p>
        </w:tc>
        <w:tc>
          <w:tcPr>
            <w:tcW w:type="dxa" w:w="1332"/>
            <w:vAlign w:val="center"/>
          </w:tcPr>
          <w:p>
            <w:pPr>
              <w:spacing w:after="0" w:line="240" w:lineRule="auto"/>
            </w:pPr>
            <w:r>
              <w:rPr>
                <w:rFonts w:ascii="Microsoft YaHei" w:hAnsi="Microsoft YaHei" w:eastAsia="Microsoft YaHei"/>
                <w:b w:val="0"/>
                <w:color w:val="19212A"/>
                <w:sz w:val="13"/>
              </w:rPr>
              <w:t>44.2% / 18.3% / 37.5%</w:t>
            </w:r>
          </w:p>
        </w:tc>
        <w:tc>
          <w:tcPr>
            <w:tcW w:type="dxa" w:w="1332"/>
            <w:vAlign w:val="center"/>
          </w:tcPr>
          <w:p>
            <w:pPr>
              <w:spacing w:after="0" w:line="240" w:lineRule="auto"/>
            </w:pPr>
            <w:r>
              <w:rPr>
                <w:rFonts w:ascii="Microsoft YaHei" w:hAnsi="Microsoft YaHei" w:eastAsia="Microsoft YaHei"/>
                <w:b w:val="0"/>
                <w:color w:val="19212A"/>
                <w:sz w:val="13"/>
              </w:rPr>
              <w:t>15.0%</w:t>
            </w:r>
          </w:p>
        </w:tc>
        <w:tc>
          <w:tcPr>
            <w:tcW w:type="dxa" w:w="1332"/>
            <w:vAlign w:val="center"/>
          </w:tcPr>
          <w:p>
            <w:pPr>
              <w:spacing w:after="0" w:line="240" w:lineRule="auto"/>
            </w:pPr>
            <w:r>
              <w:rPr>
                <w:rFonts w:ascii="Microsoft YaHei" w:hAnsi="Microsoft YaHei" w:eastAsia="Microsoft YaHei"/>
                <w:b w:val="0"/>
                <w:color w:val="19212A"/>
                <w:sz w:val="13"/>
              </w:rPr>
              <w:t>29.1</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78,637-83,113</w:t>
            </w:r>
          </w:p>
        </w:tc>
        <w:tc>
          <w:tcPr>
            <w:tcW w:type="dxa" w:w="1332"/>
            <w:vAlign w:val="center"/>
            <w:shd w:fill="EAF2F8"/>
          </w:tcPr>
          <w:p>
            <w:pPr>
              <w:spacing w:after="0" w:line="240" w:lineRule="auto"/>
            </w:pPr>
            <w:r>
              <w:rPr>
                <w:rFonts w:ascii="Microsoft YaHei" w:hAnsi="Microsoft YaHei" w:eastAsia="Microsoft YaHei"/>
                <w:b w:val="0"/>
                <w:color w:val="19212A"/>
                <w:sz w:val="13"/>
              </w:rPr>
              <w:t>78,132-79,741</w:t>
            </w:r>
          </w:p>
        </w:tc>
        <w:tc>
          <w:tcPr>
            <w:tcW w:type="dxa" w:w="1332"/>
            <w:vAlign w:val="center"/>
            <w:shd w:fill="EAF2F8"/>
          </w:tcPr>
          <w:p>
            <w:pPr>
              <w:spacing w:after="0" w:line="240" w:lineRule="auto"/>
            </w:pPr>
            <w:r>
              <w:rPr>
                <w:rFonts w:ascii="Microsoft YaHei" w:hAnsi="Microsoft YaHei" w:eastAsia="Microsoft YaHei"/>
                <w:b w:val="0"/>
                <w:color w:val="19212A"/>
                <w:sz w:val="13"/>
              </w:rPr>
              <w:t>81,378-81,947</w:t>
            </w:r>
          </w:p>
        </w:tc>
        <w:tc>
          <w:tcPr>
            <w:tcW w:type="dxa" w:w="1332"/>
            <w:vAlign w:val="center"/>
            <w:shd w:fill="EAF2F8"/>
          </w:tcPr>
          <w:p>
            <w:pPr>
              <w:spacing w:after="0" w:line="240" w:lineRule="auto"/>
            </w:pPr>
            <w:r>
              <w:rPr>
                <w:rFonts w:ascii="Microsoft YaHei" w:hAnsi="Microsoft YaHei" w:eastAsia="Microsoft YaHei"/>
                <w:b w:val="0"/>
                <w:color w:val="19212A"/>
                <w:sz w:val="13"/>
              </w:rPr>
              <w:t>53.6% / 38.5% / 7.9%</w:t>
            </w:r>
          </w:p>
        </w:tc>
        <w:tc>
          <w:tcPr>
            <w:tcW w:type="dxa" w:w="1332"/>
            <w:vAlign w:val="center"/>
            <w:shd w:fill="EAF2F8"/>
          </w:tcPr>
          <w:p>
            <w:pPr>
              <w:spacing w:after="0" w:line="240" w:lineRule="auto"/>
            </w:pPr>
            <w:r>
              <w:rPr>
                <w:rFonts w:ascii="Microsoft YaHei" w:hAnsi="Microsoft YaHei" w:eastAsia="Microsoft YaHei"/>
                <w:b w:val="0"/>
                <w:color w:val="19212A"/>
                <w:sz w:val="13"/>
              </w:rPr>
              <w:t>81.4%</w:t>
            </w:r>
          </w:p>
        </w:tc>
        <w:tc>
          <w:tcPr>
            <w:tcW w:type="dxa" w:w="1332"/>
            <w:vAlign w:val="center"/>
            <w:shd w:fill="EAF2F8"/>
          </w:tcPr>
          <w:p>
            <w:pPr>
              <w:spacing w:after="0" w:line="240" w:lineRule="auto"/>
            </w:pPr>
            <w:r>
              <w:rPr>
                <w:rFonts w:ascii="Microsoft YaHei" w:hAnsi="Microsoft YaHei" w:eastAsia="Microsoft YaHei"/>
                <w:b w:val="0"/>
                <w:color w:val="19212A"/>
                <w:sz w:val="13"/>
              </w:rPr>
              <w:t>18.1</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80,211-82,552</w:t>
            </w:r>
          </w:p>
        </w:tc>
        <w:tc>
          <w:tcPr>
            <w:tcW w:type="dxa" w:w="1332"/>
            <w:vAlign w:val="center"/>
          </w:tcPr>
          <w:p>
            <w:pPr>
              <w:spacing w:after="0" w:line="240" w:lineRule="auto"/>
            </w:pPr>
            <w:r>
              <w:rPr>
                <w:rFonts w:ascii="Microsoft YaHei" w:hAnsi="Microsoft YaHei" w:eastAsia="Microsoft YaHei"/>
                <w:b w:val="0"/>
                <w:color w:val="19212A"/>
                <w:sz w:val="13"/>
              </w:rPr>
              <w:t>80,773-81,124</w:t>
            </w:r>
          </w:p>
        </w:tc>
        <w:tc>
          <w:tcPr>
            <w:tcW w:type="dxa" w:w="1332"/>
            <w:vAlign w:val="center"/>
          </w:tcPr>
          <w:p>
            <w:pPr>
              <w:spacing w:after="0" w:line="240" w:lineRule="auto"/>
            </w:pPr>
            <w:r>
              <w:rPr>
                <w:rFonts w:ascii="Microsoft YaHei" w:hAnsi="Microsoft YaHei" w:eastAsia="Microsoft YaHei"/>
                <w:b w:val="0"/>
                <w:color w:val="19212A"/>
                <w:sz w:val="13"/>
              </w:rPr>
              <w:t>81,124-82,084</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这不是胜率。当前统计带只用于说明波动范围，不能把某一个点位当成绝对顶部。今天要观察下沿多头本轮已因 R:R 闸门淘汰，上沿 81,984-82,164 是否冲高失败形成 LH；现价不属于执行区。</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80,773 / POC 81,124 / VAH 82,084</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处于 POC 81,124 与 VAH 82,084 之间、位于价值区上半部不追单；下沿多头本轮无合格预案；上沿等S5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2,359 / POC 2,371 / VAH 2,441</w:t>
            </w:r>
          </w:p>
        </w:tc>
        <w:tc>
          <w:tcPr>
            <w:tcW w:type="dxa" w:w="2131"/>
            <w:vAlign w:val="center"/>
            <w:shd w:fill="EAF2F8"/>
          </w:tcPr>
          <w:p>
            <w:pPr>
              <w:spacing w:after="0" w:line="240" w:lineRule="auto"/>
            </w:pPr>
            <w:r>
              <w:rPr>
                <w:rFonts w:ascii="Microsoft YaHei" w:hAnsi="Microsoft YaHei" w:eastAsia="Microsoft YaHei"/>
                <w:b w:val="0"/>
                <w:color w:val="19212A"/>
                <w:sz w:val="14"/>
              </w:rPr>
              <w:t>HTF_TRANSITION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102.82 / POC 103.70 / VAH 106.80</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+0.66%；DOGE +0.05%；AVAX -0.66%</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81,124 是最近五天成交最密集的价格，可理解为短期筹码最拥挤的‘价格磁铁’；VAL 80,773 是正常震荡区下沿，VAH 82,084 是正常震荡区上沿。BTC 当前处于 POC 81,124 与 VAH 82,084 之间、位于价值区上半部，仍未进入执行带，不是自动做多或做空；下沿多头本轮取消、只等上沿冲高失败。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80,773后快速收回，卖压减弱并形成HL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RANGE_MIDDLE，S5不作为主执行；上沿路径按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POC 81,124 与 VAH 82,084 之间、位于价值区上半部，不能把反弹强度当成追多信号。下沿多头本轮因R:R不足不执行，空头只等上沿 81,984-82,164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w:t>
            </w:r>
          </w:p>
        </w:tc>
        <w:tc>
          <w:tcPr>
            <w:tcW w:type="dxa" w:w="710"/>
            <w:vAlign w:val="center"/>
          </w:tcPr>
          <w:p>
            <w:pPr>
              <w:spacing w:after="0" w:line="240" w:lineRule="auto"/>
            </w:pPr>
            <w:r>
              <w:rPr>
                <w:rFonts w:ascii="Microsoft YaHei" w:hAnsi="Microsoft YaHei" w:eastAsia="Microsoft YaHei"/>
                <w:b w:val="0"/>
                <w:color w:val="19212A"/>
                <w:sz w:val="11"/>
              </w:rPr>
              <w:t>现价处于 POC 81,124 与 VAH 82,084 之间、位于价值区上半部；只有上沿空头通过R:R闸门，现价不在执行区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82,084 后跌回；多：本轮取消；现价 81,778</w:t>
            </w:r>
          </w:p>
        </w:tc>
        <w:tc>
          <w:tcPr>
            <w:tcW w:type="dxa" w:w="710"/>
            <w:vAlign w:val="center"/>
          </w:tcPr>
          <w:p>
            <w:pPr>
              <w:spacing w:after="0" w:line="240" w:lineRule="auto"/>
            </w:pPr>
            <w:r>
              <w:rPr>
                <w:rFonts w:ascii="Microsoft YaHei" w:hAnsi="Microsoft YaHei" w:eastAsia="Microsoft YaHei"/>
                <w:b w:val="0"/>
                <w:color w:val="19212A"/>
                <w:sz w:val="11"/>
              </w:rPr>
              <w:t>空 82,104</w:t>
            </w:r>
          </w:p>
        </w:tc>
        <w:tc>
          <w:tcPr>
            <w:tcW w:type="dxa" w:w="710"/>
            <w:vAlign w:val="center"/>
          </w:tcPr>
          <w:p>
            <w:pPr>
              <w:spacing w:after="0" w:line="240" w:lineRule="auto"/>
            </w:pPr>
            <w:r>
              <w:rPr>
                <w:rFonts w:ascii="Microsoft YaHei" w:hAnsi="Microsoft YaHei" w:eastAsia="Microsoft YaHei"/>
                <w:b w:val="0"/>
                <w:color w:val="19212A"/>
                <w:sz w:val="11"/>
              </w:rPr>
              <w:t>空 82,164</w:t>
            </w:r>
          </w:p>
        </w:tc>
        <w:tc>
          <w:tcPr>
            <w:tcW w:type="dxa" w:w="710"/>
            <w:vAlign w:val="center"/>
          </w:tcPr>
          <w:p>
            <w:pPr>
              <w:spacing w:after="0" w:line="240" w:lineRule="auto"/>
            </w:pPr>
            <w:r>
              <w:rPr>
                <w:rFonts w:ascii="Microsoft YaHei" w:hAnsi="Microsoft YaHei" w:eastAsia="Microsoft YaHei"/>
                <w:b w:val="0"/>
                <w:color w:val="19212A"/>
                <w:sz w:val="11"/>
              </w:rPr>
              <w:t>空 82,584</w:t>
            </w:r>
          </w:p>
        </w:tc>
        <w:tc>
          <w:tcPr>
            <w:tcW w:type="dxa" w:w="710"/>
            <w:vAlign w:val="center"/>
          </w:tcPr>
          <w:p>
            <w:pPr>
              <w:spacing w:after="0" w:line="240" w:lineRule="auto"/>
            </w:pPr>
            <w:r>
              <w:rPr>
                <w:rFonts w:ascii="Microsoft YaHei" w:hAnsi="Microsoft YaHei" w:eastAsia="Microsoft YaHei"/>
                <w:b w:val="0"/>
                <w:color w:val="19212A"/>
                <w:sz w:val="11"/>
              </w:rPr>
              <w:t>空看 POC 81,124</w:t>
            </w:r>
          </w:p>
        </w:tc>
        <w:tc>
          <w:tcPr>
            <w:tcW w:type="dxa" w:w="710"/>
            <w:vAlign w:val="center"/>
          </w:tcPr>
          <w:p>
            <w:pPr>
              <w:spacing w:after="0" w:line="240" w:lineRule="auto"/>
            </w:pPr>
            <w:r>
              <w:rPr>
                <w:rFonts w:ascii="Microsoft YaHei" w:hAnsi="Microsoft YaHei" w:eastAsia="Microsoft YaHei"/>
                <w:b w:val="0"/>
                <w:color w:val="19212A"/>
                <w:sz w:val="11"/>
              </w:rPr>
              <w:t>空看 VAL 80,773</w:t>
            </w:r>
          </w:p>
        </w:tc>
        <w:tc>
          <w:tcPr>
            <w:tcW w:type="dxa" w:w="710"/>
            <w:vAlign w:val="center"/>
          </w:tcPr>
          <w:p>
            <w:pPr>
              <w:spacing w:after="0" w:line="240" w:lineRule="auto"/>
            </w:pPr>
            <w:r>
              <w:rPr>
                <w:rFonts w:ascii="Microsoft YaHei" w:hAnsi="Microsoft YaHei" w:eastAsia="Microsoft YaHei"/>
                <w:b w:val="0"/>
                <w:color w:val="19212A"/>
                <w:sz w:val="11"/>
              </w:rPr>
              <w:t>空 1:2.22</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81,984-82,164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HTF_RANGE + RANGE_MIDDLE</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19.6%</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9.8%-19.6%</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80,773 / POC 81,124 / VAH 82,084，仅上沿空头保留；下沿多头被R:R闸门淘汰，现价不在执行区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80,773、POC 81,124、VAH 82,084，当前 Regime 为 HTF_RANGE + RANGE_MIDDLE，价格处于 POC 81,124 与 VAH 82,084 之间、位于价值区上半部；仅上沿空头通过闸门，下沿多头因第一目标净R:R不足淘汰，现价不在执行区。这是按新快照和新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81,777.90 / +0.50%</w:t>
            </w:r>
          </w:p>
        </w:tc>
        <w:tc>
          <w:tcPr>
            <w:tcW w:type="dxa" w:w="1776"/>
            <w:vAlign w:val="center"/>
          </w:tcPr>
          <w:p>
            <w:pPr>
              <w:spacing w:after="0" w:line="240" w:lineRule="auto"/>
            </w:pPr>
            <w:r>
              <w:rPr>
                <w:rFonts w:ascii="Microsoft YaHei" w:hAnsi="Microsoft YaHei" w:eastAsia="Microsoft YaHei"/>
                <w:b w:val="0"/>
                <w:color w:val="19212A"/>
                <w:sz w:val="14"/>
              </w:rPr>
              <w:t>80,773.15 / 81,124.22 / 82,083.81</w:t>
            </w:r>
          </w:p>
        </w:tc>
        <w:tc>
          <w:tcPr>
            <w:tcW w:type="dxa" w:w="1776"/>
            <w:vAlign w:val="center"/>
          </w:tcPr>
          <w:p>
            <w:pPr>
              <w:spacing w:after="0" w:line="240" w:lineRule="auto"/>
            </w:pPr>
            <w:r>
              <w:rPr>
                <w:rFonts w:ascii="Microsoft YaHei" w:hAnsi="Microsoft YaHei" w:eastAsia="Microsoft YaHei"/>
                <w:b w:val="0"/>
                <w:color w:val="19212A"/>
                <w:sz w:val="14"/>
              </w:rPr>
              <w:t>+0.0069%</w:t>
            </w:r>
          </w:p>
        </w:tc>
        <w:tc>
          <w:tcPr>
            <w:tcW w:type="dxa" w:w="1776"/>
            <w:vAlign w:val="center"/>
          </w:tcPr>
          <w:p>
            <w:pPr>
              <w:spacing w:after="0" w:line="240" w:lineRule="auto"/>
            </w:pPr>
            <w:r>
              <w:rPr>
                <w:rFonts w:ascii="Microsoft YaHei" w:hAnsi="Microsoft YaHei" w:eastAsia="Microsoft YaHei"/>
                <w:b w:val="0"/>
                <w:color w:val="19212A"/>
                <w:sz w:val="14"/>
              </w:rPr>
              <w:t>$2.47bn / +0.00%</w:t>
            </w:r>
          </w:p>
        </w:tc>
        <w:tc>
          <w:tcPr>
            <w:tcW w:type="dxa" w:w="1776"/>
            <w:vAlign w:val="center"/>
          </w:tcPr>
          <w:p>
            <w:pPr>
              <w:spacing w:after="0" w:line="240" w:lineRule="auto"/>
            </w:pPr>
            <w:r>
              <w:rPr>
                <w:rFonts w:ascii="Microsoft YaHei" w:hAnsi="Microsoft YaHei" w:eastAsia="Microsoft YaHei"/>
                <w:b w:val="0"/>
                <w:color w:val="19212A"/>
                <w:sz w:val="14"/>
              </w:rPr>
              <w:t>0.655 / 0.655 / 0.655</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2,396.87 / +0.06%</w:t>
            </w:r>
          </w:p>
        </w:tc>
        <w:tc>
          <w:tcPr>
            <w:tcW w:type="dxa" w:w="1776"/>
            <w:vAlign w:val="center"/>
            <w:shd w:fill="EAF2F8"/>
          </w:tcPr>
          <w:p>
            <w:pPr>
              <w:spacing w:after="0" w:line="240" w:lineRule="auto"/>
            </w:pPr>
            <w:r>
              <w:rPr>
                <w:rFonts w:ascii="Microsoft YaHei" w:hAnsi="Microsoft YaHei" w:eastAsia="Microsoft YaHei"/>
                <w:b w:val="0"/>
                <w:color w:val="19212A"/>
                <w:sz w:val="14"/>
              </w:rPr>
              <w:t>2,358.75 / 2,371.15 / 2,441.45</w:t>
            </w:r>
          </w:p>
        </w:tc>
        <w:tc>
          <w:tcPr>
            <w:tcW w:type="dxa" w:w="1776"/>
            <w:vAlign w:val="center"/>
            <w:shd w:fill="EAF2F8"/>
          </w:tcPr>
          <w:p>
            <w:pPr>
              <w:spacing w:after="0" w:line="240" w:lineRule="auto"/>
            </w:pPr>
            <w:r>
              <w:rPr>
                <w:rFonts w:ascii="Microsoft YaHei" w:hAnsi="Microsoft YaHei" w:eastAsia="Microsoft YaHei"/>
                <w:b w:val="0"/>
                <w:color w:val="19212A"/>
                <w:sz w:val="14"/>
              </w:rPr>
              <w:t>+0.0077%</w:t>
            </w:r>
          </w:p>
        </w:tc>
        <w:tc>
          <w:tcPr>
            <w:tcW w:type="dxa" w:w="1776"/>
            <w:vAlign w:val="center"/>
            <w:shd w:fill="EAF2F8"/>
          </w:tcPr>
          <w:p>
            <w:pPr>
              <w:spacing w:after="0" w:line="240" w:lineRule="auto"/>
            </w:pPr>
            <w:r>
              <w:rPr>
                <w:rFonts w:ascii="Microsoft YaHei" w:hAnsi="Microsoft YaHei" w:eastAsia="Microsoft YaHei"/>
                <w:b w:val="0"/>
                <w:color w:val="19212A"/>
                <w:sz w:val="14"/>
              </w:rPr>
              <w:t>$1.41bn / +0.00%</w:t>
            </w:r>
          </w:p>
        </w:tc>
        <w:tc>
          <w:tcPr>
            <w:tcW w:type="dxa" w:w="1776"/>
            <w:vAlign w:val="center"/>
            <w:shd w:fill="EAF2F8"/>
          </w:tcPr>
          <w:p>
            <w:pPr>
              <w:spacing w:after="0" w:line="240" w:lineRule="auto"/>
            </w:pPr>
            <w:r>
              <w:rPr>
                <w:rFonts w:ascii="Microsoft YaHei" w:hAnsi="Microsoft YaHei" w:eastAsia="Microsoft YaHei"/>
                <w:b w:val="0"/>
                <w:color w:val="19212A"/>
                <w:sz w:val="14"/>
              </w:rPr>
              <w:t>0.288 / 0.288 / 0.288</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103.87 / +0.73%</w:t>
            </w:r>
          </w:p>
        </w:tc>
        <w:tc>
          <w:tcPr>
            <w:tcW w:type="dxa" w:w="1776"/>
            <w:vAlign w:val="center"/>
          </w:tcPr>
          <w:p>
            <w:pPr>
              <w:spacing w:after="0" w:line="240" w:lineRule="auto"/>
            </w:pPr>
            <w:r>
              <w:rPr>
                <w:rFonts w:ascii="Microsoft YaHei" w:hAnsi="Microsoft YaHei" w:eastAsia="Microsoft YaHei"/>
                <w:b w:val="0"/>
                <w:color w:val="19212A"/>
                <w:sz w:val="14"/>
              </w:rPr>
              <w:t>102.82 / 103.70 / 106.80</w:t>
            </w:r>
          </w:p>
        </w:tc>
        <w:tc>
          <w:tcPr>
            <w:tcW w:type="dxa" w:w="1776"/>
            <w:vAlign w:val="center"/>
          </w:tcPr>
          <w:p>
            <w:pPr>
              <w:spacing w:after="0" w:line="240" w:lineRule="auto"/>
            </w:pPr>
            <w:r>
              <w:rPr>
                <w:rFonts w:ascii="Microsoft YaHei" w:hAnsi="Microsoft YaHei" w:eastAsia="Microsoft YaHei"/>
                <w:b w:val="0"/>
                <w:color w:val="19212A"/>
                <w:sz w:val="14"/>
              </w:rPr>
              <w:t>+0.0060%</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3.573 / 3.573 / 3.573</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0.655，下沿多头本轮不执行，上沿空头要等冲高失败形成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7,659.44</w:t>
            </w:r>
          </w:p>
        </w:tc>
        <w:tc>
          <w:tcPr>
            <w:tcW w:type="dxa" w:w="2664"/>
            <w:vAlign w:val="center"/>
            <w:shd w:fill="EAF2F8"/>
          </w:tcPr>
          <w:p>
            <w:pPr>
              <w:spacing w:after="0" w:line="240" w:lineRule="auto"/>
            </w:pPr>
            <w:r>
              <w:rPr>
                <w:rFonts w:ascii="Microsoft YaHei" w:hAnsi="Microsoft YaHei" w:eastAsia="Microsoft YaHei"/>
                <w:b w:val="0"/>
                <w:color w:val="19212A"/>
                <w:sz w:val="14"/>
              </w:rPr>
              <w:t>-1.09%</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26,140.03</w:t>
            </w:r>
          </w:p>
        </w:tc>
        <w:tc>
          <w:tcPr>
            <w:tcW w:type="dxa" w:w="2664"/>
            <w:vAlign w:val="center"/>
          </w:tcPr>
          <w:p>
            <w:pPr>
              <w:spacing w:after="0" w:line="240" w:lineRule="auto"/>
            </w:pPr>
            <w:r>
              <w:rPr>
                <w:rFonts w:ascii="Microsoft YaHei" w:hAnsi="Microsoft YaHei" w:eastAsia="Microsoft YaHei"/>
                <w:b w:val="0"/>
                <w:color w:val="19212A"/>
                <w:sz w:val="14"/>
              </w:rPr>
              <w:t>-2.15%</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101.89</w:t>
            </w:r>
          </w:p>
        </w:tc>
        <w:tc>
          <w:tcPr>
            <w:tcW w:type="dxa" w:w="2664"/>
            <w:vAlign w:val="center"/>
            <w:shd w:fill="EAF2F8"/>
          </w:tcPr>
          <w:p>
            <w:pPr>
              <w:spacing w:after="0" w:line="240" w:lineRule="auto"/>
            </w:pPr>
            <w:r>
              <w:rPr>
                <w:rFonts w:ascii="Microsoft YaHei" w:hAnsi="Microsoft YaHei" w:eastAsia="Microsoft YaHei"/>
                <w:b w:val="0"/>
                <w:color w:val="19212A"/>
                <w:sz w:val="14"/>
              </w:rPr>
              <w:t>+0.05%</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5.10</w:t>
            </w:r>
          </w:p>
        </w:tc>
        <w:tc>
          <w:tcPr>
            <w:tcW w:type="dxa" w:w="2664"/>
            <w:vAlign w:val="center"/>
          </w:tcPr>
          <w:p>
            <w:pPr>
              <w:spacing w:after="0" w:line="240" w:lineRule="auto"/>
            </w:pPr>
            <w:r>
              <w:rPr>
                <w:rFonts w:ascii="Microsoft YaHei" w:hAnsi="Microsoft YaHei" w:eastAsia="Microsoft YaHei"/>
                <w:b w:val="0"/>
                <w:color w:val="19212A"/>
                <w:sz w:val="14"/>
              </w:rPr>
              <w:t>+0.18%</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4,198.80</w:t>
            </w:r>
          </w:p>
        </w:tc>
        <w:tc>
          <w:tcPr>
            <w:tcW w:type="dxa" w:w="2664"/>
            <w:vAlign w:val="center"/>
            <w:shd w:fill="EAF2F8"/>
          </w:tcPr>
          <w:p>
            <w:pPr>
              <w:spacing w:after="0" w:line="240" w:lineRule="auto"/>
            </w:pPr>
            <w:r>
              <w:rPr>
                <w:rFonts w:ascii="Microsoft YaHei" w:hAnsi="Microsoft YaHei" w:eastAsia="Microsoft YaHei"/>
                <w:b w:val="0"/>
                <w:color w:val="19212A"/>
                <w:sz w:val="14"/>
              </w:rPr>
              <w:t>+0.42%</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98.23</w:t>
            </w:r>
          </w:p>
        </w:tc>
        <w:tc>
          <w:tcPr>
            <w:tcW w:type="dxa" w:w="2664"/>
            <w:vAlign w:val="center"/>
          </w:tcPr>
          <w:p>
            <w:pPr>
              <w:spacing w:after="0" w:line="240" w:lineRule="auto"/>
            </w:pPr>
            <w:r>
              <w:rPr>
                <w:rFonts w:ascii="Microsoft YaHei" w:hAnsi="Microsoft YaHei" w:eastAsia="Microsoft YaHei"/>
                <w:b w:val="0"/>
                <w:color w:val="19212A"/>
                <w:sz w:val="14"/>
              </w:rPr>
              <w:t>-3.14%</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-1.09%、纳指 -2.15%，风险偏好偏弱；DXY +0.05%、10年期收益率 +0.18%，美元与利率仍有压制，黄金 +0.42% 则保留避险/通胀对冲需求。宏观没有给出可以覆盖技术结构的单边优势，因此不在 BTC 处于 POC 81,124 与 VAH 82,084 之间、位于价值区上半部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$306.1bn，提供中期流动性底座，但不能证明今天正在主动买币。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235s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63.1%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246s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72.8%</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282s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63.1%</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$7.73m</w:t>
            </w:r>
          </w:p>
        </w:tc>
        <w:tc>
          <w:tcPr>
            <w:tcW w:type="dxa" w:w="2131"/>
            <w:vAlign w:val="center"/>
          </w:tcPr>
          <w:p>
            <w:pPr>
              <w:spacing w:after="0" w:line="240" w:lineRule="auto"/>
            </w:pPr>
            <w:r>
              <w:rPr>
                <w:rFonts w:ascii="Microsoft YaHei" w:hAnsi="Microsoft YaHei" w:eastAsia="Microsoft YaHei"/>
                <w:b w:val="0"/>
                <w:color w:val="19212A"/>
                <w:sz w:val="14"/>
              </w:rPr>
              <w:t>$4.16m</w:t>
            </w:r>
          </w:p>
        </w:tc>
        <w:tc>
          <w:tcPr>
            <w:tcW w:type="dxa" w:w="2131"/>
            <w:vAlign w:val="center"/>
          </w:tcPr>
          <w:p>
            <w:pPr>
              <w:spacing w:after="0" w:line="240" w:lineRule="auto"/>
            </w:pPr>
            <w:r>
              <w:rPr>
                <w:rFonts w:ascii="Microsoft YaHei" w:hAnsi="Microsoft YaHei" w:eastAsia="Microsoft YaHei"/>
                <w:b w:val="0"/>
                <w:color w:val="19212A"/>
                <w:sz w:val="14"/>
              </w:rPr>
              <w:t>+30.0%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$3.52m</w:t>
            </w:r>
          </w:p>
        </w:tc>
        <w:tc>
          <w:tcPr>
            <w:tcW w:type="dxa" w:w="2131"/>
            <w:vAlign w:val="center"/>
            <w:shd w:fill="EAF2F8"/>
          </w:tcPr>
          <w:p>
            <w:pPr>
              <w:spacing w:after="0" w:line="240" w:lineRule="auto"/>
            </w:pPr>
            <w:r>
              <w:rPr>
                <w:rFonts w:ascii="Microsoft YaHei" w:hAnsi="Microsoft YaHei" w:eastAsia="Microsoft YaHei"/>
                <w:b w:val="0"/>
                <w:color w:val="19212A"/>
                <w:sz w:val="14"/>
              </w:rPr>
              <w:t>$3.28m</w:t>
            </w:r>
          </w:p>
        </w:tc>
        <w:tc>
          <w:tcPr>
            <w:tcW w:type="dxa" w:w="2131"/>
            <w:vAlign w:val="center"/>
            <w:shd w:fill="EAF2F8"/>
          </w:tcPr>
          <w:p>
            <w:pPr>
              <w:spacing w:after="0" w:line="240" w:lineRule="auto"/>
            </w:pPr>
            <w:r>
              <w:rPr>
                <w:rFonts w:ascii="Microsoft YaHei" w:hAnsi="Microsoft YaHei" w:eastAsia="Microsoft YaHei"/>
                <w:b w:val="0"/>
                <w:color w:val="19212A"/>
                <w:sz w:val="14"/>
              </w:rPr>
              <w:t>+3.5%</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$1.30m</w:t>
            </w:r>
          </w:p>
        </w:tc>
        <w:tc>
          <w:tcPr>
            <w:tcW w:type="dxa" w:w="2131"/>
            <w:vAlign w:val="center"/>
          </w:tcPr>
          <w:p>
            <w:pPr>
              <w:spacing w:after="0" w:line="240" w:lineRule="auto"/>
            </w:pPr>
            <w:r>
              <w:rPr>
                <w:rFonts w:ascii="Microsoft YaHei" w:hAnsi="Microsoft YaHei" w:eastAsia="Microsoft YaHei"/>
                <w:b w:val="0"/>
                <w:color w:val="19212A"/>
                <w:sz w:val="14"/>
              </w:rPr>
              <w:t>$1.09m</w:t>
            </w:r>
          </w:p>
        </w:tc>
        <w:tc>
          <w:tcPr>
            <w:tcW w:type="dxa" w:w="2131"/>
            <w:vAlign w:val="center"/>
          </w:tcPr>
          <w:p>
            <w:pPr>
              <w:spacing w:after="0" w:line="240" w:lineRule="auto"/>
            </w:pPr>
            <w:r>
              <w:rPr>
                <w:rFonts w:ascii="Microsoft YaHei" w:hAnsi="Microsoft YaHei" w:eastAsia="Microsoft YaHei"/>
                <w:b w:val="0"/>
                <w:color w:val="19212A"/>
                <w:sz w:val="14"/>
              </w:rPr>
              <w:t>+8.6%</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+0.50%</w:t>
            </w:r>
          </w:p>
        </w:tc>
        <w:tc>
          <w:tcPr>
            <w:tcW w:type="dxa" w:w="1522"/>
            <w:vAlign w:val="center"/>
          </w:tcPr>
          <w:p>
            <w:pPr>
              <w:spacing w:after="0" w:line="240" w:lineRule="auto"/>
            </w:pPr>
            <w:r>
              <w:rPr>
                <w:rFonts w:ascii="Microsoft YaHei" w:hAnsi="Microsoft YaHei" w:eastAsia="Microsoft YaHei"/>
                <w:b w:val="0"/>
                <w:color w:val="19212A"/>
                <w:sz w:val="13"/>
              </w:rPr>
              <w:t>+0.0069%</w:t>
            </w:r>
          </w:p>
        </w:tc>
        <w:tc>
          <w:tcPr>
            <w:tcW w:type="dxa" w:w="1522"/>
            <w:vAlign w:val="center"/>
          </w:tcPr>
          <w:p>
            <w:pPr>
              <w:spacing w:after="0" w:line="240" w:lineRule="auto"/>
            </w:pPr>
            <w:r>
              <w:rPr>
                <w:rFonts w:ascii="Microsoft YaHei" w:hAnsi="Microsoft YaHei" w:eastAsia="Microsoft YaHei"/>
                <w:b w:val="0"/>
                <w:color w:val="19212A"/>
                <w:sz w:val="13"/>
              </w:rPr>
              <w:t>$2.47bn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0.655/0.655/0.655</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+0.06%</w:t>
            </w:r>
          </w:p>
        </w:tc>
        <w:tc>
          <w:tcPr>
            <w:tcW w:type="dxa" w:w="1522"/>
            <w:vAlign w:val="center"/>
            <w:shd w:fill="EAF2F8"/>
          </w:tcPr>
          <w:p>
            <w:pPr>
              <w:spacing w:after="0" w:line="240" w:lineRule="auto"/>
            </w:pPr>
            <w:r>
              <w:rPr>
                <w:rFonts w:ascii="Microsoft YaHei" w:hAnsi="Microsoft YaHei" w:eastAsia="Microsoft YaHei"/>
                <w:b w:val="0"/>
                <w:color w:val="19212A"/>
                <w:sz w:val="13"/>
              </w:rPr>
              <w:t>+0.0077%</w:t>
            </w:r>
          </w:p>
        </w:tc>
        <w:tc>
          <w:tcPr>
            <w:tcW w:type="dxa" w:w="1522"/>
            <w:vAlign w:val="center"/>
            <w:shd w:fill="EAF2F8"/>
          </w:tcPr>
          <w:p>
            <w:pPr>
              <w:spacing w:after="0" w:line="240" w:lineRule="auto"/>
            </w:pPr>
            <w:r>
              <w:rPr>
                <w:rFonts w:ascii="Microsoft YaHei" w:hAnsi="Microsoft YaHei" w:eastAsia="Microsoft YaHei"/>
                <w:b w:val="0"/>
                <w:color w:val="19212A"/>
                <w:sz w:val="13"/>
              </w:rPr>
              <w:t>$1.41bn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0.288/0.288/0.288</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+0.73%</w:t>
            </w:r>
          </w:p>
        </w:tc>
        <w:tc>
          <w:tcPr>
            <w:tcW w:type="dxa" w:w="1522"/>
            <w:vAlign w:val="center"/>
          </w:tcPr>
          <w:p>
            <w:pPr>
              <w:spacing w:after="0" w:line="240" w:lineRule="auto"/>
            </w:pPr>
            <w:r>
              <w:rPr>
                <w:rFonts w:ascii="Microsoft YaHei" w:hAnsi="Microsoft YaHei" w:eastAsia="Microsoft YaHei"/>
                <w:b w:val="0"/>
                <w:color w:val="19212A"/>
                <w:sz w:val="13"/>
              </w:rPr>
              <w:t>+0.0060%</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3.573/3.573/3.573</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0.50%、OI 增加 0.00%，最近三小时 Taker 为 0.655、0.655、0.655：价格与OI同步增加更像反弹中的杠杆回补，但末端 Taker 尚未稳定站上1.10，不能直接当成趋势反转。ETH 24小时上涨 0.06%、OI 增加 0.00%；SOL 24小时上涨 0.73%、OI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19OCT26</w:t>
            </w:r>
          </w:p>
        </w:tc>
        <w:tc>
          <w:tcPr>
            <w:tcW w:type="dxa" w:w="1776"/>
            <w:vAlign w:val="center"/>
          </w:tcPr>
          <w:p>
            <w:pPr>
              <w:spacing w:after="0" w:line="240" w:lineRule="auto"/>
            </w:pPr>
            <w:r>
              <w:rPr>
                <w:rFonts w:ascii="Microsoft YaHei" w:hAnsi="Microsoft YaHei" w:eastAsia="Microsoft YaHei"/>
                <w:b w:val="0"/>
                <w:color w:val="19212A"/>
                <w:sz w:val="14"/>
              </w:rPr>
              <w:t>0.82</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19OCT26</w:t>
            </w:r>
          </w:p>
        </w:tc>
        <w:tc>
          <w:tcPr>
            <w:tcW w:type="dxa" w:w="1776"/>
            <w:vAlign w:val="center"/>
            <w:shd w:fill="EAF2F8"/>
          </w:tcPr>
          <w:p>
            <w:pPr>
              <w:spacing w:after="0" w:line="240" w:lineRule="auto"/>
            </w:pPr>
            <w:r>
              <w:rPr>
                <w:rFonts w:ascii="Microsoft YaHei" w:hAnsi="Microsoft YaHei" w:eastAsia="Microsoft YaHei"/>
                <w:b w:val="0"/>
                <w:color w:val="19212A"/>
                <w:sz w:val="14"/>
              </w:rPr>
              <w:t>1.17</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0.82；ETH 全期限 0.51、近月 1.17。本轮只取得期权持仓结构，没有稳定的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80,773</w:t>
            </w:r>
          </w:p>
        </w:tc>
        <w:tc>
          <w:tcPr>
            <w:tcW w:type="dxa" w:w="1522"/>
            <w:vAlign w:val="center"/>
          </w:tcPr>
          <w:p>
            <w:pPr>
              <w:spacing w:after="0" w:line="240" w:lineRule="auto"/>
            </w:pPr>
            <w:r>
              <w:rPr>
                <w:rFonts w:ascii="Microsoft YaHei" w:hAnsi="Microsoft YaHei" w:eastAsia="Microsoft YaHei"/>
                <w:b w:val="0"/>
                <w:color w:val="19212A"/>
                <w:sz w:val="12"/>
              </w:rPr>
              <w:t>81,124</w:t>
            </w:r>
          </w:p>
        </w:tc>
        <w:tc>
          <w:tcPr>
            <w:tcW w:type="dxa" w:w="1522"/>
            <w:vAlign w:val="center"/>
          </w:tcPr>
          <w:p>
            <w:pPr>
              <w:spacing w:after="0" w:line="240" w:lineRule="auto"/>
            </w:pPr>
            <w:r>
              <w:rPr>
                <w:rFonts w:ascii="Microsoft YaHei" w:hAnsi="Microsoft YaHei" w:eastAsia="Microsoft YaHei"/>
                <w:b w:val="0"/>
                <w:color w:val="19212A"/>
                <w:sz w:val="12"/>
              </w:rPr>
              <w:t>82,084</w:t>
            </w:r>
          </w:p>
        </w:tc>
        <w:tc>
          <w:tcPr>
            <w:tcW w:type="dxa" w:w="1522"/>
            <w:vAlign w:val="center"/>
          </w:tcPr>
          <w:p>
            <w:pPr>
              <w:spacing w:after="0" w:line="240" w:lineRule="auto"/>
            </w:pPr>
            <w:r>
              <w:rPr>
                <w:rFonts w:ascii="Microsoft YaHei" w:hAnsi="Microsoft YaHei" w:eastAsia="Microsoft YaHei"/>
                <w:b w:val="0"/>
                <w:color w:val="19212A"/>
                <w:sz w:val="12"/>
              </w:rPr>
              <w:t>80,773 / 80,273 / 80,773</w:t>
            </w:r>
          </w:p>
        </w:tc>
        <w:tc>
          <w:tcPr>
            <w:tcW w:type="dxa" w:w="1522"/>
            <w:vAlign w:val="center"/>
          </w:tcPr>
          <w:p>
            <w:pPr>
              <w:spacing w:after="0" w:line="240" w:lineRule="auto"/>
            </w:pPr>
            <w:r>
              <w:rPr>
                <w:rFonts w:ascii="Microsoft YaHei" w:hAnsi="Microsoft YaHei" w:eastAsia="Microsoft YaHei"/>
                <w:b w:val="0"/>
                <w:color w:val="19212A"/>
                <w:sz w:val="12"/>
              </w:rPr>
              <w:t>82,084 / 82,584 / 82,552</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2,359</w:t>
            </w:r>
          </w:p>
        </w:tc>
        <w:tc>
          <w:tcPr>
            <w:tcW w:type="dxa" w:w="1522"/>
            <w:vAlign w:val="center"/>
            <w:shd w:fill="EAF2F8"/>
          </w:tcPr>
          <w:p>
            <w:pPr>
              <w:spacing w:after="0" w:line="240" w:lineRule="auto"/>
            </w:pPr>
            <w:r>
              <w:rPr>
                <w:rFonts w:ascii="Microsoft YaHei" w:hAnsi="Microsoft YaHei" w:eastAsia="Microsoft YaHei"/>
                <w:b w:val="0"/>
                <w:color w:val="19212A"/>
                <w:sz w:val="12"/>
              </w:rPr>
              <w:t>2,371</w:t>
            </w:r>
          </w:p>
        </w:tc>
        <w:tc>
          <w:tcPr>
            <w:tcW w:type="dxa" w:w="1522"/>
            <w:vAlign w:val="center"/>
            <w:shd w:fill="EAF2F8"/>
          </w:tcPr>
          <w:p>
            <w:pPr>
              <w:spacing w:after="0" w:line="240" w:lineRule="auto"/>
            </w:pPr>
            <w:r>
              <w:rPr>
                <w:rFonts w:ascii="Microsoft YaHei" w:hAnsi="Microsoft YaHei" w:eastAsia="Microsoft YaHei"/>
                <w:b w:val="0"/>
                <w:color w:val="19212A"/>
                <w:sz w:val="12"/>
              </w:rPr>
              <w:t>2,441</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102.82</w:t>
            </w:r>
          </w:p>
        </w:tc>
        <w:tc>
          <w:tcPr>
            <w:tcW w:type="dxa" w:w="1522"/>
            <w:vAlign w:val="center"/>
          </w:tcPr>
          <w:p>
            <w:pPr>
              <w:spacing w:after="0" w:line="240" w:lineRule="auto"/>
            </w:pPr>
            <w:r>
              <w:rPr>
                <w:rFonts w:ascii="Microsoft YaHei" w:hAnsi="Microsoft YaHei" w:eastAsia="Microsoft YaHei"/>
                <w:b w:val="0"/>
                <w:color w:val="19212A"/>
                <w:sz w:val="12"/>
              </w:rPr>
              <w:t>103.70</w:t>
            </w:r>
          </w:p>
        </w:tc>
        <w:tc>
          <w:tcPr>
            <w:tcW w:type="dxa" w:w="1522"/>
            <w:vAlign w:val="center"/>
          </w:tcPr>
          <w:p>
            <w:pPr>
              <w:spacing w:after="0" w:line="240" w:lineRule="auto"/>
            </w:pPr>
            <w:r>
              <w:rPr>
                <w:rFonts w:ascii="Microsoft YaHei" w:hAnsi="Microsoft YaHei" w:eastAsia="Microsoft YaHei"/>
                <w:b w:val="0"/>
                <w:color w:val="19212A"/>
                <w:sz w:val="12"/>
              </w:rPr>
              <w:t>106.80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9.6938</w:t>
            </w:r>
          </w:p>
        </w:tc>
        <w:tc>
          <w:tcPr>
            <w:tcW w:type="dxa" w:w="1522"/>
            <w:vAlign w:val="center"/>
            <w:shd w:fill="EAF2F8"/>
          </w:tcPr>
          <w:p>
            <w:pPr>
              <w:spacing w:after="0" w:line="240" w:lineRule="auto"/>
            </w:pPr>
            <w:r>
              <w:rPr>
                <w:rFonts w:ascii="Microsoft YaHei" w:hAnsi="Microsoft YaHei" w:eastAsia="Microsoft YaHei"/>
                <w:b w:val="0"/>
                <w:color w:val="19212A"/>
                <w:sz w:val="12"/>
              </w:rPr>
              <w:t>10.0104</w:t>
            </w:r>
          </w:p>
        </w:tc>
        <w:tc>
          <w:tcPr>
            <w:tcW w:type="dxa" w:w="1522"/>
            <w:vAlign w:val="center"/>
            <w:shd w:fill="EAF2F8"/>
          </w:tcPr>
          <w:p>
            <w:pPr>
              <w:spacing w:after="0" w:line="240" w:lineRule="auto"/>
            </w:pPr>
            <w:r>
              <w:rPr>
                <w:rFonts w:ascii="Microsoft YaHei" w:hAnsi="Microsoft YaHei" w:eastAsia="Microsoft YaHei"/>
                <w:b w:val="0"/>
                <w:color w:val="19212A"/>
                <w:sz w:val="12"/>
              </w:rPr>
              <w:t>10.3883</w:t>
            </w:r>
          </w:p>
        </w:tc>
        <w:tc>
          <w:tcPr>
            <w:tcW w:type="dxa" w:w="1522"/>
            <w:vAlign w:val="center"/>
            <w:shd w:fill="EAF2F8"/>
          </w:tcPr>
          <w:p>
            <w:pPr>
              <w:spacing w:after="0" w:line="240" w:lineRule="auto"/>
            </w:pPr>
            <w:r>
              <w:rPr>
                <w:rFonts w:ascii="Microsoft YaHei" w:hAnsi="Microsoft YaHei" w:eastAsia="Microsoft YaHei"/>
                <w:b w:val="0"/>
                <w:color w:val="19212A"/>
                <w:sz w:val="12"/>
              </w:rPr>
              <w:t>9.2550 / 9.6938</w:t>
            </w:r>
          </w:p>
        </w:tc>
        <w:tc>
          <w:tcPr>
            <w:tcW w:type="dxa" w:w="1522"/>
            <w:vAlign w:val="center"/>
            <w:shd w:fill="EAF2F8"/>
          </w:tcPr>
          <w:p>
            <w:pPr>
              <w:spacing w:after="0" w:line="240" w:lineRule="auto"/>
            </w:pPr>
            <w:r>
              <w:rPr>
                <w:rFonts w:ascii="Microsoft YaHei" w:hAnsi="Microsoft YaHei" w:eastAsia="Microsoft YaHei"/>
                <w:b w:val="0"/>
                <w:color w:val="19212A"/>
                <w:sz w:val="12"/>
              </w:rPr>
              <w:t>10.3883 / 9.8930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1.2902</w:t>
            </w:r>
          </w:p>
        </w:tc>
        <w:tc>
          <w:tcPr>
            <w:tcW w:type="dxa" w:w="1522"/>
            <w:vAlign w:val="center"/>
          </w:tcPr>
          <w:p>
            <w:pPr>
              <w:spacing w:after="0" w:line="240" w:lineRule="auto"/>
            </w:pPr>
            <w:r>
              <w:rPr>
                <w:rFonts w:ascii="Microsoft YaHei" w:hAnsi="Microsoft YaHei" w:eastAsia="Microsoft YaHei"/>
                <w:b w:val="0"/>
                <w:color w:val="19212A"/>
                <w:sz w:val="12"/>
              </w:rPr>
              <w:t>1.3082</w:t>
            </w:r>
          </w:p>
        </w:tc>
        <w:tc>
          <w:tcPr>
            <w:tcW w:type="dxa" w:w="1522"/>
            <w:vAlign w:val="center"/>
          </w:tcPr>
          <w:p>
            <w:pPr>
              <w:spacing w:after="0" w:line="240" w:lineRule="auto"/>
            </w:pPr>
            <w:r>
              <w:rPr>
                <w:rFonts w:ascii="Microsoft YaHei" w:hAnsi="Microsoft YaHei" w:eastAsia="Microsoft YaHei"/>
                <w:b w:val="0"/>
                <w:color w:val="19212A"/>
                <w:sz w:val="12"/>
              </w:rPr>
              <w:t>1.3347</w:t>
            </w:r>
          </w:p>
        </w:tc>
        <w:tc>
          <w:tcPr>
            <w:tcW w:type="dxa" w:w="1522"/>
            <w:vAlign w:val="center"/>
          </w:tcPr>
          <w:p>
            <w:pPr>
              <w:spacing w:after="0" w:line="240" w:lineRule="auto"/>
            </w:pPr>
            <w:r>
              <w:rPr>
                <w:rFonts w:ascii="Microsoft YaHei" w:hAnsi="Microsoft YaHei" w:eastAsia="Microsoft YaHei"/>
                <w:b w:val="0"/>
                <w:color w:val="19212A"/>
                <w:sz w:val="12"/>
              </w:rPr>
              <w:t>1.2550 / 1.2902</w:t>
            </w:r>
          </w:p>
        </w:tc>
        <w:tc>
          <w:tcPr>
            <w:tcW w:type="dxa" w:w="1522"/>
            <w:vAlign w:val="center"/>
          </w:tcPr>
          <w:p>
            <w:pPr>
              <w:spacing w:after="0" w:line="240" w:lineRule="auto"/>
            </w:pPr>
            <w:r>
              <w:rPr>
                <w:rFonts w:ascii="Microsoft YaHei" w:hAnsi="Microsoft YaHei" w:eastAsia="Microsoft YaHei"/>
                <w:b w:val="0"/>
                <w:color w:val="19212A"/>
                <w:sz w:val="12"/>
              </w:rPr>
              <w:t>1.3347 / 1.3048</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80,773 与 VAH 82,084 之间、靠近 POC 81,124，说明价格在正常成交区中部，不自动等于多头或空头；下沿多头本轮未通过第一目标净R:R闸门，上沿 81,984-82,164 失败才有空头条件。AVAX 的 POC 约 10.0104、XRP 的 POC 约 1.3082，只代表这五天成交最密集处。真实全网清算热力图本轮未取得，图中上下方数字只是止损/流动性代理，不代表真实清算金额。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+0.50%</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+0.06%</w:t>
            </w:r>
          </w:p>
        </w:tc>
        <w:tc>
          <w:tcPr>
            <w:tcW w:type="dxa" w:w="2131"/>
            <w:vAlign w:val="center"/>
            <w:shd w:fill="EAF2F8"/>
          </w:tcPr>
          <w:p>
            <w:pPr>
              <w:spacing w:after="0" w:line="240" w:lineRule="auto"/>
            </w:pPr>
            <w:r>
              <w:rPr>
                <w:rFonts w:ascii="Microsoft YaHei" w:hAnsi="Microsoft YaHei" w:eastAsia="Microsoft YaHei"/>
                <w:b w:val="0"/>
                <w:color w:val="19212A"/>
                <w:sz w:val="14"/>
              </w:rPr>
              <w:t>ETH/BTC -0.36%</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+0.73% / -0.66% / +0.66%</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+0.22% / +0.66% / +0.05%</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-1.16pp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-0.66%；OI +0.00%；Funding +0.0040%；Taker 0.892</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+0.16pp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+0.66%；OI +0.00%；Funding +0.0002%；Taker 70.785</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-1.16pp</w:t>
            </w:r>
          </w:p>
        </w:tc>
        <w:tc>
          <w:tcPr>
            <w:tcW w:type="dxa" w:w="2664"/>
            <w:vAlign w:val="center"/>
          </w:tcPr>
          <w:p>
            <w:pPr>
              <w:spacing w:after="0" w:line="240" w:lineRule="auto"/>
            </w:pPr>
            <w:r>
              <w:rPr>
                <w:rFonts w:ascii="Microsoft YaHei" w:hAnsi="Microsoft YaHei" w:eastAsia="Microsoft YaHei"/>
                <w:b w:val="0"/>
                <w:color w:val="19212A"/>
                <w:sz w:val="14"/>
              </w:rPr>
              <w:t>+0.16pp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0.892</w:t>
            </w:r>
          </w:p>
        </w:tc>
        <w:tc>
          <w:tcPr>
            <w:tcW w:type="dxa" w:w="2664"/>
            <w:vAlign w:val="center"/>
          </w:tcPr>
          <w:p>
            <w:pPr>
              <w:spacing w:after="0" w:line="240" w:lineRule="auto"/>
            </w:pPr>
            <w:r>
              <w:rPr>
                <w:rFonts w:ascii="Microsoft YaHei" w:hAnsi="Microsoft YaHei" w:eastAsia="Microsoft YaHei"/>
                <w:b w:val="0"/>
                <w:color w:val="19212A"/>
                <w:sz w:val="14"/>
              </w:rPr>
              <w:t>OI +0.00%，Taker 70.785</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AVAX scheduled unlock（2026-10-21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81,984-82,164是否触达；15m/30m能否冲高失败、跌回VAH 82,084下方并形成LH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81,984-82,164是否触达；反弹后能否重新跌回VAL下方并形成LH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OI增加后是否继续；Taker能否从0.655回落并再次转弱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80,773 后收回形成 HL，或上沿 81,984-82,164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2026-10-19T06:54:49.683352+08:00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2026-10-19T06:54:49.683352+08:00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2026-10-19 06:54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2026-10-19T06:54:49.683352+08:00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2026-10-19T06:54:49.683352+08:00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2026-10-19T06:54:49.683352+08:00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2026-10-19T06:54:49.683352+08:00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2026-10-19T06:54:49.683352+08:00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2026-10-19</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2026-10-19T06:54:49.683352+08:00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2026-10-19</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- 2026-10-19</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