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- 2026-10-29 08:41 BJT</w:t>
      </w:r>
    </w:p>
    <w:p>
      <w:pPr>
        <w:spacing w:after="160"/>
        <w:jc w:val="center"/>
      </w:pPr>
      <w:r>
        <w:rPr>
          <w:rFonts w:ascii="Microsoft YaHei" w:hAnsi="Microsoft YaHei" w:eastAsia="Microsoft YaHei"/>
          <w:b w:val="0"/>
          <w:color w:val="5A5A5A"/>
          <w:sz w:val="16"/>
        </w:rPr>
        <w:t>2026-10-29 | 市场快照 08:41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2026-10-29T08:41:39.481136+08:00 的 BTC/ETH/SOL 行情与 OKX 永续合约备选源（Binance/Bybit 本轮不可用）、Deribit 期权、Binance/OKX 现货成交带与盘口快照；ETF 数据以本次输入中最新可核验公开值为准，ETH/SOL 当日值可能不完整，宏观、催化剂与大佬观点核验截止 2026-10-29 08:41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81,138高于正常震荡区上沿 VAH 80,828，现价不直接追单；下沿多头本轮因 TP1 净R:R不足而淘汰，不做多；上沿只有进入 80,728-80,908 后冲高失败才做空。上沿一条条件卡有效至 2026-10-29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CONSOLIDATION / 高于正常震荡区上沿 VAH 80,828</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下沿多头本轮无合格预案；上沿等S5 上沿受阻空 80,728-80,908</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79,712-80,828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2,323 收回与 EMA20 2,348，无独立交易卡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2,348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100.29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EMA20 101.72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CONSOLIDATION，ETH/SOL处于过渡，因此当前更准确的描述是‘中线震荡、短线偏弱’，还不是确认的大级别牛市或熊市。今天只允许上沿回踩受阻空，现价附近不交易。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79,612-79,762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79,612-79,762 / 79,762</w:t>
            </w:r>
          </w:p>
        </w:tc>
        <w:tc>
          <w:tcPr>
            <w:tcW w:type="dxa" w:w="1332"/>
            <w:vAlign w:val="center"/>
          </w:tcPr>
          <w:p>
            <w:pPr>
              <w:spacing w:after="0" w:line="240" w:lineRule="auto"/>
            </w:pPr>
            <w:r>
              <w:rPr>
                <w:rFonts w:ascii="Microsoft YaHei" w:hAnsi="Microsoft YaHei" w:eastAsia="Microsoft YaHei"/>
                <w:b w:val="0"/>
                <w:color w:val="19212A"/>
                <w:sz w:val="12"/>
              </w:rPr>
              <w:t>79,212</w:t>
            </w:r>
          </w:p>
        </w:tc>
        <w:tc>
          <w:tcPr>
            <w:tcW w:type="dxa" w:w="1332"/>
            <w:vAlign w:val="center"/>
          </w:tcPr>
          <w:p>
            <w:pPr>
              <w:spacing w:after="0" w:line="240" w:lineRule="auto"/>
            </w:pPr>
            <w:r>
              <w:rPr>
                <w:rFonts w:ascii="Microsoft YaHei" w:hAnsi="Microsoft YaHei" w:eastAsia="Microsoft YaHei"/>
                <w:b w:val="0"/>
                <w:color w:val="19212A"/>
                <w:sz w:val="12"/>
              </w:rPr>
              <w:t>80,116 / 80,828</w:t>
            </w:r>
          </w:p>
        </w:tc>
        <w:tc>
          <w:tcPr>
            <w:tcW w:type="dxa" w:w="1332"/>
            <w:vAlign w:val="center"/>
          </w:tcPr>
          <w:p>
            <w:pPr>
              <w:spacing w:after="0" w:line="240" w:lineRule="auto"/>
            </w:pPr>
            <w:r>
              <w:rPr>
                <w:rFonts w:ascii="Microsoft YaHei" w:hAnsi="Microsoft YaHei" w:eastAsia="Microsoft YaHei"/>
                <w:b w:val="0"/>
                <w:color w:val="19212A"/>
                <w:sz w:val="12"/>
              </w:rPr>
              <w:t>TP1 1:0.40；加权 1:1.06</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80,728-80,908，15m/30m出现冲高失败、LH并重新跌回 VAH 80,828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80,728-80,908 / 80,908</w:t>
            </w:r>
          </w:p>
        </w:tc>
        <w:tc>
          <w:tcPr>
            <w:tcW w:type="dxa" w:w="1332"/>
            <w:vAlign w:val="center"/>
            <w:shd w:fill="EAF2F8"/>
          </w:tcPr>
          <w:p>
            <w:pPr>
              <w:spacing w:after="0" w:line="240" w:lineRule="auto"/>
            </w:pPr>
            <w:r>
              <w:rPr>
                <w:rFonts w:ascii="Microsoft YaHei" w:hAnsi="Microsoft YaHei" w:eastAsia="Microsoft YaHei"/>
                <w:b w:val="0"/>
                <w:color w:val="19212A"/>
                <w:sz w:val="12"/>
              </w:rPr>
              <w:t>81,328</w:t>
            </w:r>
          </w:p>
        </w:tc>
        <w:tc>
          <w:tcPr>
            <w:tcW w:type="dxa" w:w="1332"/>
            <w:vAlign w:val="center"/>
            <w:shd w:fill="EAF2F8"/>
          </w:tcPr>
          <w:p>
            <w:pPr>
              <w:spacing w:after="0" w:line="240" w:lineRule="auto"/>
            </w:pPr>
            <w:r>
              <w:rPr>
                <w:rFonts w:ascii="Microsoft YaHei" w:hAnsi="Microsoft YaHei" w:eastAsia="Microsoft YaHei"/>
                <w:b w:val="0"/>
                <w:color w:val="19212A"/>
                <w:sz w:val="12"/>
              </w:rPr>
              <w:t>80,116 / 79,712</w:t>
            </w:r>
          </w:p>
        </w:tc>
        <w:tc>
          <w:tcPr>
            <w:tcW w:type="dxa" w:w="1332"/>
            <w:vAlign w:val="center"/>
            <w:shd w:fill="EAF2F8"/>
          </w:tcPr>
          <w:p>
            <w:pPr>
              <w:spacing w:after="0" w:line="240" w:lineRule="auto"/>
            </w:pPr>
            <w:r>
              <w:rPr>
                <w:rFonts w:ascii="Microsoft YaHei" w:hAnsi="Microsoft YaHei" w:eastAsia="Microsoft YaHei"/>
                <w:b w:val="0"/>
                <w:color w:val="19212A"/>
                <w:sz w:val="12"/>
              </w:rPr>
              <w:t>TP1 1:1.34；加权 1:1.81</w:t>
            </w:r>
          </w:p>
        </w:tc>
        <w:tc>
          <w:tcPr>
            <w:tcW w:type="dxa" w:w="1332"/>
            <w:vAlign w:val="center"/>
            <w:shd w:fill="EAF2F8"/>
          </w:tcPr>
          <w:p>
            <w:pPr>
              <w:spacing w:after="0" w:line="240" w:lineRule="auto"/>
            </w:pPr>
            <w:r>
              <w:rPr>
                <w:rFonts w:ascii="Microsoft YaHei" w:hAnsi="Microsoft YaHei" w:eastAsia="Microsoft YaHei"/>
                <w:b w:val="0"/>
                <w:color w:val="19212A"/>
                <w:sz w:val="12"/>
              </w:rPr>
              <w:t>2026-10-29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当前高于正常震荡区上沿 VAH 80,828；POC 80,116 可以理解为最近成交最拥挤的中轴，不是追单位置。下沿多头本轮因 TP1 净R:R不足而取消；上沿空头必须先进入 80,728-80,908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80,263-82,370</w:t>
            </w:r>
          </w:p>
        </w:tc>
        <w:tc>
          <w:tcPr>
            <w:tcW w:type="dxa" w:w="969"/>
            <w:vAlign w:val="center"/>
          </w:tcPr>
          <w:p>
            <w:pPr>
              <w:spacing w:after="0" w:line="240" w:lineRule="auto"/>
            </w:pPr>
            <w:r>
              <w:rPr>
                <w:rFonts w:ascii="Microsoft YaHei" w:hAnsi="Microsoft YaHei" w:eastAsia="Microsoft YaHei"/>
                <w:b w:val="0"/>
                <w:color w:val="19212A"/>
                <w:sz w:val="10"/>
              </w:rPr>
              <w:t>80,037-80,883</w:t>
            </w:r>
          </w:p>
        </w:tc>
        <w:tc>
          <w:tcPr>
            <w:tcW w:type="dxa" w:w="969"/>
            <w:vAlign w:val="center"/>
          </w:tcPr>
          <w:p>
            <w:pPr>
              <w:spacing w:after="0" w:line="240" w:lineRule="auto"/>
            </w:pPr>
            <w:r>
              <w:rPr>
                <w:rFonts w:ascii="Microsoft YaHei" w:hAnsi="Microsoft YaHei" w:eastAsia="Microsoft YaHei"/>
                <w:b w:val="0"/>
                <w:color w:val="19212A"/>
                <w:sz w:val="10"/>
              </w:rPr>
              <w:t>81,559-82,152</w:t>
            </w:r>
          </w:p>
        </w:tc>
        <w:tc>
          <w:tcPr>
            <w:tcW w:type="dxa" w:w="969"/>
            <w:vAlign w:val="center"/>
          </w:tcPr>
          <w:p>
            <w:pPr>
              <w:spacing w:after="0" w:line="240" w:lineRule="auto"/>
            </w:pPr>
            <w:r>
              <w:rPr>
                <w:rFonts w:ascii="Microsoft YaHei" w:hAnsi="Microsoft YaHei" w:eastAsia="Microsoft YaHei"/>
                <w:b w:val="0"/>
                <w:color w:val="19212A"/>
                <w:sz w:val="10"/>
              </w:rPr>
              <w:t>41.5% / 23.9% / 34.6%</w:t>
            </w:r>
          </w:p>
        </w:tc>
        <w:tc>
          <w:tcPr>
            <w:tcW w:type="dxa" w:w="969"/>
            <w:vAlign w:val="center"/>
          </w:tcPr>
          <w:p>
            <w:pPr>
              <w:spacing w:after="0" w:line="240" w:lineRule="auto"/>
            </w:pPr>
            <w:r>
              <w:rPr>
                <w:rFonts w:ascii="Microsoft YaHei" w:hAnsi="Microsoft YaHei" w:eastAsia="Microsoft YaHei"/>
                <w:b w:val="0"/>
                <w:color w:val="19212A"/>
                <w:sz w:val="10"/>
              </w:rPr>
              <w:t>5.9%</w:t>
            </w:r>
          </w:p>
        </w:tc>
        <w:tc>
          <w:tcPr>
            <w:tcW w:type="dxa" w:w="969"/>
            <w:vAlign w:val="center"/>
          </w:tcPr>
          <w:p>
            <w:pPr>
              <w:spacing w:after="0" w:line="240" w:lineRule="auto"/>
            </w:pPr>
            <w:r>
              <w:rPr>
                <w:rFonts w:ascii="Microsoft YaHei" w:hAnsi="Microsoft YaHei" w:eastAsia="Microsoft YaHei"/>
                <w:b w:val="0"/>
                <w:color w:val="19212A"/>
                <w:sz w:val="10"/>
              </w:rPr>
              <w:t>30.8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81,138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79,505-83,156</w:t>
            </w:r>
          </w:p>
        </w:tc>
        <w:tc>
          <w:tcPr>
            <w:tcW w:type="dxa" w:w="969"/>
            <w:vAlign w:val="center"/>
            <w:shd w:fill="EAF2F8"/>
          </w:tcPr>
          <w:p>
            <w:pPr>
              <w:spacing w:after="0" w:line="240" w:lineRule="auto"/>
            </w:pPr>
            <w:r>
              <w:rPr>
                <w:rFonts w:ascii="Microsoft YaHei" w:hAnsi="Microsoft YaHei" w:eastAsia="Microsoft YaHei"/>
                <w:b w:val="0"/>
                <w:color w:val="19212A"/>
                <w:sz w:val="10"/>
              </w:rPr>
              <w:t>79,396-80,028</w:t>
            </w:r>
          </w:p>
        </w:tc>
        <w:tc>
          <w:tcPr>
            <w:tcW w:type="dxa" w:w="969"/>
            <w:vAlign w:val="center"/>
            <w:shd w:fill="EAF2F8"/>
          </w:tcPr>
          <w:p>
            <w:pPr>
              <w:spacing w:after="0" w:line="240" w:lineRule="auto"/>
            </w:pPr>
            <w:r>
              <w:rPr>
                <w:rFonts w:ascii="Microsoft YaHei" w:hAnsi="Microsoft YaHei" w:eastAsia="Microsoft YaHei"/>
                <w:b w:val="0"/>
                <w:color w:val="19212A"/>
                <w:sz w:val="10"/>
              </w:rPr>
              <w:t>81,532-81,912</w:t>
            </w:r>
          </w:p>
        </w:tc>
        <w:tc>
          <w:tcPr>
            <w:tcW w:type="dxa" w:w="969"/>
            <w:vAlign w:val="center"/>
            <w:shd w:fill="EAF2F8"/>
          </w:tcPr>
          <w:p>
            <w:pPr>
              <w:spacing w:after="0" w:line="240" w:lineRule="auto"/>
            </w:pPr>
            <w:r>
              <w:rPr>
                <w:rFonts w:ascii="Microsoft YaHei" w:hAnsi="Microsoft YaHei" w:eastAsia="Microsoft YaHei"/>
                <w:b w:val="0"/>
                <w:color w:val="19212A"/>
                <w:sz w:val="10"/>
              </w:rPr>
              <w:t>88.4% / 11.6% / 0.0%</w:t>
            </w:r>
          </w:p>
        </w:tc>
        <w:tc>
          <w:tcPr>
            <w:tcW w:type="dxa" w:w="969"/>
            <w:vAlign w:val="center"/>
            <w:shd w:fill="EAF2F8"/>
          </w:tcPr>
          <w:p>
            <w:pPr>
              <w:spacing w:after="0" w:line="240" w:lineRule="auto"/>
            </w:pPr>
            <w:r>
              <w:rPr>
                <w:rFonts w:ascii="Microsoft YaHei" w:hAnsi="Microsoft YaHei" w:eastAsia="Microsoft YaHei"/>
                <w:b w:val="0"/>
                <w:color w:val="19212A"/>
                <w:sz w:val="10"/>
              </w:rPr>
              <w:t>23.9%</w:t>
            </w:r>
          </w:p>
        </w:tc>
        <w:tc>
          <w:tcPr>
            <w:tcW w:type="dxa" w:w="969"/>
            <w:vAlign w:val="center"/>
            <w:shd w:fill="EAF2F8"/>
          </w:tcPr>
          <w:p>
            <w:pPr>
              <w:spacing w:after="0" w:line="240" w:lineRule="auto"/>
            </w:pPr>
            <w:r>
              <w:rPr>
                <w:rFonts w:ascii="Microsoft YaHei" w:hAnsi="Microsoft YaHei" w:eastAsia="Microsoft YaHei"/>
                <w:b w:val="0"/>
                <w:color w:val="19212A"/>
                <w:sz w:val="10"/>
              </w:rPr>
              <w:t>20.6</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81,138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2,318-2,400</w:t>
            </w:r>
          </w:p>
        </w:tc>
        <w:tc>
          <w:tcPr>
            <w:tcW w:type="dxa" w:w="969"/>
            <w:vAlign w:val="center"/>
            <w:shd w:fill="EAF2F8"/>
          </w:tcPr>
          <w:p>
            <w:pPr>
              <w:spacing w:after="0" w:line="240" w:lineRule="auto"/>
            </w:pPr>
            <w:r>
              <w:rPr>
                <w:rFonts w:ascii="Microsoft YaHei" w:hAnsi="Microsoft YaHei" w:eastAsia="Microsoft YaHei"/>
                <w:b w:val="0"/>
                <w:color w:val="19212A"/>
                <w:sz w:val="10"/>
              </w:rPr>
              <w:t>2,307-2,335</w:t>
            </w:r>
          </w:p>
        </w:tc>
        <w:tc>
          <w:tcPr>
            <w:tcW w:type="dxa" w:w="969"/>
            <w:vAlign w:val="center"/>
            <w:shd w:fill="EAF2F8"/>
          </w:tcPr>
          <w:p>
            <w:pPr>
              <w:spacing w:after="0" w:line="240" w:lineRule="auto"/>
            </w:pPr>
            <w:r>
              <w:rPr>
                <w:rFonts w:ascii="Microsoft YaHei" w:hAnsi="Microsoft YaHei" w:eastAsia="Microsoft YaHei"/>
                <w:b w:val="0"/>
                <w:color w:val="19212A"/>
                <w:sz w:val="10"/>
              </w:rPr>
              <w:t>2,367-2,394</w:t>
            </w:r>
          </w:p>
        </w:tc>
        <w:tc>
          <w:tcPr>
            <w:tcW w:type="dxa" w:w="969"/>
            <w:vAlign w:val="center"/>
            <w:shd w:fill="EAF2F8"/>
          </w:tcPr>
          <w:p>
            <w:pPr>
              <w:spacing w:after="0" w:line="240" w:lineRule="auto"/>
            </w:pPr>
            <w:r>
              <w:rPr>
                <w:rFonts w:ascii="Microsoft YaHei" w:hAnsi="Microsoft YaHei" w:eastAsia="Microsoft YaHei"/>
                <w:b w:val="0"/>
                <w:color w:val="19212A"/>
                <w:sz w:val="10"/>
              </w:rPr>
              <w:t>49.3% / 21.2% / 29.5%</w:t>
            </w:r>
          </w:p>
        </w:tc>
        <w:tc>
          <w:tcPr>
            <w:tcW w:type="dxa" w:w="969"/>
            <w:vAlign w:val="center"/>
            <w:shd w:fill="EAF2F8"/>
          </w:tcPr>
          <w:p>
            <w:pPr>
              <w:spacing w:after="0" w:line="240" w:lineRule="auto"/>
            </w:pPr>
            <w:r>
              <w:rPr>
                <w:rFonts w:ascii="Microsoft YaHei" w:hAnsi="Microsoft YaHei" w:eastAsia="Microsoft YaHei"/>
                <w:b w:val="0"/>
                <w:color w:val="19212A"/>
                <w:sz w:val="10"/>
              </w:rPr>
              <w:t>7.5%</w:t>
            </w:r>
          </w:p>
        </w:tc>
        <w:tc>
          <w:tcPr>
            <w:tcW w:type="dxa" w:w="969"/>
            <w:vAlign w:val="center"/>
            <w:shd w:fill="EAF2F8"/>
          </w:tcPr>
          <w:p>
            <w:pPr>
              <w:spacing w:after="0" w:line="240" w:lineRule="auto"/>
            </w:pPr>
            <w:r>
              <w:rPr>
                <w:rFonts w:ascii="Microsoft YaHei" w:hAnsi="Microsoft YaHei" w:eastAsia="Microsoft YaHei"/>
                <w:b w:val="0"/>
                <w:color w:val="19212A"/>
                <w:sz w:val="10"/>
              </w:rPr>
              <w:t>31.1</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2,356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2,289-2,431</w:t>
            </w:r>
          </w:p>
        </w:tc>
        <w:tc>
          <w:tcPr>
            <w:tcW w:type="dxa" w:w="969"/>
            <w:vAlign w:val="center"/>
          </w:tcPr>
          <w:p>
            <w:pPr>
              <w:spacing w:after="0" w:line="240" w:lineRule="auto"/>
            </w:pPr>
            <w:r>
              <w:rPr>
                <w:rFonts w:ascii="Microsoft YaHei" w:hAnsi="Microsoft YaHei" w:eastAsia="Microsoft YaHei"/>
                <w:b w:val="0"/>
                <w:color w:val="19212A"/>
                <w:sz w:val="10"/>
              </w:rPr>
              <w:t>2,258-2,306</w:t>
            </w:r>
          </w:p>
        </w:tc>
        <w:tc>
          <w:tcPr>
            <w:tcW w:type="dxa" w:w="969"/>
            <w:vAlign w:val="center"/>
          </w:tcPr>
          <w:p>
            <w:pPr>
              <w:spacing w:after="0" w:line="240" w:lineRule="auto"/>
            </w:pPr>
            <w:r>
              <w:rPr>
                <w:rFonts w:ascii="Microsoft YaHei" w:hAnsi="Microsoft YaHei" w:eastAsia="Microsoft YaHei"/>
                <w:b w:val="0"/>
                <w:color w:val="19212A"/>
                <w:sz w:val="10"/>
              </w:rPr>
              <w:t>2,365-2,383</w:t>
            </w:r>
          </w:p>
        </w:tc>
        <w:tc>
          <w:tcPr>
            <w:tcW w:type="dxa" w:w="969"/>
            <w:vAlign w:val="center"/>
          </w:tcPr>
          <w:p>
            <w:pPr>
              <w:spacing w:after="0" w:line="240" w:lineRule="auto"/>
            </w:pPr>
            <w:r>
              <w:rPr>
                <w:rFonts w:ascii="Microsoft YaHei" w:hAnsi="Microsoft YaHei" w:eastAsia="Microsoft YaHei"/>
                <w:b w:val="0"/>
                <w:color w:val="19212A"/>
                <w:sz w:val="10"/>
              </w:rPr>
              <w:t>81.6% / 13.4% / 5.0%</w:t>
            </w:r>
          </w:p>
        </w:tc>
        <w:tc>
          <w:tcPr>
            <w:tcW w:type="dxa" w:w="969"/>
            <w:vAlign w:val="center"/>
          </w:tcPr>
          <w:p>
            <w:pPr>
              <w:spacing w:after="0" w:line="240" w:lineRule="auto"/>
            </w:pPr>
            <w:r>
              <w:rPr>
                <w:rFonts w:ascii="Microsoft YaHei" w:hAnsi="Microsoft YaHei" w:eastAsia="Microsoft YaHei"/>
                <w:b w:val="0"/>
                <w:color w:val="19212A"/>
                <w:sz w:val="10"/>
              </w:rPr>
              <w:t>22.5%</w:t>
            </w:r>
          </w:p>
        </w:tc>
        <w:tc>
          <w:tcPr>
            <w:tcW w:type="dxa" w:w="969"/>
            <w:vAlign w:val="center"/>
          </w:tcPr>
          <w:p>
            <w:pPr>
              <w:spacing w:after="0" w:line="240" w:lineRule="auto"/>
            </w:pPr>
            <w:r>
              <w:rPr>
                <w:rFonts w:ascii="Microsoft YaHei" w:hAnsi="Microsoft YaHei" w:eastAsia="Microsoft YaHei"/>
                <w:b w:val="0"/>
                <w:color w:val="19212A"/>
                <w:sz w:val="10"/>
              </w:rPr>
              <w:t>20.0</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2,356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100.26-104.52</w:t>
            </w:r>
          </w:p>
        </w:tc>
        <w:tc>
          <w:tcPr>
            <w:tcW w:type="dxa" w:w="969"/>
            <w:vAlign w:val="center"/>
          </w:tcPr>
          <w:p>
            <w:pPr>
              <w:spacing w:after="0" w:line="240" w:lineRule="auto"/>
            </w:pPr>
            <w:r>
              <w:rPr>
                <w:rFonts w:ascii="Microsoft YaHei" w:hAnsi="Microsoft YaHei" w:eastAsia="Microsoft YaHei"/>
                <w:b w:val="0"/>
                <w:color w:val="19212A"/>
                <w:sz w:val="10"/>
              </w:rPr>
              <w:t>99.94-101.34</w:t>
            </w:r>
          </w:p>
        </w:tc>
        <w:tc>
          <w:tcPr>
            <w:tcW w:type="dxa" w:w="969"/>
            <w:vAlign w:val="center"/>
          </w:tcPr>
          <w:p>
            <w:pPr>
              <w:spacing w:after="0" w:line="240" w:lineRule="auto"/>
            </w:pPr>
            <w:r>
              <w:rPr>
                <w:rFonts w:ascii="Microsoft YaHei" w:hAnsi="Microsoft YaHei" w:eastAsia="Microsoft YaHei"/>
                <w:b w:val="0"/>
                <w:color w:val="19212A"/>
                <w:sz w:val="10"/>
              </w:rPr>
              <w:t>102.86-104.00</w:t>
            </w:r>
          </w:p>
        </w:tc>
        <w:tc>
          <w:tcPr>
            <w:tcW w:type="dxa" w:w="969"/>
            <w:vAlign w:val="center"/>
          </w:tcPr>
          <w:p>
            <w:pPr>
              <w:spacing w:after="0" w:line="240" w:lineRule="auto"/>
            </w:pPr>
            <w:r>
              <w:rPr>
                <w:rFonts w:ascii="Microsoft YaHei" w:hAnsi="Microsoft YaHei" w:eastAsia="Microsoft YaHei"/>
                <w:b w:val="0"/>
                <w:color w:val="19212A"/>
                <w:sz w:val="10"/>
              </w:rPr>
              <w:t>43.9% / 17.7% / 38.3%</w:t>
            </w:r>
          </w:p>
        </w:tc>
        <w:tc>
          <w:tcPr>
            <w:tcW w:type="dxa" w:w="969"/>
            <w:vAlign w:val="center"/>
          </w:tcPr>
          <w:p>
            <w:pPr>
              <w:spacing w:after="0" w:line="240" w:lineRule="auto"/>
            </w:pPr>
            <w:r>
              <w:rPr>
                <w:rFonts w:ascii="Microsoft YaHei" w:hAnsi="Microsoft YaHei" w:eastAsia="Microsoft YaHei"/>
                <w:b w:val="0"/>
                <w:color w:val="19212A"/>
                <w:sz w:val="10"/>
              </w:rPr>
              <w:t>4.8%</w:t>
            </w:r>
          </w:p>
        </w:tc>
        <w:tc>
          <w:tcPr>
            <w:tcW w:type="dxa" w:w="969"/>
            <w:vAlign w:val="center"/>
          </w:tcPr>
          <w:p>
            <w:pPr>
              <w:spacing w:after="0" w:line="240" w:lineRule="auto"/>
            </w:pPr>
            <w:r>
              <w:rPr>
                <w:rFonts w:ascii="Microsoft YaHei" w:hAnsi="Microsoft YaHei" w:eastAsia="Microsoft YaHei"/>
                <w:b w:val="0"/>
                <w:color w:val="19212A"/>
                <w:sz w:val="10"/>
              </w:rPr>
              <w:t>30.8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102.06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98.74-106.13</w:t>
            </w:r>
          </w:p>
        </w:tc>
        <w:tc>
          <w:tcPr>
            <w:tcW w:type="dxa" w:w="969"/>
            <w:vAlign w:val="center"/>
            <w:shd w:fill="EAF2F8"/>
          </w:tcPr>
          <w:p>
            <w:pPr>
              <w:spacing w:after="0" w:line="240" w:lineRule="auto"/>
            </w:pPr>
            <w:r>
              <w:rPr>
                <w:rFonts w:ascii="Microsoft YaHei" w:hAnsi="Microsoft YaHei" w:eastAsia="Microsoft YaHei"/>
                <w:b w:val="0"/>
                <w:color w:val="19212A"/>
                <w:sz w:val="10"/>
              </w:rPr>
              <w:t>97.52-99.95</w:t>
            </w:r>
          </w:p>
        </w:tc>
        <w:tc>
          <w:tcPr>
            <w:tcW w:type="dxa" w:w="969"/>
            <w:vAlign w:val="center"/>
            <w:shd w:fill="EAF2F8"/>
          </w:tcPr>
          <w:p>
            <w:pPr>
              <w:spacing w:after="0" w:line="240" w:lineRule="auto"/>
            </w:pPr>
            <w:r>
              <w:rPr>
                <w:rFonts w:ascii="Microsoft YaHei" w:hAnsi="Microsoft YaHei" w:eastAsia="Microsoft YaHei"/>
                <w:b w:val="0"/>
                <w:color w:val="19212A"/>
                <w:sz w:val="10"/>
              </w:rPr>
              <w:t>102.75-103.74</w:t>
            </w:r>
          </w:p>
        </w:tc>
        <w:tc>
          <w:tcPr>
            <w:tcW w:type="dxa" w:w="969"/>
            <w:vAlign w:val="center"/>
            <w:shd w:fill="EAF2F8"/>
          </w:tcPr>
          <w:p>
            <w:pPr>
              <w:spacing w:after="0" w:line="240" w:lineRule="auto"/>
            </w:pPr>
            <w:r>
              <w:rPr>
                <w:rFonts w:ascii="Microsoft YaHei" w:hAnsi="Microsoft YaHei" w:eastAsia="Microsoft YaHei"/>
                <w:b w:val="0"/>
                <w:color w:val="19212A"/>
                <w:sz w:val="10"/>
              </w:rPr>
              <w:t>85.8% / 14.2% / 0.0%</w:t>
            </w:r>
          </w:p>
        </w:tc>
        <w:tc>
          <w:tcPr>
            <w:tcW w:type="dxa" w:w="969"/>
            <w:vAlign w:val="center"/>
            <w:shd w:fill="EAF2F8"/>
          </w:tcPr>
          <w:p>
            <w:pPr>
              <w:spacing w:after="0" w:line="240" w:lineRule="auto"/>
            </w:pPr>
            <w:r>
              <w:rPr>
                <w:rFonts w:ascii="Microsoft YaHei" w:hAnsi="Microsoft YaHei" w:eastAsia="Microsoft YaHei"/>
                <w:b w:val="0"/>
                <w:color w:val="19212A"/>
                <w:sz w:val="10"/>
              </w:rPr>
              <w:t>25.7%</w:t>
            </w:r>
          </w:p>
        </w:tc>
        <w:tc>
          <w:tcPr>
            <w:tcW w:type="dxa" w:w="969"/>
            <w:vAlign w:val="center"/>
            <w:shd w:fill="EAF2F8"/>
          </w:tcPr>
          <w:p>
            <w:pPr>
              <w:spacing w:after="0" w:line="240" w:lineRule="auto"/>
            </w:pPr>
            <w:r>
              <w:rPr>
                <w:rFonts w:ascii="Microsoft YaHei" w:hAnsi="Microsoft YaHei" w:eastAsia="Microsoft YaHei"/>
                <w:b w:val="0"/>
                <w:color w:val="19212A"/>
                <w:sz w:val="10"/>
              </w:rPr>
              <w:t>20.0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102.06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81,138，独立使用自身的24h/72h/7d区间；ETH 当前 2,356，独立使用自身的24h/72h/7d区间；SOL 当前 102.06，独立使用自身的24h/72h/7d区间。BTC今天仍要等BTC 下沿是否扫过 VAL 79,712 后收回形成 HL，以及上沿 80,728-80,908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79,712 / POC 80,116 / VAH 80,828</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高于正常震荡区上沿 VAH 80,828不追单；下沿多头本轮无合格预案；上沿等S5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2,323 / POC 2,327 / VAH 2,373</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RANGE_MIDDLE</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VAL 100.29 / POC 100.98 / VAH 102.00</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-0.40%；DOGE +1.06%；AVAX +0.16%</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80,116 是最近五天成交最密集的价格，可理解为短期筹码最拥挤的‘价格磁铁’；VAL 79,712 是正常震荡区下沿，VAH 80,828 是正常震荡区上沿。BTC 当前高于正常震荡区上沿 VAH 80,828，仍未进入执行带，不是自动做多或做空；下沿多头本轮取消、只等上沿冲高失败。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79,712后快速收回，卖压减弱并形成HL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CONSOLIDATION，S5不作为主执行；上沿路径按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高于正常震荡区上沿 VAH 80,828，不能把反弹强度当成追多信号。下沿多头本轮因R:R不足不执行，空头只等上沿 80,728-80,908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上沿受阻空；下沿多头 INVALID</w:t>
            </w:r>
          </w:p>
        </w:tc>
        <w:tc>
          <w:tcPr>
            <w:tcW w:type="dxa" w:w="710"/>
            <w:vAlign w:val="center"/>
          </w:tcPr>
          <w:p>
            <w:pPr>
              <w:spacing w:after="0" w:line="240" w:lineRule="auto"/>
            </w:pPr>
            <w:r>
              <w:rPr>
                <w:rFonts w:ascii="Microsoft YaHei" w:hAnsi="Microsoft YaHei" w:eastAsia="Microsoft YaHei"/>
                <w:b w:val="0"/>
                <w:color w:val="19212A"/>
                <w:sz w:val="11"/>
              </w:rPr>
              <w:t>HTF_RANGE + CONSOLIDATION</w:t>
            </w:r>
          </w:p>
        </w:tc>
        <w:tc>
          <w:tcPr>
            <w:tcW w:type="dxa" w:w="710"/>
            <w:vAlign w:val="center"/>
          </w:tcPr>
          <w:p>
            <w:pPr>
              <w:spacing w:after="0" w:line="240" w:lineRule="auto"/>
            </w:pPr>
            <w:r>
              <w:rPr>
                <w:rFonts w:ascii="Microsoft YaHei" w:hAnsi="Microsoft YaHei" w:eastAsia="Microsoft YaHei"/>
                <w:b w:val="0"/>
                <w:color w:val="19212A"/>
                <w:sz w:val="11"/>
              </w:rPr>
              <w:t>现价高于正常震荡区上沿 VAH 80,828；只有上沿空头通过R:R闸门，现价不在执行区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80,828 后跌回；多：本轮取消；现价 81,138</w:t>
            </w:r>
          </w:p>
        </w:tc>
        <w:tc>
          <w:tcPr>
            <w:tcW w:type="dxa" w:w="710"/>
            <w:vAlign w:val="center"/>
          </w:tcPr>
          <w:p>
            <w:pPr>
              <w:spacing w:after="0" w:line="240" w:lineRule="auto"/>
            </w:pPr>
            <w:r>
              <w:rPr>
                <w:rFonts w:ascii="Microsoft YaHei" w:hAnsi="Microsoft YaHei" w:eastAsia="Microsoft YaHei"/>
                <w:b w:val="0"/>
                <w:color w:val="19212A"/>
                <w:sz w:val="11"/>
              </w:rPr>
              <w:t>空 80,848</w:t>
            </w:r>
          </w:p>
        </w:tc>
        <w:tc>
          <w:tcPr>
            <w:tcW w:type="dxa" w:w="710"/>
            <w:vAlign w:val="center"/>
          </w:tcPr>
          <w:p>
            <w:pPr>
              <w:spacing w:after="0" w:line="240" w:lineRule="auto"/>
            </w:pPr>
            <w:r>
              <w:rPr>
                <w:rFonts w:ascii="Microsoft YaHei" w:hAnsi="Microsoft YaHei" w:eastAsia="Microsoft YaHei"/>
                <w:b w:val="0"/>
                <w:color w:val="19212A"/>
                <w:sz w:val="11"/>
              </w:rPr>
              <w:t>空 80,908</w:t>
            </w:r>
          </w:p>
        </w:tc>
        <w:tc>
          <w:tcPr>
            <w:tcW w:type="dxa" w:w="710"/>
            <w:vAlign w:val="center"/>
          </w:tcPr>
          <w:p>
            <w:pPr>
              <w:spacing w:after="0" w:line="240" w:lineRule="auto"/>
            </w:pPr>
            <w:r>
              <w:rPr>
                <w:rFonts w:ascii="Microsoft YaHei" w:hAnsi="Microsoft YaHei" w:eastAsia="Microsoft YaHei"/>
                <w:b w:val="0"/>
                <w:color w:val="19212A"/>
                <w:sz w:val="11"/>
              </w:rPr>
              <w:t>空 81,328</w:t>
            </w:r>
          </w:p>
        </w:tc>
        <w:tc>
          <w:tcPr>
            <w:tcW w:type="dxa" w:w="710"/>
            <w:vAlign w:val="center"/>
          </w:tcPr>
          <w:p>
            <w:pPr>
              <w:spacing w:after="0" w:line="240" w:lineRule="auto"/>
            </w:pPr>
            <w:r>
              <w:rPr>
                <w:rFonts w:ascii="Microsoft YaHei" w:hAnsi="Microsoft YaHei" w:eastAsia="Microsoft YaHei"/>
                <w:b w:val="0"/>
                <w:color w:val="19212A"/>
                <w:sz w:val="11"/>
              </w:rPr>
              <w:t>空看 POC 80,116</w:t>
            </w:r>
          </w:p>
        </w:tc>
        <w:tc>
          <w:tcPr>
            <w:tcW w:type="dxa" w:w="710"/>
            <w:vAlign w:val="center"/>
          </w:tcPr>
          <w:p>
            <w:pPr>
              <w:spacing w:after="0" w:line="240" w:lineRule="auto"/>
            </w:pPr>
            <w:r>
              <w:rPr>
                <w:rFonts w:ascii="Microsoft YaHei" w:hAnsi="Microsoft YaHei" w:eastAsia="Microsoft YaHei"/>
                <w:b w:val="0"/>
                <w:color w:val="19212A"/>
                <w:sz w:val="11"/>
              </w:rPr>
              <w:t>空看 VAL 79,712</w:t>
            </w:r>
          </w:p>
        </w:tc>
        <w:tc>
          <w:tcPr>
            <w:tcW w:type="dxa" w:w="710"/>
            <w:vAlign w:val="center"/>
          </w:tcPr>
          <w:p>
            <w:pPr>
              <w:spacing w:after="0" w:line="240" w:lineRule="auto"/>
            </w:pPr>
            <w:r>
              <w:rPr>
                <w:rFonts w:ascii="Microsoft YaHei" w:hAnsi="Microsoft YaHei" w:eastAsia="Microsoft YaHei"/>
                <w:b w:val="0"/>
                <w:color w:val="19212A"/>
                <w:sz w:val="11"/>
              </w:rPr>
              <w:t>空 1:1.81</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80,728-80,908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w:t>
            </w:r>
          </w:p>
        </w:tc>
        <w:tc>
          <w:tcPr>
            <w:tcW w:type="dxa" w:w="888"/>
            <w:vAlign w:val="center"/>
          </w:tcPr>
          <w:p>
            <w:pPr>
              <w:spacing w:after="0" w:line="240" w:lineRule="auto"/>
            </w:pPr>
            <w:r>
              <w:rPr>
                <w:rFonts w:ascii="Microsoft YaHei" w:hAnsi="Microsoft YaHei" w:eastAsia="Microsoft YaHei"/>
                <w:b w:val="0"/>
                <w:color w:val="19212A"/>
                <w:sz w:val="13"/>
              </w:rPr>
              <w:t>HTF_RANGE + CONSOLIDATION</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0.52%</w:t>
            </w:r>
          </w:p>
        </w:tc>
        <w:tc>
          <w:tcPr>
            <w:tcW w:type="dxa" w:w="1332"/>
            <w:vAlign w:val="center"/>
          </w:tcPr>
          <w:p>
            <w:pPr>
              <w:spacing w:after="0" w:line="240" w:lineRule="auto"/>
            </w:pPr>
            <w:r>
              <w:rPr>
                <w:rFonts w:ascii="Microsoft YaHei" w:hAnsi="Microsoft YaHei" w:eastAsia="Microsoft YaHei"/>
                <w:b w:val="0"/>
                <w:color w:val="19212A"/>
                <w:sz w:val="13"/>
              </w:rPr>
              <w:t>19.3%</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9.6%-19.3%</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79,712 / POC 80,116 / VAH 80,828，仅上沿空头保留；下沿多头被R:R闸门淘汰，现价不在执行区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79,712、POC 80,116、VAH 80,828，当前 Regime 为 HTF_RANGE + CONSOLIDATION，价格高于正常震荡区上沿 VAH 80,828；仅上沿空头通过闸门，下沿多头因第一目标净R:R不足淘汰，现价不在执行区。这是按新快照和新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81,138.00 / +0.44%</w:t>
            </w:r>
          </w:p>
        </w:tc>
        <w:tc>
          <w:tcPr>
            <w:tcW w:type="dxa" w:w="1776"/>
            <w:vAlign w:val="center"/>
          </w:tcPr>
          <w:p>
            <w:pPr>
              <w:spacing w:after="0" w:line="240" w:lineRule="auto"/>
            </w:pPr>
            <w:r>
              <w:rPr>
                <w:rFonts w:ascii="Microsoft YaHei" w:hAnsi="Microsoft YaHei" w:eastAsia="Microsoft YaHei"/>
                <w:b w:val="0"/>
                <w:color w:val="19212A"/>
                <w:sz w:val="14"/>
              </w:rPr>
              <w:t>79,711.63 / 80,115.78 / 80,827.86</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$2.48bn / +0.00%</w:t>
            </w:r>
          </w:p>
        </w:tc>
        <w:tc>
          <w:tcPr>
            <w:tcW w:type="dxa" w:w="1776"/>
            <w:vAlign w:val="center"/>
          </w:tcPr>
          <w:p>
            <w:pPr>
              <w:spacing w:after="0" w:line="240" w:lineRule="auto"/>
            </w:pPr>
            <w:r>
              <w:rPr>
                <w:rFonts w:ascii="Microsoft YaHei" w:hAnsi="Microsoft YaHei" w:eastAsia="Microsoft YaHei"/>
                <w:b w:val="0"/>
                <w:color w:val="19212A"/>
                <w:sz w:val="14"/>
              </w:rPr>
              <w:t>0.632 / 0.632 / 0.632</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2,356.14 / +0.36%</w:t>
            </w:r>
          </w:p>
        </w:tc>
        <w:tc>
          <w:tcPr>
            <w:tcW w:type="dxa" w:w="1776"/>
            <w:vAlign w:val="center"/>
            <w:shd w:fill="EAF2F8"/>
          </w:tcPr>
          <w:p>
            <w:pPr>
              <w:spacing w:after="0" w:line="240" w:lineRule="auto"/>
            </w:pPr>
            <w:r>
              <w:rPr>
                <w:rFonts w:ascii="Microsoft YaHei" w:hAnsi="Microsoft YaHei" w:eastAsia="Microsoft YaHei"/>
                <w:b w:val="0"/>
                <w:color w:val="19212A"/>
                <w:sz w:val="14"/>
              </w:rPr>
              <w:t>2,323.20 / 2,326.65 / 2,372.86</w:t>
            </w:r>
          </w:p>
        </w:tc>
        <w:tc>
          <w:tcPr>
            <w:tcW w:type="dxa" w:w="1776"/>
            <w:vAlign w:val="center"/>
            <w:shd w:fill="EAF2F8"/>
          </w:tcPr>
          <w:p>
            <w:pPr>
              <w:spacing w:after="0" w:line="240" w:lineRule="auto"/>
            </w:pPr>
            <w:r>
              <w:rPr>
                <w:rFonts w:ascii="Microsoft YaHei" w:hAnsi="Microsoft YaHei" w:eastAsia="Microsoft YaHei"/>
                <w:b w:val="0"/>
                <w:color w:val="19212A"/>
                <w:sz w:val="14"/>
              </w:rPr>
              <w:t>+0.0094%</w:t>
            </w:r>
          </w:p>
        </w:tc>
        <w:tc>
          <w:tcPr>
            <w:tcW w:type="dxa" w:w="1776"/>
            <w:vAlign w:val="center"/>
            <w:shd w:fill="EAF2F8"/>
          </w:tcPr>
          <w:p>
            <w:pPr>
              <w:spacing w:after="0" w:line="240" w:lineRule="auto"/>
            </w:pPr>
            <w:r>
              <w:rPr>
                <w:rFonts w:ascii="Microsoft YaHei" w:hAnsi="Microsoft YaHei" w:eastAsia="Microsoft YaHei"/>
                <w:b w:val="0"/>
                <w:color w:val="19212A"/>
                <w:sz w:val="14"/>
              </w:rPr>
              <w:t>$1.45bn / +0.00%</w:t>
            </w:r>
          </w:p>
        </w:tc>
        <w:tc>
          <w:tcPr>
            <w:tcW w:type="dxa" w:w="1776"/>
            <w:vAlign w:val="center"/>
            <w:shd w:fill="EAF2F8"/>
          </w:tcPr>
          <w:p>
            <w:pPr>
              <w:spacing w:after="0" w:line="240" w:lineRule="auto"/>
            </w:pPr>
            <w:r>
              <w:rPr>
                <w:rFonts w:ascii="Microsoft YaHei" w:hAnsi="Microsoft YaHei" w:eastAsia="Microsoft YaHei"/>
                <w:b w:val="0"/>
                <w:color w:val="19212A"/>
                <w:sz w:val="14"/>
              </w:rPr>
              <w:t>28.372 / 28.372 / 28.372</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102.06 / +0.79%</w:t>
            </w:r>
          </w:p>
        </w:tc>
        <w:tc>
          <w:tcPr>
            <w:tcW w:type="dxa" w:w="1776"/>
            <w:vAlign w:val="center"/>
          </w:tcPr>
          <w:p>
            <w:pPr>
              <w:spacing w:after="0" w:line="240" w:lineRule="auto"/>
            </w:pPr>
            <w:r>
              <w:rPr>
                <w:rFonts w:ascii="Microsoft YaHei" w:hAnsi="Microsoft YaHei" w:eastAsia="Microsoft YaHei"/>
                <w:b w:val="0"/>
                <w:color w:val="19212A"/>
                <w:sz w:val="14"/>
              </w:rPr>
              <w:t>100.29 / 100.98 / 102.00</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3.085 / 3.085 / 3.085</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0.632，下沿多头本轮不执行，上沿空头要等冲高失败形成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7,743.98</w:t>
            </w:r>
          </w:p>
        </w:tc>
        <w:tc>
          <w:tcPr>
            <w:tcW w:type="dxa" w:w="2664"/>
            <w:vAlign w:val="center"/>
            <w:shd w:fill="EAF2F8"/>
          </w:tcPr>
          <w:p>
            <w:pPr>
              <w:spacing w:after="0" w:line="240" w:lineRule="auto"/>
            </w:pPr>
            <w:r>
              <w:rPr>
                <w:rFonts w:ascii="Microsoft YaHei" w:hAnsi="Microsoft YaHei" w:eastAsia="Microsoft YaHei"/>
                <w:b w:val="0"/>
                <w:color w:val="19212A"/>
                <w:sz w:val="14"/>
              </w:rPr>
              <w:t>+0.28%</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26,549.85</w:t>
            </w:r>
          </w:p>
        </w:tc>
        <w:tc>
          <w:tcPr>
            <w:tcW w:type="dxa" w:w="2664"/>
            <w:vAlign w:val="center"/>
          </w:tcPr>
          <w:p>
            <w:pPr>
              <w:spacing w:after="0" w:line="240" w:lineRule="auto"/>
            </w:pPr>
            <w:r>
              <w:rPr>
                <w:rFonts w:ascii="Microsoft YaHei" w:hAnsi="Microsoft YaHei" w:eastAsia="Microsoft YaHei"/>
                <w:b w:val="0"/>
                <w:color w:val="19212A"/>
                <w:sz w:val="14"/>
              </w:rPr>
              <w:t>+0.27%</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102.29</w:t>
            </w:r>
          </w:p>
        </w:tc>
        <w:tc>
          <w:tcPr>
            <w:tcW w:type="dxa" w:w="2664"/>
            <w:vAlign w:val="center"/>
            <w:shd w:fill="EAF2F8"/>
          </w:tcPr>
          <w:p>
            <w:pPr>
              <w:spacing w:after="0" w:line="240" w:lineRule="auto"/>
            </w:pPr>
            <w:r>
              <w:rPr>
                <w:rFonts w:ascii="Microsoft YaHei" w:hAnsi="Microsoft YaHei" w:eastAsia="Microsoft YaHei"/>
                <w:b w:val="0"/>
                <w:color w:val="19212A"/>
                <w:sz w:val="14"/>
              </w:rPr>
              <w:t>-0.03%</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5.05</w:t>
            </w:r>
          </w:p>
        </w:tc>
        <w:tc>
          <w:tcPr>
            <w:tcW w:type="dxa" w:w="2664"/>
            <w:vAlign w:val="center"/>
          </w:tcPr>
          <w:p>
            <w:pPr>
              <w:spacing w:after="0" w:line="240" w:lineRule="auto"/>
            </w:pPr>
            <w:r>
              <w:rPr>
                <w:rFonts w:ascii="Microsoft YaHei" w:hAnsi="Microsoft YaHei" w:eastAsia="Microsoft YaHei"/>
                <w:b w:val="0"/>
                <w:color w:val="19212A"/>
                <w:sz w:val="14"/>
              </w:rPr>
              <w:t>+1.04%</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4,052.20</w:t>
            </w:r>
          </w:p>
        </w:tc>
        <w:tc>
          <w:tcPr>
            <w:tcW w:type="dxa" w:w="2664"/>
            <w:vAlign w:val="center"/>
            <w:shd w:fill="EAF2F8"/>
          </w:tcPr>
          <w:p>
            <w:pPr>
              <w:spacing w:after="0" w:line="240" w:lineRule="auto"/>
            </w:pPr>
            <w:r>
              <w:rPr>
                <w:rFonts w:ascii="Microsoft YaHei" w:hAnsi="Microsoft YaHei" w:eastAsia="Microsoft YaHei"/>
                <w:b w:val="0"/>
                <w:color w:val="19212A"/>
                <w:sz w:val="14"/>
              </w:rPr>
              <w:t>-0.55%</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102.16</w:t>
            </w:r>
          </w:p>
        </w:tc>
        <w:tc>
          <w:tcPr>
            <w:tcW w:type="dxa" w:w="2664"/>
            <w:vAlign w:val="center"/>
          </w:tcPr>
          <w:p>
            <w:pPr>
              <w:spacing w:after="0" w:line="240" w:lineRule="auto"/>
            </w:pPr>
            <w:r>
              <w:rPr>
                <w:rFonts w:ascii="Microsoft YaHei" w:hAnsi="Microsoft YaHei" w:eastAsia="Microsoft YaHei"/>
                <w:b w:val="0"/>
                <w:color w:val="19212A"/>
                <w:sz w:val="14"/>
              </w:rPr>
              <w:t>+2.26%</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+0.28%、纳指 +0.27%，风险偏好偏弱；DXY -0.03%、10年期收益率 +1.04%，美元与利率仍有压制，黄金 -0.55% 则保留避险/通胀对冲需求。宏观没有给出可以覆盖技术结构的单边优势，因此不在 BTC 高于正常震荡区上沿 VAH 80,828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$302.2bn，提供中期流动性底座，但不能证明今天正在主动买币。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241s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54.2%</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319s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38.1%</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570s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23.5%</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$5.01m</w:t>
            </w:r>
          </w:p>
        </w:tc>
        <w:tc>
          <w:tcPr>
            <w:tcW w:type="dxa" w:w="2131"/>
            <w:vAlign w:val="center"/>
          </w:tcPr>
          <w:p>
            <w:pPr>
              <w:spacing w:after="0" w:line="240" w:lineRule="auto"/>
            </w:pPr>
            <w:r>
              <w:rPr>
                <w:rFonts w:ascii="Microsoft YaHei" w:hAnsi="Microsoft YaHei" w:eastAsia="Microsoft YaHei"/>
                <w:b w:val="0"/>
                <w:color w:val="19212A"/>
                <w:sz w:val="14"/>
              </w:rPr>
              <w:t>$8.06m</w:t>
            </w:r>
          </w:p>
        </w:tc>
        <w:tc>
          <w:tcPr>
            <w:tcW w:type="dxa" w:w="2131"/>
            <w:vAlign w:val="center"/>
          </w:tcPr>
          <w:p>
            <w:pPr>
              <w:spacing w:after="0" w:line="240" w:lineRule="auto"/>
            </w:pPr>
            <w:r>
              <w:rPr>
                <w:rFonts w:ascii="Microsoft YaHei" w:hAnsi="Microsoft YaHei" w:eastAsia="Microsoft YaHei"/>
                <w:b w:val="0"/>
                <w:color w:val="19212A"/>
                <w:sz w:val="14"/>
              </w:rPr>
              <w:t>-23.4%</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$3.85m</w:t>
            </w:r>
          </w:p>
        </w:tc>
        <w:tc>
          <w:tcPr>
            <w:tcW w:type="dxa" w:w="2131"/>
            <w:vAlign w:val="center"/>
            <w:shd w:fill="EAF2F8"/>
          </w:tcPr>
          <w:p>
            <w:pPr>
              <w:spacing w:after="0" w:line="240" w:lineRule="auto"/>
            </w:pPr>
            <w:r>
              <w:rPr>
                <w:rFonts w:ascii="Microsoft YaHei" w:hAnsi="Microsoft YaHei" w:eastAsia="Microsoft YaHei"/>
                <w:b w:val="0"/>
                <w:color w:val="19212A"/>
                <w:sz w:val="14"/>
              </w:rPr>
              <w:t>$5.43m</w:t>
            </w:r>
          </w:p>
        </w:tc>
        <w:tc>
          <w:tcPr>
            <w:tcW w:type="dxa" w:w="2131"/>
            <w:vAlign w:val="center"/>
            <w:shd w:fill="EAF2F8"/>
          </w:tcPr>
          <w:p>
            <w:pPr>
              <w:spacing w:after="0" w:line="240" w:lineRule="auto"/>
            </w:pPr>
            <w:r>
              <w:rPr>
                <w:rFonts w:ascii="Microsoft YaHei" w:hAnsi="Microsoft YaHei" w:eastAsia="Microsoft YaHei"/>
                <w:b w:val="0"/>
                <w:color w:val="19212A"/>
                <w:sz w:val="14"/>
              </w:rPr>
              <w:t>-17.0%</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$1.98m</w:t>
            </w:r>
          </w:p>
        </w:tc>
        <w:tc>
          <w:tcPr>
            <w:tcW w:type="dxa" w:w="2131"/>
            <w:vAlign w:val="center"/>
          </w:tcPr>
          <w:p>
            <w:pPr>
              <w:spacing w:after="0" w:line="240" w:lineRule="auto"/>
            </w:pPr>
            <w:r>
              <w:rPr>
                <w:rFonts w:ascii="Microsoft YaHei" w:hAnsi="Microsoft YaHei" w:eastAsia="Microsoft YaHei"/>
                <w:b w:val="0"/>
                <w:color w:val="19212A"/>
                <w:sz w:val="14"/>
              </w:rPr>
              <w:t>$1.21m</w:t>
            </w:r>
          </w:p>
        </w:tc>
        <w:tc>
          <w:tcPr>
            <w:tcW w:type="dxa" w:w="2131"/>
            <w:vAlign w:val="center"/>
          </w:tcPr>
          <w:p>
            <w:pPr>
              <w:spacing w:after="0" w:line="240" w:lineRule="auto"/>
            </w:pPr>
            <w:r>
              <w:rPr>
                <w:rFonts w:ascii="Microsoft YaHei" w:hAnsi="Microsoft YaHei" w:eastAsia="Microsoft YaHei"/>
                <w:b w:val="0"/>
                <w:color w:val="19212A"/>
                <w:sz w:val="14"/>
              </w:rPr>
              <w:t>+24.2%</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+0.44%</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$2.48bn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0.632/0.632/0.632</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+0.36%</w:t>
            </w:r>
          </w:p>
        </w:tc>
        <w:tc>
          <w:tcPr>
            <w:tcW w:type="dxa" w:w="1522"/>
            <w:vAlign w:val="center"/>
            <w:shd w:fill="EAF2F8"/>
          </w:tcPr>
          <w:p>
            <w:pPr>
              <w:spacing w:after="0" w:line="240" w:lineRule="auto"/>
            </w:pPr>
            <w:r>
              <w:rPr>
                <w:rFonts w:ascii="Microsoft YaHei" w:hAnsi="Microsoft YaHei" w:eastAsia="Microsoft YaHei"/>
                <w:b w:val="0"/>
                <w:color w:val="19212A"/>
                <w:sz w:val="13"/>
              </w:rPr>
              <w:t>+0.0094%</w:t>
            </w:r>
          </w:p>
        </w:tc>
        <w:tc>
          <w:tcPr>
            <w:tcW w:type="dxa" w:w="1522"/>
            <w:vAlign w:val="center"/>
            <w:shd w:fill="EAF2F8"/>
          </w:tcPr>
          <w:p>
            <w:pPr>
              <w:spacing w:after="0" w:line="240" w:lineRule="auto"/>
            </w:pPr>
            <w:r>
              <w:rPr>
                <w:rFonts w:ascii="Microsoft YaHei" w:hAnsi="Microsoft YaHei" w:eastAsia="Microsoft YaHei"/>
                <w:b w:val="0"/>
                <w:color w:val="19212A"/>
                <w:sz w:val="13"/>
              </w:rPr>
              <w:t>$1.45bn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28.372/28.372/28.372</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+0.79%</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3.085/3.085/3.085</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0.44%、OI 增加 0.00%，最近三小时 Taker 为 0.632、0.632、0.632：价格与OI同步增加更像反弹中的杠杆回补，但末端 Taker 尚未稳定站上1.10，不能直接当成趋势反转。ETH 24小时上涨 0.36%、OI 增加 0.00%；SOL 24小时上涨 0.79%、OI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0.59</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0.87</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0.56</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0.59、近月 0.87；ETH 全期限 0.52、近月 0.56。本轮只取得期权持仓结构，没有稳定的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79,712</w:t>
            </w:r>
          </w:p>
        </w:tc>
        <w:tc>
          <w:tcPr>
            <w:tcW w:type="dxa" w:w="1522"/>
            <w:vAlign w:val="center"/>
          </w:tcPr>
          <w:p>
            <w:pPr>
              <w:spacing w:after="0" w:line="240" w:lineRule="auto"/>
            </w:pPr>
            <w:r>
              <w:rPr>
                <w:rFonts w:ascii="Microsoft YaHei" w:hAnsi="Microsoft YaHei" w:eastAsia="Microsoft YaHei"/>
                <w:b w:val="0"/>
                <w:color w:val="19212A"/>
                <w:sz w:val="12"/>
              </w:rPr>
              <w:t>80,116</w:t>
            </w:r>
          </w:p>
        </w:tc>
        <w:tc>
          <w:tcPr>
            <w:tcW w:type="dxa" w:w="1522"/>
            <w:vAlign w:val="center"/>
          </w:tcPr>
          <w:p>
            <w:pPr>
              <w:spacing w:after="0" w:line="240" w:lineRule="auto"/>
            </w:pPr>
            <w:r>
              <w:rPr>
                <w:rFonts w:ascii="Microsoft YaHei" w:hAnsi="Microsoft YaHei" w:eastAsia="Microsoft YaHei"/>
                <w:b w:val="0"/>
                <w:color w:val="19212A"/>
                <w:sz w:val="12"/>
              </w:rPr>
              <w:t>80,828</w:t>
            </w:r>
          </w:p>
        </w:tc>
        <w:tc>
          <w:tcPr>
            <w:tcW w:type="dxa" w:w="1522"/>
            <w:vAlign w:val="center"/>
          </w:tcPr>
          <w:p>
            <w:pPr>
              <w:spacing w:after="0" w:line="240" w:lineRule="auto"/>
            </w:pPr>
            <w:r>
              <w:rPr>
                <w:rFonts w:ascii="Microsoft YaHei" w:hAnsi="Microsoft YaHei" w:eastAsia="Microsoft YaHei"/>
                <w:b w:val="0"/>
                <w:color w:val="19212A"/>
                <w:sz w:val="12"/>
              </w:rPr>
              <w:t>79,712 / 79,212 / 79,712</w:t>
            </w:r>
          </w:p>
        </w:tc>
        <w:tc>
          <w:tcPr>
            <w:tcW w:type="dxa" w:w="1522"/>
            <w:vAlign w:val="center"/>
          </w:tcPr>
          <w:p>
            <w:pPr>
              <w:spacing w:after="0" w:line="240" w:lineRule="auto"/>
            </w:pPr>
            <w:r>
              <w:rPr>
                <w:rFonts w:ascii="Microsoft YaHei" w:hAnsi="Microsoft YaHei" w:eastAsia="Microsoft YaHei"/>
                <w:b w:val="0"/>
                <w:color w:val="19212A"/>
                <w:sz w:val="12"/>
              </w:rPr>
              <w:t>80,828 / 81,328 / 81,482</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2,323</w:t>
            </w:r>
          </w:p>
        </w:tc>
        <w:tc>
          <w:tcPr>
            <w:tcW w:type="dxa" w:w="1522"/>
            <w:vAlign w:val="center"/>
            <w:shd w:fill="EAF2F8"/>
          </w:tcPr>
          <w:p>
            <w:pPr>
              <w:spacing w:after="0" w:line="240" w:lineRule="auto"/>
            </w:pPr>
            <w:r>
              <w:rPr>
                <w:rFonts w:ascii="Microsoft YaHei" w:hAnsi="Microsoft YaHei" w:eastAsia="Microsoft YaHei"/>
                <w:b w:val="0"/>
                <w:color w:val="19212A"/>
                <w:sz w:val="12"/>
              </w:rPr>
              <w:t>2,327</w:t>
            </w:r>
          </w:p>
        </w:tc>
        <w:tc>
          <w:tcPr>
            <w:tcW w:type="dxa" w:w="1522"/>
            <w:vAlign w:val="center"/>
            <w:shd w:fill="EAF2F8"/>
          </w:tcPr>
          <w:p>
            <w:pPr>
              <w:spacing w:after="0" w:line="240" w:lineRule="auto"/>
            </w:pPr>
            <w:r>
              <w:rPr>
                <w:rFonts w:ascii="Microsoft YaHei" w:hAnsi="Microsoft YaHei" w:eastAsia="Microsoft YaHei"/>
                <w:b w:val="0"/>
                <w:color w:val="19212A"/>
                <w:sz w:val="12"/>
              </w:rPr>
              <w:t>2,373</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100.29</w:t>
            </w:r>
          </w:p>
        </w:tc>
        <w:tc>
          <w:tcPr>
            <w:tcW w:type="dxa" w:w="1522"/>
            <w:vAlign w:val="center"/>
          </w:tcPr>
          <w:p>
            <w:pPr>
              <w:spacing w:after="0" w:line="240" w:lineRule="auto"/>
            </w:pPr>
            <w:r>
              <w:rPr>
                <w:rFonts w:ascii="Microsoft YaHei" w:hAnsi="Microsoft YaHei" w:eastAsia="Microsoft YaHei"/>
                <w:b w:val="0"/>
                <w:color w:val="19212A"/>
                <w:sz w:val="12"/>
              </w:rPr>
              <w:t>100.98</w:t>
            </w:r>
          </w:p>
        </w:tc>
        <w:tc>
          <w:tcPr>
            <w:tcW w:type="dxa" w:w="1522"/>
            <w:vAlign w:val="center"/>
          </w:tcPr>
          <w:p>
            <w:pPr>
              <w:spacing w:after="0" w:line="240" w:lineRule="auto"/>
            </w:pPr>
            <w:r>
              <w:rPr>
                <w:rFonts w:ascii="Microsoft YaHei" w:hAnsi="Microsoft YaHei" w:eastAsia="Microsoft YaHei"/>
                <w:b w:val="0"/>
                <w:color w:val="19212A"/>
                <w:sz w:val="12"/>
              </w:rPr>
              <w:t>102.00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8.8550</w:t>
            </w:r>
          </w:p>
        </w:tc>
        <w:tc>
          <w:tcPr>
            <w:tcW w:type="dxa" w:w="1522"/>
            <w:vAlign w:val="center"/>
            <w:shd w:fill="EAF2F8"/>
          </w:tcPr>
          <w:p>
            <w:pPr>
              <w:spacing w:after="0" w:line="240" w:lineRule="auto"/>
            </w:pPr>
            <w:r>
              <w:rPr>
                <w:rFonts w:ascii="Microsoft YaHei" w:hAnsi="Microsoft YaHei" w:eastAsia="Microsoft YaHei"/>
                <w:b w:val="0"/>
                <w:color w:val="19212A"/>
                <w:sz w:val="12"/>
              </w:rPr>
              <w:t>8.9123</w:t>
            </w:r>
          </w:p>
        </w:tc>
        <w:tc>
          <w:tcPr>
            <w:tcW w:type="dxa" w:w="1522"/>
            <w:vAlign w:val="center"/>
            <w:shd w:fill="EAF2F8"/>
          </w:tcPr>
          <w:p>
            <w:pPr>
              <w:spacing w:after="0" w:line="240" w:lineRule="auto"/>
            </w:pPr>
            <w:r>
              <w:rPr>
                <w:rFonts w:ascii="Microsoft YaHei" w:hAnsi="Microsoft YaHei" w:eastAsia="Microsoft YaHei"/>
                <w:b w:val="0"/>
                <w:color w:val="19212A"/>
                <w:sz w:val="12"/>
              </w:rPr>
              <w:t>9.0420</w:t>
            </w:r>
          </w:p>
        </w:tc>
        <w:tc>
          <w:tcPr>
            <w:tcW w:type="dxa" w:w="1522"/>
            <w:vAlign w:val="center"/>
            <w:shd w:fill="EAF2F8"/>
          </w:tcPr>
          <w:p>
            <w:pPr>
              <w:spacing w:after="0" w:line="240" w:lineRule="auto"/>
            </w:pPr>
            <w:r>
              <w:rPr>
                <w:rFonts w:ascii="Microsoft YaHei" w:hAnsi="Microsoft YaHei" w:eastAsia="Microsoft YaHei"/>
                <w:b w:val="0"/>
                <w:color w:val="19212A"/>
                <w:sz w:val="12"/>
              </w:rPr>
              <w:t>8.7840 / 8.8550</w:t>
            </w:r>
          </w:p>
        </w:tc>
        <w:tc>
          <w:tcPr>
            <w:tcW w:type="dxa" w:w="1522"/>
            <w:vAlign w:val="center"/>
            <w:shd w:fill="EAF2F8"/>
          </w:tcPr>
          <w:p>
            <w:pPr>
              <w:spacing w:after="0" w:line="240" w:lineRule="auto"/>
            </w:pPr>
            <w:r>
              <w:rPr>
                <w:rFonts w:ascii="Microsoft YaHei" w:hAnsi="Microsoft YaHei" w:eastAsia="Microsoft YaHei"/>
                <w:b w:val="0"/>
                <w:color w:val="19212A"/>
                <w:sz w:val="12"/>
              </w:rPr>
              <w:t>9.0420 / 9.1660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1.2958</w:t>
            </w:r>
          </w:p>
        </w:tc>
        <w:tc>
          <w:tcPr>
            <w:tcW w:type="dxa" w:w="1522"/>
            <w:vAlign w:val="center"/>
          </w:tcPr>
          <w:p>
            <w:pPr>
              <w:spacing w:after="0" w:line="240" w:lineRule="auto"/>
            </w:pPr>
            <w:r>
              <w:rPr>
                <w:rFonts w:ascii="Microsoft YaHei" w:hAnsi="Microsoft YaHei" w:eastAsia="Microsoft YaHei"/>
                <w:b w:val="0"/>
                <w:color w:val="19212A"/>
                <w:sz w:val="12"/>
              </w:rPr>
              <w:t>1.2964</w:t>
            </w:r>
          </w:p>
        </w:tc>
        <w:tc>
          <w:tcPr>
            <w:tcW w:type="dxa" w:w="1522"/>
            <w:vAlign w:val="center"/>
          </w:tcPr>
          <w:p>
            <w:pPr>
              <w:spacing w:after="0" w:line="240" w:lineRule="auto"/>
            </w:pPr>
            <w:r>
              <w:rPr>
                <w:rFonts w:ascii="Microsoft YaHei" w:hAnsi="Microsoft YaHei" w:eastAsia="Microsoft YaHei"/>
                <w:b w:val="0"/>
                <w:color w:val="19212A"/>
                <w:sz w:val="12"/>
              </w:rPr>
              <w:t>1.3343</w:t>
            </w:r>
          </w:p>
        </w:tc>
        <w:tc>
          <w:tcPr>
            <w:tcW w:type="dxa" w:w="1522"/>
            <w:vAlign w:val="center"/>
          </w:tcPr>
          <w:p>
            <w:pPr>
              <w:spacing w:after="0" w:line="240" w:lineRule="auto"/>
            </w:pPr>
            <w:r>
              <w:rPr>
                <w:rFonts w:ascii="Microsoft YaHei" w:hAnsi="Microsoft YaHei" w:eastAsia="Microsoft YaHei"/>
                <w:b w:val="0"/>
                <w:color w:val="19212A"/>
                <w:sz w:val="12"/>
              </w:rPr>
              <w:t>1.3073 / 1.2958</w:t>
            </w:r>
          </w:p>
        </w:tc>
        <w:tc>
          <w:tcPr>
            <w:tcW w:type="dxa" w:w="1522"/>
            <w:vAlign w:val="center"/>
          </w:tcPr>
          <w:p>
            <w:pPr>
              <w:spacing w:after="0" w:line="240" w:lineRule="auto"/>
            </w:pPr>
            <w:r>
              <w:rPr>
                <w:rFonts w:ascii="Microsoft YaHei" w:hAnsi="Microsoft YaHei" w:eastAsia="Microsoft YaHei"/>
                <w:b w:val="0"/>
                <w:color w:val="19212A"/>
                <w:sz w:val="12"/>
              </w:rPr>
              <w:t>1.3343 / 1.3438</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79,712 与 VAH 80,828 之间、靠近 POC 80,116，说明价格在正常成交区中部，不自动等于多头或空头；下沿多头本轮未通过第一目标净R:R闸门，上沿 80,728-80,908 失败才有空头条件。AVAX 的 POC 约 8.9123、XRP 的 POC 约 1.2964，只代表这五天成交最密集处。真实全网清算热力图本轮未取得，图中上下方数字只是止损/流动性代理，不代表真实清算金额。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+0.44%</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+0.36%</w:t>
            </w:r>
          </w:p>
        </w:tc>
        <w:tc>
          <w:tcPr>
            <w:tcW w:type="dxa" w:w="2131"/>
            <w:vAlign w:val="center"/>
            <w:shd w:fill="EAF2F8"/>
          </w:tcPr>
          <w:p>
            <w:pPr>
              <w:spacing w:after="0" w:line="240" w:lineRule="auto"/>
            </w:pPr>
            <w:r>
              <w:rPr>
                <w:rFonts w:ascii="Microsoft YaHei" w:hAnsi="Microsoft YaHei" w:eastAsia="Microsoft YaHei"/>
                <w:b w:val="0"/>
                <w:color w:val="19212A"/>
                <w:sz w:val="14"/>
              </w:rPr>
              <w:t>ETH/BTC -0.07%</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+0.79% / +0.16% / -0.40%</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+1.86% / -0.40% / +1.06%</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-0.28pp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+0.16%；OI +0.00%；Funding +0.0087%；Taker 0.841</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-0.84pp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-0.40%；OI +0.00%；Funding +0.0100%；Taker 0.906</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-0.28pp</w:t>
            </w:r>
          </w:p>
        </w:tc>
        <w:tc>
          <w:tcPr>
            <w:tcW w:type="dxa" w:w="2664"/>
            <w:vAlign w:val="center"/>
          </w:tcPr>
          <w:p>
            <w:pPr>
              <w:spacing w:after="0" w:line="240" w:lineRule="auto"/>
            </w:pPr>
            <w:r>
              <w:rPr>
                <w:rFonts w:ascii="Microsoft YaHei" w:hAnsi="Microsoft YaHei" w:eastAsia="Microsoft YaHei"/>
                <w:b w:val="0"/>
                <w:color w:val="19212A"/>
                <w:sz w:val="14"/>
              </w:rPr>
              <w:t>-0.84pp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0.841</w:t>
            </w:r>
          </w:p>
        </w:tc>
        <w:tc>
          <w:tcPr>
            <w:tcW w:type="dxa" w:w="2664"/>
            <w:vAlign w:val="center"/>
          </w:tcPr>
          <w:p>
            <w:pPr>
              <w:spacing w:after="0" w:line="240" w:lineRule="auto"/>
            </w:pPr>
            <w:r>
              <w:rPr>
                <w:rFonts w:ascii="Microsoft YaHei" w:hAnsi="Microsoft YaHei" w:eastAsia="Microsoft YaHei"/>
                <w:b w:val="0"/>
                <w:color w:val="19212A"/>
                <w:sz w:val="14"/>
              </w:rPr>
              <w:t>OI +0.00%，Taker 0.906</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已落地（结果待核验）</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US advance Q3 GDP and September PCE（2026-10-29 20:30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80,728-80,908是否触达；15m/30m能否冲高失败、跌回VAH 80,828下方并形成LH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80,728-80,908是否触达；反弹后能否重新跌回VAL下方并形成LH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OI增加后是否继续；Taker能否从0.632回落并再次转弱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79,712 后收回形成 HL，或上沿 80,728-80,908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2026-10-29T08:41:39.481136+08:00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2026-10-29T08:41:39.481136+08:00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2026-10-29 08:41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2026-10-29T08:41:39.481136+08:00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2026-10-29T08:41:39.481136+08:00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2026-10-29T08:41:39.481136+08:00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2026-10-29T08:41:39.481136+08:00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2026-10-29</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2026-10-29T08:41:39.481136+08:00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2026-10-29</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2026-10-29</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2026-10-29T08:41:39.481136+08:00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2026-10-29</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- 2026-10-29</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