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2026-10-16 | 市场快照 08:46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2026-10-16T08:46:24.981275+08:00 的 BTC/ETH/SOL 行情与 OKX 永续合约备选源（Binance/Bybit 本轮不可用）、Deribit 期权、Binance/OKX 现货成交带与盘口快照；ETF 数据以本次输入中最新可核验公开值为准，ETH/SOL 当日值可能不完整，宏观、催化剂与大佬观点核验截止 2026-10-16 08:46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82,302处于 VAL 81,683 与 POC 83,425 之间、位于价值区下半部，现价不直接追单；下沿只有扫过 VAL 81,683 后收回并形成 HL 才做多，上沿只有进入 83,983-84,163 后冲高失败才做空。两条条件卡有效至 2026-10-16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HTF_TREND_DOWN + PULLBACK / 处于 VAL 81,683 与 POC 83,425 之间、位于价值区下半部</w:t>
            </w:r>
          </w:p>
        </w:tc>
        <w:tc>
          <w:tcPr>
            <w:tcW w:type="dxa" w:w="2131"/>
            <w:vAlign w:val="center"/>
          </w:tcPr>
          <w:p>
            <w:pPr>
              <w:spacing w:after="0" w:line="240" w:lineRule="auto"/>
            </w:pPr>
            <w:r>
              <w:rPr>
                <w:rFonts w:ascii="Microsoft YaHei" w:hAnsi="Microsoft YaHei" w:eastAsia="Microsoft YaHei"/>
                <w:b w:val="0"/>
                <w:color w:val="19212A"/>
                <w:sz w:val="14"/>
              </w:rPr>
              <w:t>下沿等S1 流动性扫单反转多；上沿等S2c 趋势回踩空 83,983-84,163</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81,683-84,083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2,349 收回与 EMA20 2,455，无独立交易卡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2,455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104.22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EMA20 106.04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HTF_TREND_DOWN + PULLBACK，ETH/SOL处于过渡，因此当前更准确的描述是‘中线震荡、短线偏弱’，还不是确认的大级别牛市或熊市。今天只允许下沿扫低收回多、上沿回踩受阻空，现价附近不交易。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多（S1 流动性扫单反转多）</w:t>
            </w:r>
          </w:p>
        </w:tc>
        <w:tc>
          <w:tcPr>
            <w:tcW w:type="dxa" w:w="1332"/>
            <w:vAlign w:val="center"/>
          </w:tcPr>
          <w:p>
            <w:pPr>
              <w:spacing w:after="0" w:line="240" w:lineRule="auto"/>
            </w:pPr>
            <w:r>
              <w:rPr>
                <w:rFonts w:ascii="Microsoft YaHei" w:hAnsi="Microsoft YaHei" w:eastAsia="Microsoft YaHei"/>
                <w:b w:val="0"/>
                <w:color w:val="19212A"/>
                <w:sz w:val="12"/>
              </w:rPr>
              <w:t>跌破 VAL 81,683 后，15m/30m 收回 81,683 并形成 HL，且卖压减弱</w:t>
            </w:r>
          </w:p>
        </w:tc>
        <w:tc>
          <w:tcPr>
            <w:tcW w:type="dxa" w:w="1332"/>
            <w:vAlign w:val="center"/>
          </w:tcPr>
          <w:p>
            <w:pPr>
              <w:spacing w:after="0" w:line="240" w:lineRule="auto"/>
            </w:pPr>
            <w:r>
              <w:rPr>
                <w:rFonts w:ascii="Microsoft YaHei" w:hAnsi="Microsoft YaHei" w:eastAsia="Microsoft YaHei"/>
                <w:b w:val="0"/>
                <w:color w:val="19212A"/>
                <w:sz w:val="12"/>
              </w:rPr>
              <w:t>81,583-81,733 / 81,733</w:t>
            </w:r>
          </w:p>
        </w:tc>
        <w:tc>
          <w:tcPr>
            <w:tcW w:type="dxa" w:w="1332"/>
            <w:vAlign w:val="center"/>
          </w:tcPr>
          <w:p>
            <w:pPr>
              <w:spacing w:after="0" w:line="240" w:lineRule="auto"/>
            </w:pPr>
            <w:r>
              <w:rPr>
                <w:rFonts w:ascii="Microsoft YaHei" w:hAnsi="Microsoft YaHei" w:eastAsia="Microsoft YaHei"/>
                <w:b w:val="0"/>
                <w:color w:val="19212A"/>
                <w:sz w:val="12"/>
              </w:rPr>
              <w:t>81,183</w:t>
            </w:r>
          </w:p>
        </w:tc>
        <w:tc>
          <w:tcPr>
            <w:tcW w:type="dxa" w:w="1332"/>
            <w:vAlign w:val="center"/>
          </w:tcPr>
          <w:p>
            <w:pPr>
              <w:spacing w:after="0" w:line="240" w:lineRule="auto"/>
            </w:pPr>
            <w:r>
              <w:rPr>
                <w:rFonts w:ascii="Microsoft YaHei" w:hAnsi="Microsoft YaHei" w:eastAsia="Microsoft YaHei"/>
                <w:b w:val="0"/>
                <w:color w:val="19212A"/>
                <w:sz w:val="12"/>
              </w:rPr>
              <w:t>83,425 / 84,083</w:t>
            </w:r>
          </w:p>
        </w:tc>
        <w:tc>
          <w:tcPr>
            <w:tcW w:type="dxa" w:w="1332"/>
            <w:vAlign w:val="center"/>
          </w:tcPr>
          <w:p>
            <w:pPr>
              <w:spacing w:after="0" w:line="240" w:lineRule="auto"/>
            </w:pPr>
            <w:r>
              <w:rPr>
                <w:rFonts w:ascii="Microsoft YaHei" w:hAnsi="Microsoft YaHei" w:eastAsia="Microsoft YaHei"/>
                <w:b w:val="0"/>
                <w:color w:val="19212A"/>
                <w:sz w:val="12"/>
              </w:rPr>
              <w:t>TP1 1:2.46；加权 1:3.07</w:t>
            </w:r>
          </w:p>
        </w:tc>
        <w:tc>
          <w:tcPr>
            <w:tcW w:type="dxa" w:w="1332"/>
            <w:vAlign w:val="center"/>
          </w:tcPr>
          <w:p>
            <w:pPr>
              <w:spacing w:after="0" w:line="240" w:lineRule="auto"/>
            </w:pPr>
            <w:r>
              <w:rPr>
                <w:rFonts w:ascii="Microsoft YaHei" w:hAnsi="Microsoft YaHei" w:eastAsia="Microsoft YaHei"/>
                <w:b w:val="0"/>
                <w:color w:val="19212A"/>
                <w:sz w:val="12"/>
              </w:rPr>
              <w:t>2026-10-16 20:00；跌回VAL下方或事件/结构失效即取消</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空（S2c 趋势回踩空）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83,983-84,163，15m/30m出现冲高失败、LH并重新跌回 VAH 84,083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83,983-84,163 / 84,163</w:t>
            </w:r>
          </w:p>
        </w:tc>
        <w:tc>
          <w:tcPr>
            <w:tcW w:type="dxa" w:w="1332"/>
            <w:vAlign w:val="center"/>
            <w:shd w:fill="EAF2F8"/>
          </w:tcPr>
          <w:p>
            <w:pPr>
              <w:spacing w:after="0" w:line="240" w:lineRule="auto"/>
            </w:pPr>
            <w:r>
              <w:rPr>
                <w:rFonts w:ascii="Microsoft YaHei" w:hAnsi="Microsoft YaHei" w:eastAsia="Microsoft YaHei"/>
                <w:b w:val="0"/>
                <w:color w:val="19212A"/>
                <w:sz w:val="12"/>
              </w:rPr>
              <w:t>84,583</w:t>
            </w:r>
          </w:p>
        </w:tc>
        <w:tc>
          <w:tcPr>
            <w:tcW w:type="dxa" w:w="1332"/>
            <w:vAlign w:val="center"/>
            <w:shd w:fill="EAF2F8"/>
          </w:tcPr>
          <w:p>
            <w:pPr>
              <w:spacing w:after="0" w:line="240" w:lineRule="auto"/>
            </w:pPr>
            <w:r>
              <w:rPr>
                <w:rFonts w:ascii="Microsoft YaHei" w:hAnsi="Microsoft YaHei" w:eastAsia="Microsoft YaHei"/>
                <w:b w:val="0"/>
                <w:color w:val="19212A"/>
                <w:sz w:val="12"/>
              </w:rPr>
              <w:t>83,425 / 81,683</w:t>
            </w:r>
          </w:p>
        </w:tc>
        <w:tc>
          <w:tcPr>
            <w:tcW w:type="dxa" w:w="1332"/>
            <w:vAlign w:val="center"/>
            <w:shd w:fill="EAF2F8"/>
          </w:tcPr>
          <w:p>
            <w:pPr>
              <w:spacing w:after="0" w:line="240" w:lineRule="auto"/>
            </w:pPr>
            <w:r>
              <w:rPr>
                <w:rFonts w:ascii="Microsoft YaHei" w:hAnsi="Microsoft YaHei" w:eastAsia="Microsoft YaHei"/>
                <w:b w:val="0"/>
                <w:color w:val="19212A"/>
                <w:sz w:val="12"/>
              </w:rPr>
              <w:t>TP1 1:1.22；加权 1:3.23</w:t>
            </w:r>
          </w:p>
        </w:tc>
        <w:tc>
          <w:tcPr>
            <w:tcW w:type="dxa" w:w="1332"/>
            <w:vAlign w:val="center"/>
            <w:shd w:fill="EAF2F8"/>
          </w:tcPr>
          <w:p>
            <w:pPr>
              <w:spacing w:after="0" w:line="240" w:lineRule="auto"/>
            </w:pPr>
            <w:r>
              <w:rPr>
                <w:rFonts w:ascii="Microsoft YaHei" w:hAnsi="Microsoft YaHei" w:eastAsia="Microsoft YaHei"/>
                <w:b w:val="0"/>
                <w:color w:val="19212A"/>
                <w:sz w:val="12"/>
              </w:rPr>
              <w:t>2026-10-16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当前处于 VAL 81,683 与 POC 83,425 之间、位于价值区下半部；POC 83,425 可以理解为最近成交最拥挤的中轴，不是追单位置。下沿多头必须先扫过 VAL 81,683 再收回并形成 HL，上沿空头必须先进入 83,983-84,163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80,363-84,065</w:t>
            </w:r>
          </w:p>
        </w:tc>
        <w:tc>
          <w:tcPr>
            <w:tcW w:type="dxa" w:w="1332"/>
            <w:vAlign w:val="center"/>
          </w:tcPr>
          <w:p>
            <w:pPr>
              <w:spacing w:after="0" w:line="240" w:lineRule="auto"/>
            </w:pPr>
            <w:r>
              <w:rPr>
                <w:rFonts w:ascii="Microsoft YaHei" w:hAnsi="Microsoft YaHei" w:eastAsia="Microsoft YaHei"/>
                <w:b w:val="0"/>
                <w:color w:val="19212A"/>
                <w:sz w:val="13"/>
              </w:rPr>
              <w:t>78,665-81,840</w:t>
            </w:r>
          </w:p>
        </w:tc>
        <w:tc>
          <w:tcPr>
            <w:tcW w:type="dxa" w:w="1332"/>
            <w:vAlign w:val="center"/>
          </w:tcPr>
          <w:p>
            <w:pPr>
              <w:spacing w:after="0" w:line="240" w:lineRule="auto"/>
            </w:pPr>
            <w:r>
              <w:rPr>
                <w:rFonts w:ascii="Microsoft YaHei" w:hAnsi="Microsoft YaHei" w:eastAsia="Microsoft YaHei"/>
                <w:b w:val="0"/>
                <w:color w:val="19212A"/>
                <w:sz w:val="13"/>
              </w:rPr>
              <w:t>82,775-83,953</w:t>
            </w:r>
          </w:p>
        </w:tc>
        <w:tc>
          <w:tcPr>
            <w:tcW w:type="dxa" w:w="1332"/>
            <w:vAlign w:val="center"/>
          </w:tcPr>
          <w:p>
            <w:pPr>
              <w:spacing w:after="0" w:line="240" w:lineRule="auto"/>
            </w:pPr>
            <w:r>
              <w:rPr>
                <w:rFonts w:ascii="Microsoft YaHei" w:hAnsi="Microsoft YaHei" w:eastAsia="Microsoft YaHei"/>
                <w:b w:val="0"/>
                <w:color w:val="19212A"/>
                <w:sz w:val="13"/>
              </w:rPr>
              <w:t>27.2% / 26.1% / 46.7%</w:t>
            </w:r>
          </w:p>
        </w:tc>
        <w:tc>
          <w:tcPr>
            <w:tcW w:type="dxa" w:w="1332"/>
            <w:vAlign w:val="center"/>
          </w:tcPr>
          <w:p>
            <w:pPr>
              <w:spacing w:after="0" w:line="240" w:lineRule="auto"/>
            </w:pPr>
            <w:r>
              <w:rPr>
                <w:rFonts w:ascii="Microsoft YaHei" w:hAnsi="Microsoft YaHei" w:eastAsia="Microsoft YaHei"/>
                <w:b w:val="0"/>
                <w:color w:val="19212A"/>
                <w:sz w:val="13"/>
              </w:rPr>
              <w:t>5.1%</w:t>
            </w:r>
          </w:p>
        </w:tc>
        <w:tc>
          <w:tcPr>
            <w:tcW w:type="dxa" w:w="1332"/>
            <w:vAlign w:val="center"/>
          </w:tcPr>
          <w:p>
            <w:pPr>
              <w:spacing w:after="0" w:line="240" w:lineRule="auto"/>
            </w:pPr>
            <w:r>
              <w:rPr>
                <w:rFonts w:ascii="Microsoft YaHei" w:hAnsi="Microsoft YaHei" w:eastAsia="Microsoft YaHei"/>
                <w:b w:val="0"/>
                <w:color w:val="19212A"/>
                <w:sz w:val="13"/>
              </w:rPr>
              <w:t>31.2</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79,049-85,462</w:t>
            </w:r>
          </w:p>
        </w:tc>
        <w:tc>
          <w:tcPr>
            <w:tcW w:type="dxa" w:w="1332"/>
            <w:vAlign w:val="center"/>
            <w:shd w:fill="EAF2F8"/>
          </w:tcPr>
          <w:p>
            <w:pPr>
              <w:spacing w:after="0" w:line="240" w:lineRule="auto"/>
            </w:pPr>
            <w:r>
              <w:rPr>
                <w:rFonts w:ascii="Microsoft YaHei" w:hAnsi="Microsoft YaHei" w:eastAsia="Microsoft YaHei"/>
                <w:b w:val="0"/>
                <w:color w:val="19212A"/>
                <w:sz w:val="13"/>
              </w:rPr>
              <w:t>75,567-79,348</w:t>
            </w:r>
          </w:p>
        </w:tc>
        <w:tc>
          <w:tcPr>
            <w:tcW w:type="dxa" w:w="1332"/>
            <w:vAlign w:val="center"/>
            <w:shd w:fill="EAF2F8"/>
          </w:tcPr>
          <w:p>
            <w:pPr>
              <w:spacing w:after="0" w:line="240" w:lineRule="auto"/>
            </w:pPr>
            <w:r>
              <w:rPr>
                <w:rFonts w:ascii="Microsoft YaHei" w:hAnsi="Microsoft YaHei" w:eastAsia="Microsoft YaHei"/>
                <w:b w:val="0"/>
                <w:color w:val="19212A"/>
                <w:sz w:val="13"/>
              </w:rPr>
              <w:t>83,963-84,764</w:t>
            </w:r>
          </w:p>
        </w:tc>
        <w:tc>
          <w:tcPr>
            <w:tcW w:type="dxa" w:w="1332"/>
            <w:vAlign w:val="center"/>
            <w:shd w:fill="EAF2F8"/>
          </w:tcPr>
          <w:p>
            <w:pPr>
              <w:spacing w:after="0" w:line="240" w:lineRule="auto"/>
            </w:pPr>
            <w:r>
              <w:rPr>
                <w:rFonts w:ascii="Microsoft YaHei" w:hAnsi="Microsoft YaHei" w:eastAsia="Microsoft YaHei"/>
                <w:b w:val="0"/>
                <w:color w:val="19212A"/>
                <w:sz w:val="13"/>
              </w:rPr>
              <w:t>26.2% / 70.4% / 3.5%</w:t>
            </w:r>
          </w:p>
        </w:tc>
        <w:tc>
          <w:tcPr>
            <w:tcW w:type="dxa" w:w="1332"/>
            <w:vAlign w:val="center"/>
            <w:shd w:fill="EAF2F8"/>
          </w:tcPr>
          <w:p>
            <w:pPr>
              <w:spacing w:after="0" w:line="240" w:lineRule="auto"/>
            </w:pPr>
            <w:r>
              <w:rPr>
                <w:rFonts w:ascii="Microsoft YaHei" w:hAnsi="Microsoft YaHei" w:eastAsia="Microsoft YaHei"/>
                <w:b w:val="0"/>
                <w:color w:val="19212A"/>
                <w:sz w:val="13"/>
              </w:rPr>
              <w:t>69.3%</w:t>
            </w:r>
          </w:p>
        </w:tc>
        <w:tc>
          <w:tcPr>
            <w:tcW w:type="dxa" w:w="1332"/>
            <w:vAlign w:val="center"/>
            <w:shd w:fill="EAF2F8"/>
          </w:tcPr>
          <w:p>
            <w:pPr>
              <w:spacing w:after="0" w:line="240" w:lineRule="auto"/>
            </w:pPr>
            <w:r>
              <w:rPr>
                <w:rFonts w:ascii="Microsoft YaHei" w:hAnsi="Microsoft YaHei" w:eastAsia="Microsoft YaHei"/>
                <w:b w:val="0"/>
                <w:color w:val="19212A"/>
                <w:sz w:val="13"/>
              </w:rPr>
              <w:t>20.3</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80,211-84,083</w:t>
            </w:r>
          </w:p>
        </w:tc>
        <w:tc>
          <w:tcPr>
            <w:tcW w:type="dxa" w:w="1332"/>
            <w:vAlign w:val="center"/>
          </w:tcPr>
          <w:p>
            <w:pPr>
              <w:spacing w:after="0" w:line="240" w:lineRule="auto"/>
            </w:pPr>
            <w:r>
              <w:rPr>
                <w:rFonts w:ascii="Microsoft YaHei" w:hAnsi="Microsoft YaHei" w:eastAsia="Microsoft YaHei"/>
                <w:b w:val="0"/>
                <w:color w:val="19212A"/>
                <w:sz w:val="13"/>
              </w:rPr>
              <w:t>81,683-83,425</w:t>
            </w:r>
          </w:p>
        </w:tc>
        <w:tc>
          <w:tcPr>
            <w:tcW w:type="dxa" w:w="1332"/>
            <w:vAlign w:val="center"/>
          </w:tcPr>
          <w:p>
            <w:pPr>
              <w:spacing w:after="0" w:line="240" w:lineRule="auto"/>
            </w:pPr>
            <w:r>
              <w:rPr>
                <w:rFonts w:ascii="Microsoft YaHei" w:hAnsi="Microsoft YaHei" w:eastAsia="Microsoft YaHei"/>
                <w:b w:val="0"/>
                <w:color w:val="19212A"/>
                <w:sz w:val="13"/>
              </w:rPr>
              <w:t>83,425-84,083</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这不是胜率。当前统计带只用于说明波动范围，不能把某一个点位当成绝对顶部。今天要同时观察下沿是否扫过 VAL 81,683 后收回形成 HL，以及上沿 83,983-84,163 是否冲高失败形成 LH；现价不属于执行区。</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81,683 / POC 83,425 / VAH 84,083</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处于 VAL 81,683 与 POC 83,425 之间、位于价值区下半部不追单；下沿等扫低收回多；上沿等S2c 趋势回踩空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2,349 / POC 2,369 / VAH 2,508</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PULLBACK</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104.22 / POC 107.27 / VAH 112.80</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+0.81%；DOGE -0.43%；AVAX +0.97%</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83,425 是最近五天成交最密集的价格，可理解为短期筹码最拥挤的‘价格磁铁’；VAL 81,683 是正常震荡区下沿，VAH 84,083 是正常震荡区上沿。BTC 当前处于 VAL 81,683 与 POC 83,425 之间、位于价值区下半部，仍未进入任一执行带，不是自动做多或做空；下沿等扫低收回，上沿等冲高失败。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81,683后快速收回，卖压减弱并形成HL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S1 流动性扫单反转多条件已定义；本轮24h低点仍在VAL上方，尚未触发</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S2c 趋势回踩空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HTF_TREND_DOWN + PULLBACK，S5不作为主执行；上沿路径按 S2c 趋势回踩空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处于 VAL 81,683 与 POC 83,425 之间、位于价值区下半部，不能把反弹强度当成追多信号。下沿多头只等扫过 VAL 81,683 后收回形成 HL，空头只等上沿 83,983-84,163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S2c 趋势回踩空；S1 流动性扫单反转多</w:t>
            </w:r>
          </w:p>
        </w:tc>
        <w:tc>
          <w:tcPr>
            <w:tcW w:type="dxa" w:w="710"/>
            <w:vAlign w:val="center"/>
          </w:tcPr>
          <w:p>
            <w:pPr>
              <w:spacing w:after="0" w:line="240" w:lineRule="auto"/>
            </w:pPr>
            <w:r>
              <w:rPr>
                <w:rFonts w:ascii="Microsoft YaHei" w:hAnsi="Microsoft YaHei" w:eastAsia="Microsoft YaHei"/>
                <w:b w:val="0"/>
                <w:color w:val="19212A"/>
                <w:sz w:val="11"/>
              </w:rPr>
              <w:t>HTF_TREND_DOWN + PULLBACK</w:t>
            </w:r>
          </w:p>
        </w:tc>
        <w:tc>
          <w:tcPr>
            <w:tcW w:type="dxa" w:w="710"/>
            <w:vAlign w:val="center"/>
          </w:tcPr>
          <w:p>
            <w:pPr>
              <w:spacing w:after="0" w:line="240" w:lineRule="auto"/>
            </w:pPr>
            <w:r>
              <w:rPr>
                <w:rFonts w:ascii="Microsoft YaHei" w:hAnsi="Microsoft YaHei" w:eastAsia="Microsoft YaHei"/>
                <w:b w:val="0"/>
                <w:color w:val="19212A"/>
                <w:sz w:val="11"/>
              </w:rPr>
              <w:t>现价处于 VAL 81,683 与 POC 83,425 之间、位于价值区下半部；两端都有结构位置，但现价不在执行区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84,083 后跌回；多：扫过 VAL 81,683 后收回；现价 82,302</w:t>
            </w:r>
          </w:p>
        </w:tc>
        <w:tc>
          <w:tcPr>
            <w:tcW w:type="dxa" w:w="710"/>
            <w:vAlign w:val="center"/>
          </w:tcPr>
          <w:p>
            <w:pPr>
              <w:spacing w:after="0" w:line="240" w:lineRule="auto"/>
            </w:pPr>
            <w:r>
              <w:rPr>
                <w:rFonts w:ascii="Microsoft YaHei" w:hAnsi="Microsoft YaHei" w:eastAsia="Microsoft YaHei"/>
                <w:b w:val="0"/>
                <w:color w:val="19212A"/>
                <w:sz w:val="11"/>
              </w:rPr>
              <w:t>空 84,103 / 多 81,663</w:t>
            </w:r>
          </w:p>
        </w:tc>
        <w:tc>
          <w:tcPr>
            <w:tcW w:type="dxa" w:w="710"/>
            <w:vAlign w:val="center"/>
          </w:tcPr>
          <w:p>
            <w:pPr>
              <w:spacing w:after="0" w:line="240" w:lineRule="auto"/>
            </w:pPr>
            <w:r>
              <w:rPr>
                <w:rFonts w:ascii="Microsoft YaHei" w:hAnsi="Microsoft YaHei" w:eastAsia="Microsoft YaHei"/>
                <w:b w:val="0"/>
                <w:color w:val="19212A"/>
                <w:sz w:val="11"/>
              </w:rPr>
              <w:t>空 84,163 / 多 81,733</w:t>
            </w:r>
          </w:p>
        </w:tc>
        <w:tc>
          <w:tcPr>
            <w:tcW w:type="dxa" w:w="710"/>
            <w:vAlign w:val="center"/>
          </w:tcPr>
          <w:p>
            <w:pPr>
              <w:spacing w:after="0" w:line="240" w:lineRule="auto"/>
            </w:pPr>
            <w:r>
              <w:rPr>
                <w:rFonts w:ascii="Microsoft YaHei" w:hAnsi="Microsoft YaHei" w:eastAsia="Microsoft YaHei"/>
                <w:b w:val="0"/>
                <w:color w:val="19212A"/>
                <w:sz w:val="11"/>
              </w:rPr>
              <w:t>空 84,583 / 多 81,183</w:t>
            </w:r>
          </w:p>
        </w:tc>
        <w:tc>
          <w:tcPr>
            <w:tcW w:type="dxa" w:w="710"/>
            <w:vAlign w:val="center"/>
          </w:tcPr>
          <w:p>
            <w:pPr>
              <w:spacing w:after="0" w:line="240" w:lineRule="auto"/>
            </w:pPr>
            <w:r>
              <w:rPr>
                <w:rFonts w:ascii="Microsoft YaHei" w:hAnsi="Microsoft YaHei" w:eastAsia="Microsoft YaHei"/>
                <w:b w:val="0"/>
                <w:color w:val="19212A"/>
                <w:sz w:val="11"/>
              </w:rPr>
              <w:t>空看 POC 83,425 / 多看 POC 83,425</w:t>
            </w:r>
          </w:p>
        </w:tc>
        <w:tc>
          <w:tcPr>
            <w:tcW w:type="dxa" w:w="710"/>
            <w:vAlign w:val="center"/>
          </w:tcPr>
          <w:p>
            <w:pPr>
              <w:spacing w:after="0" w:line="240" w:lineRule="auto"/>
            </w:pPr>
            <w:r>
              <w:rPr>
                <w:rFonts w:ascii="Microsoft YaHei" w:hAnsi="Microsoft YaHei" w:eastAsia="Microsoft YaHei"/>
                <w:b w:val="0"/>
                <w:color w:val="19212A"/>
                <w:sz w:val="11"/>
              </w:rPr>
              <w:t>空看 VAL 81,683 / 多看 VAH 84,083</w:t>
            </w:r>
          </w:p>
        </w:tc>
        <w:tc>
          <w:tcPr>
            <w:tcW w:type="dxa" w:w="710"/>
            <w:vAlign w:val="center"/>
          </w:tcPr>
          <w:p>
            <w:pPr>
              <w:spacing w:after="0" w:line="240" w:lineRule="auto"/>
            </w:pPr>
            <w:r>
              <w:rPr>
                <w:rFonts w:ascii="Microsoft YaHei" w:hAnsi="Microsoft YaHei" w:eastAsia="Microsoft YaHei"/>
                <w:b w:val="0"/>
                <w:color w:val="19212A"/>
                <w:sz w:val="11"/>
              </w:rPr>
              <w:t>空 1:3.23 / 多 1:3.07</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各自出现 LH/HL 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仍在价值区下半部。下沿要先扫过 VAL 81,683 再收回形成 HL，上沿要进入 83,983-84,163 后受阻并跌回 VAH 下方形成 LH；两边触发后都不能超过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S1/S2c</w:t>
            </w:r>
          </w:p>
        </w:tc>
        <w:tc>
          <w:tcPr>
            <w:tcW w:type="dxa" w:w="1332"/>
            <w:vAlign w:val="center"/>
          </w:tcPr>
          <w:p>
            <w:pPr>
              <w:spacing w:after="0" w:line="240" w:lineRule="auto"/>
            </w:pPr>
            <w:r>
              <w:rPr>
                <w:rFonts w:ascii="Microsoft YaHei" w:hAnsi="Microsoft YaHei" w:eastAsia="Microsoft YaHei"/>
                <w:b w:val="0"/>
                <w:color w:val="19212A"/>
                <w:sz w:val="13"/>
              </w:rPr>
              <w:t>2</w:t>
            </w:r>
          </w:p>
        </w:tc>
        <w:tc>
          <w:tcPr>
            <w:tcW w:type="dxa" w:w="1332"/>
            <w:vAlign w:val="center"/>
          </w:tcPr>
          <w:p>
            <w:pPr>
              <w:spacing w:after="0" w:line="240" w:lineRule="auto"/>
            </w:pPr>
            <w:r>
              <w:rPr>
                <w:rFonts w:ascii="Microsoft YaHei" w:hAnsi="Microsoft YaHei" w:eastAsia="Microsoft YaHei"/>
                <w:b w:val="0"/>
                <w:color w:val="19212A"/>
                <w:sz w:val="13"/>
              </w:rPr>
              <w:t>BTC上下沿各1张条件卡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扫描了13个流动标的，BTC上下沿各有一张通过位置和动态盈亏比检查的条件卡，分别是 S1 流动性扫单反转多 与 S2c 趋势回踩空。两张卡都尚未触发，没有模型成交，当前价附近不追单。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S1/S2c 两端条件卡</w:t>
            </w:r>
          </w:p>
        </w:tc>
        <w:tc>
          <w:tcPr>
            <w:tcW w:type="dxa" w:w="888"/>
            <w:vAlign w:val="center"/>
          </w:tcPr>
          <w:p>
            <w:pPr>
              <w:spacing w:after="0" w:line="240" w:lineRule="auto"/>
            </w:pPr>
            <w:r>
              <w:rPr>
                <w:rFonts w:ascii="Microsoft YaHei" w:hAnsi="Microsoft YaHei" w:eastAsia="Microsoft YaHei"/>
                <w:b w:val="0"/>
                <w:color w:val="19212A"/>
                <w:sz w:val="13"/>
              </w:rPr>
              <w:t>HTF_TREND_DOWN + PULLBACK</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S2c_TREND_PULLBACK</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20.0%</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10.0%-20.0%</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S1 流动性扫单反转多 / S2c 趋势回踩空</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81,683 / POC 83,425 / VAH 84,083，两端条件卡均保留，现价不在执行区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81,683、POC 83,425、VAH 84,083，当前 Regime 为 HTF_TREND_DOWN + PULLBACK，价格处于 VAL 81,683 与 POC 83,425 之间、位于价值区下半部；两端条件卡均保留，现价不在执行区。这是按新快照和新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82,302.50 / +1.02%</w:t>
            </w:r>
          </w:p>
        </w:tc>
        <w:tc>
          <w:tcPr>
            <w:tcW w:type="dxa" w:w="1776"/>
            <w:vAlign w:val="center"/>
          </w:tcPr>
          <w:p>
            <w:pPr>
              <w:spacing w:after="0" w:line="240" w:lineRule="auto"/>
            </w:pPr>
            <w:r>
              <w:rPr>
                <w:rFonts w:ascii="Microsoft YaHei" w:hAnsi="Microsoft YaHei" w:eastAsia="Microsoft YaHei"/>
                <w:b w:val="0"/>
                <w:color w:val="19212A"/>
                <w:sz w:val="14"/>
              </w:rPr>
              <w:t>81,682.78 / 83,425.17 / 84,083.40</w:t>
            </w:r>
          </w:p>
        </w:tc>
        <w:tc>
          <w:tcPr>
            <w:tcW w:type="dxa" w:w="1776"/>
            <w:vAlign w:val="center"/>
          </w:tcPr>
          <w:p>
            <w:pPr>
              <w:spacing w:after="0" w:line="240" w:lineRule="auto"/>
            </w:pPr>
            <w:r>
              <w:rPr>
                <w:rFonts w:ascii="Microsoft YaHei" w:hAnsi="Microsoft YaHei" w:eastAsia="Microsoft YaHei"/>
                <w:b w:val="0"/>
                <w:color w:val="19212A"/>
                <w:sz w:val="14"/>
              </w:rPr>
              <w:t>+0.0028%</w:t>
            </w:r>
          </w:p>
        </w:tc>
        <w:tc>
          <w:tcPr>
            <w:tcW w:type="dxa" w:w="1776"/>
            <w:vAlign w:val="center"/>
          </w:tcPr>
          <w:p>
            <w:pPr>
              <w:spacing w:after="0" w:line="240" w:lineRule="auto"/>
            </w:pPr>
            <w:r>
              <w:rPr>
                <w:rFonts w:ascii="Microsoft YaHei" w:hAnsi="Microsoft YaHei" w:eastAsia="Microsoft YaHei"/>
                <w:b w:val="0"/>
                <w:color w:val="19212A"/>
                <w:sz w:val="14"/>
              </w:rPr>
              <w:t>$2.44bn / +0.00%</w:t>
            </w:r>
          </w:p>
        </w:tc>
        <w:tc>
          <w:tcPr>
            <w:tcW w:type="dxa" w:w="1776"/>
            <w:vAlign w:val="center"/>
          </w:tcPr>
          <w:p>
            <w:pPr>
              <w:spacing w:after="0" w:line="240" w:lineRule="auto"/>
            </w:pPr>
            <w:r>
              <w:rPr>
                <w:rFonts w:ascii="Microsoft YaHei" w:hAnsi="Microsoft YaHei" w:eastAsia="Microsoft YaHei"/>
                <w:b w:val="0"/>
                <w:color w:val="19212A"/>
                <w:sz w:val="14"/>
              </w:rPr>
              <w:t>0.176 / 0.176 / 0.176</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2,442.00 / +1.04%</w:t>
            </w:r>
          </w:p>
        </w:tc>
        <w:tc>
          <w:tcPr>
            <w:tcW w:type="dxa" w:w="1776"/>
            <w:vAlign w:val="center"/>
            <w:shd w:fill="EAF2F8"/>
          </w:tcPr>
          <w:p>
            <w:pPr>
              <w:spacing w:after="0" w:line="240" w:lineRule="auto"/>
            </w:pPr>
            <w:r>
              <w:rPr>
                <w:rFonts w:ascii="Microsoft YaHei" w:hAnsi="Microsoft YaHei" w:eastAsia="Microsoft YaHei"/>
                <w:b w:val="0"/>
                <w:color w:val="19212A"/>
                <w:sz w:val="14"/>
              </w:rPr>
              <w:t>2,348.58 / 2,369.13 / 2,508.39</w:t>
            </w:r>
          </w:p>
        </w:tc>
        <w:tc>
          <w:tcPr>
            <w:tcW w:type="dxa" w:w="1776"/>
            <w:vAlign w:val="center"/>
            <w:shd w:fill="EAF2F8"/>
          </w:tcPr>
          <w:p>
            <w:pPr>
              <w:spacing w:after="0" w:line="240" w:lineRule="auto"/>
            </w:pPr>
            <w:r>
              <w:rPr>
                <w:rFonts w:ascii="Microsoft YaHei" w:hAnsi="Microsoft YaHei" w:eastAsia="Microsoft YaHei"/>
                <w:b w:val="0"/>
                <w:color w:val="19212A"/>
                <w:sz w:val="14"/>
              </w:rPr>
              <w:t>+0.0056%</w:t>
            </w:r>
          </w:p>
        </w:tc>
        <w:tc>
          <w:tcPr>
            <w:tcW w:type="dxa" w:w="1776"/>
            <w:vAlign w:val="center"/>
            <w:shd w:fill="EAF2F8"/>
          </w:tcPr>
          <w:p>
            <w:pPr>
              <w:spacing w:after="0" w:line="240" w:lineRule="auto"/>
            </w:pPr>
            <w:r>
              <w:rPr>
                <w:rFonts w:ascii="Microsoft YaHei" w:hAnsi="Microsoft YaHei" w:eastAsia="Microsoft YaHei"/>
                <w:b w:val="0"/>
                <w:color w:val="19212A"/>
                <w:sz w:val="14"/>
              </w:rPr>
              <w:t>$1.39bn / +0.00%</w:t>
            </w:r>
          </w:p>
        </w:tc>
        <w:tc>
          <w:tcPr>
            <w:tcW w:type="dxa" w:w="1776"/>
            <w:vAlign w:val="center"/>
            <w:shd w:fill="EAF2F8"/>
          </w:tcPr>
          <w:p>
            <w:pPr>
              <w:spacing w:after="0" w:line="240" w:lineRule="auto"/>
            </w:pPr>
            <w:r>
              <w:rPr>
                <w:rFonts w:ascii="Microsoft YaHei" w:hAnsi="Microsoft YaHei" w:eastAsia="Microsoft YaHei"/>
                <w:b w:val="0"/>
                <w:color w:val="19212A"/>
                <w:sz w:val="14"/>
              </w:rPr>
              <w:t>52.833 / 52.833 / 52.833</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105.54 / +1.21%</w:t>
            </w:r>
          </w:p>
        </w:tc>
        <w:tc>
          <w:tcPr>
            <w:tcW w:type="dxa" w:w="1776"/>
            <w:vAlign w:val="center"/>
          </w:tcPr>
          <w:p>
            <w:pPr>
              <w:spacing w:after="0" w:line="240" w:lineRule="auto"/>
            </w:pPr>
            <w:r>
              <w:rPr>
                <w:rFonts w:ascii="Microsoft YaHei" w:hAnsi="Microsoft YaHei" w:eastAsia="Microsoft YaHei"/>
                <w:b w:val="0"/>
                <w:color w:val="19212A"/>
                <w:sz w:val="14"/>
              </w:rPr>
              <w:t>104.22 / 107.27 / 112.80</w:t>
            </w:r>
          </w:p>
        </w:tc>
        <w:tc>
          <w:tcPr>
            <w:tcW w:type="dxa" w:w="1776"/>
            <w:vAlign w:val="center"/>
          </w:tcPr>
          <w:p>
            <w:pPr>
              <w:spacing w:after="0" w:line="240" w:lineRule="auto"/>
            </w:pPr>
            <w:r>
              <w:rPr>
                <w:rFonts w:ascii="Microsoft YaHei" w:hAnsi="Microsoft YaHei" w:eastAsia="Microsoft YaHei"/>
                <w:b w:val="0"/>
                <w:color w:val="19212A"/>
                <w:sz w:val="14"/>
              </w:rPr>
              <w:t>+0.0070%</w:t>
            </w:r>
          </w:p>
        </w:tc>
        <w:tc>
          <w:tcPr>
            <w:tcW w:type="dxa" w:w="1776"/>
            <w:vAlign w:val="center"/>
          </w:tcPr>
          <w:p>
            <w:pPr>
              <w:spacing w:after="0" w:line="240" w:lineRule="auto"/>
            </w:pPr>
            <w:r>
              <w:rPr>
                <w:rFonts w:ascii="Microsoft YaHei" w:hAnsi="Microsoft YaHei" w:eastAsia="Microsoft YaHei"/>
                <w:b w:val="0"/>
                <w:color w:val="19212A"/>
                <w:sz w:val="14"/>
              </w:rPr>
              <w:t>$0.31bn / +0.00%</w:t>
            </w:r>
          </w:p>
        </w:tc>
        <w:tc>
          <w:tcPr>
            <w:tcW w:type="dxa" w:w="1776"/>
            <w:vAlign w:val="center"/>
          </w:tcPr>
          <w:p>
            <w:pPr>
              <w:spacing w:after="0" w:line="240" w:lineRule="auto"/>
            </w:pPr>
            <w:r>
              <w:rPr>
                <w:rFonts w:ascii="Microsoft YaHei" w:hAnsi="Microsoft YaHei" w:eastAsia="Microsoft YaHei"/>
                <w:b w:val="0"/>
                <w:color w:val="19212A"/>
                <w:sz w:val="14"/>
              </w:rPr>
              <w:t>12.653 / 12.653 / 12.653</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0.176，下沿多头要等扫过 VAL 后收回形成 HL，上沿空头要等冲高失败形成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7,744.06</w:t>
            </w:r>
          </w:p>
        </w:tc>
        <w:tc>
          <w:tcPr>
            <w:tcW w:type="dxa" w:w="2664"/>
            <w:vAlign w:val="center"/>
            <w:shd w:fill="EAF2F8"/>
          </w:tcPr>
          <w:p>
            <w:pPr>
              <w:spacing w:after="0" w:line="240" w:lineRule="auto"/>
            </w:pPr>
            <w:r>
              <w:rPr>
                <w:rFonts w:ascii="Microsoft YaHei" w:hAnsi="Microsoft YaHei" w:eastAsia="Microsoft YaHei"/>
                <w:b w:val="0"/>
                <w:color w:val="19212A"/>
                <w:sz w:val="14"/>
              </w:rPr>
              <w:t>+0.33%</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26,713.03</w:t>
            </w:r>
          </w:p>
        </w:tc>
        <w:tc>
          <w:tcPr>
            <w:tcW w:type="dxa" w:w="2664"/>
            <w:vAlign w:val="center"/>
          </w:tcPr>
          <w:p>
            <w:pPr>
              <w:spacing w:after="0" w:line="240" w:lineRule="auto"/>
            </w:pPr>
            <w:r>
              <w:rPr>
                <w:rFonts w:ascii="Microsoft YaHei" w:hAnsi="Microsoft YaHei" w:eastAsia="Microsoft YaHei"/>
                <w:b w:val="0"/>
                <w:color w:val="19212A"/>
                <w:sz w:val="14"/>
              </w:rPr>
              <w:t>+0.08%</w:t>
            </w:r>
          </w:p>
        </w:tc>
        <w:tc>
          <w:tcPr>
            <w:tcW w:type="dxa" w:w="2664"/>
            <w:vAlign w:val="center"/>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102.05</w:t>
            </w:r>
          </w:p>
        </w:tc>
        <w:tc>
          <w:tcPr>
            <w:tcW w:type="dxa" w:w="2664"/>
            <w:vAlign w:val="center"/>
            <w:shd w:fill="EAF2F8"/>
          </w:tcPr>
          <w:p>
            <w:pPr>
              <w:spacing w:after="0" w:line="240" w:lineRule="auto"/>
            </w:pPr>
            <w:r>
              <w:rPr>
                <w:rFonts w:ascii="Microsoft YaHei" w:hAnsi="Microsoft YaHei" w:eastAsia="Microsoft YaHei"/>
                <w:b w:val="0"/>
                <w:color w:val="19212A"/>
                <w:sz w:val="14"/>
              </w:rPr>
              <w:t>+0.05%</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5.09</w:t>
            </w:r>
          </w:p>
        </w:tc>
        <w:tc>
          <w:tcPr>
            <w:tcW w:type="dxa" w:w="2664"/>
            <w:vAlign w:val="center"/>
          </w:tcPr>
          <w:p>
            <w:pPr>
              <w:spacing w:after="0" w:line="240" w:lineRule="auto"/>
            </w:pPr>
            <w:r>
              <w:rPr>
                <w:rFonts w:ascii="Microsoft YaHei" w:hAnsi="Microsoft YaHei" w:eastAsia="Microsoft YaHei"/>
                <w:b w:val="0"/>
                <w:color w:val="19212A"/>
                <w:sz w:val="14"/>
              </w:rPr>
              <w:t>-1.95%</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4,173.90</w:t>
            </w:r>
          </w:p>
        </w:tc>
        <w:tc>
          <w:tcPr>
            <w:tcW w:type="dxa" w:w="2664"/>
            <w:vAlign w:val="center"/>
            <w:shd w:fill="EAF2F8"/>
          </w:tcPr>
          <w:p>
            <w:pPr>
              <w:spacing w:after="0" w:line="240" w:lineRule="auto"/>
            </w:pPr>
            <w:r>
              <w:rPr>
                <w:rFonts w:ascii="Microsoft YaHei" w:hAnsi="Microsoft YaHei" w:eastAsia="Microsoft YaHei"/>
                <w:b w:val="0"/>
                <w:color w:val="19212A"/>
                <w:sz w:val="14"/>
              </w:rPr>
              <w:t>+1.61%</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95.96</w:t>
            </w:r>
          </w:p>
        </w:tc>
        <w:tc>
          <w:tcPr>
            <w:tcW w:type="dxa" w:w="2664"/>
            <w:vAlign w:val="center"/>
          </w:tcPr>
          <w:p>
            <w:pPr>
              <w:spacing w:after="0" w:line="240" w:lineRule="auto"/>
            </w:pPr>
            <w:r>
              <w:rPr>
                <w:rFonts w:ascii="Microsoft YaHei" w:hAnsi="Microsoft YaHei" w:eastAsia="Microsoft YaHei"/>
                <w:b w:val="0"/>
                <w:color w:val="19212A"/>
                <w:sz w:val="14"/>
              </w:rPr>
              <w:t>+0.91%</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处于 VAL 81,683 与 POC 83,425 之间、位于价值区下半部 猜方向，只执行两端条件：下沿扫低收回多、上沿受阻空。</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$306.3bn，提供中期流动性底座，但不能证明今天正在主动买币。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190s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89.2%</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360s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43.4%</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602s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49.9%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$5.38m</w:t>
            </w:r>
          </w:p>
        </w:tc>
        <w:tc>
          <w:tcPr>
            <w:tcW w:type="dxa" w:w="2131"/>
            <w:vAlign w:val="center"/>
          </w:tcPr>
          <w:p>
            <w:pPr>
              <w:spacing w:after="0" w:line="240" w:lineRule="auto"/>
            </w:pPr>
            <w:r>
              <w:rPr>
                <w:rFonts w:ascii="Microsoft YaHei" w:hAnsi="Microsoft YaHei" w:eastAsia="Microsoft YaHei"/>
                <w:b w:val="0"/>
                <w:color w:val="19212A"/>
                <w:sz w:val="14"/>
              </w:rPr>
              <w:t>$4.95m</w:t>
            </w:r>
          </w:p>
        </w:tc>
        <w:tc>
          <w:tcPr>
            <w:tcW w:type="dxa" w:w="2131"/>
            <w:vAlign w:val="center"/>
          </w:tcPr>
          <w:p>
            <w:pPr>
              <w:spacing w:after="0" w:line="240" w:lineRule="auto"/>
            </w:pPr>
            <w:r>
              <w:rPr>
                <w:rFonts w:ascii="Microsoft YaHei" w:hAnsi="Microsoft YaHei" w:eastAsia="Microsoft YaHei"/>
                <w:b w:val="0"/>
                <w:color w:val="19212A"/>
                <w:sz w:val="14"/>
              </w:rPr>
              <w:t>+4.2%</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$4.54m</w:t>
            </w:r>
          </w:p>
        </w:tc>
        <w:tc>
          <w:tcPr>
            <w:tcW w:type="dxa" w:w="2131"/>
            <w:vAlign w:val="center"/>
            <w:shd w:fill="EAF2F8"/>
          </w:tcPr>
          <w:p>
            <w:pPr>
              <w:spacing w:after="0" w:line="240" w:lineRule="auto"/>
            </w:pPr>
            <w:r>
              <w:rPr>
                <w:rFonts w:ascii="Microsoft YaHei" w:hAnsi="Microsoft YaHei" w:eastAsia="Microsoft YaHei"/>
                <w:b w:val="0"/>
                <w:color w:val="19212A"/>
                <w:sz w:val="14"/>
              </w:rPr>
              <w:t>$4.10m</w:t>
            </w:r>
          </w:p>
        </w:tc>
        <w:tc>
          <w:tcPr>
            <w:tcW w:type="dxa" w:w="2131"/>
            <w:vAlign w:val="center"/>
            <w:shd w:fill="EAF2F8"/>
          </w:tcPr>
          <w:p>
            <w:pPr>
              <w:spacing w:after="0" w:line="240" w:lineRule="auto"/>
            </w:pPr>
            <w:r>
              <w:rPr>
                <w:rFonts w:ascii="Microsoft YaHei" w:hAnsi="Microsoft YaHei" w:eastAsia="Microsoft YaHei"/>
                <w:b w:val="0"/>
                <w:color w:val="19212A"/>
                <w:sz w:val="14"/>
              </w:rPr>
              <w:t>+5.1%</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$1.16m</w:t>
            </w:r>
          </w:p>
        </w:tc>
        <w:tc>
          <w:tcPr>
            <w:tcW w:type="dxa" w:w="2131"/>
            <w:vAlign w:val="center"/>
          </w:tcPr>
          <w:p>
            <w:pPr>
              <w:spacing w:after="0" w:line="240" w:lineRule="auto"/>
            </w:pPr>
            <w:r>
              <w:rPr>
                <w:rFonts w:ascii="Microsoft YaHei" w:hAnsi="Microsoft YaHei" w:eastAsia="Microsoft YaHei"/>
                <w:b w:val="0"/>
                <w:color w:val="19212A"/>
                <w:sz w:val="14"/>
              </w:rPr>
              <w:t>$1.07m</w:t>
            </w:r>
          </w:p>
        </w:tc>
        <w:tc>
          <w:tcPr>
            <w:tcW w:type="dxa" w:w="2131"/>
            <w:vAlign w:val="center"/>
          </w:tcPr>
          <w:p>
            <w:pPr>
              <w:spacing w:after="0" w:line="240" w:lineRule="auto"/>
            </w:pPr>
            <w:r>
              <w:rPr>
                <w:rFonts w:ascii="Microsoft YaHei" w:hAnsi="Microsoft YaHei" w:eastAsia="Microsoft YaHei"/>
                <w:b w:val="0"/>
                <w:color w:val="19212A"/>
                <w:sz w:val="14"/>
              </w:rPr>
              <w:t>+4.0%</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+1.02%</w:t>
            </w:r>
          </w:p>
        </w:tc>
        <w:tc>
          <w:tcPr>
            <w:tcW w:type="dxa" w:w="1522"/>
            <w:vAlign w:val="center"/>
          </w:tcPr>
          <w:p>
            <w:pPr>
              <w:spacing w:after="0" w:line="240" w:lineRule="auto"/>
            </w:pPr>
            <w:r>
              <w:rPr>
                <w:rFonts w:ascii="Microsoft YaHei" w:hAnsi="Microsoft YaHei" w:eastAsia="Microsoft YaHei"/>
                <w:b w:val="0"/>
                <w:color w:val="19212A"/>
                <w:sz w:val="13"/>
              </w:rPr>
              <w:t>+0.0028%</w:t>
            </w:r>
          </w:p>
        </w:tc>
        <w:tc>
          <w:tcPr>
            <w:tcW w:type="dxa" w:w="1522"/>
            <w:vAlign w:val="center"/>
          </w:tcPr>
          <w:p>
            <w:pPr>
              <w:spacing w:after="0" w:line="240" w:lineRule="auto"/>
            </w:pPr>
            <w:r>
              <w:rPr>
                <w:rFonts w:ascii="Microsoft YaHei" w:hAnsi="Microsoft YaHei" w:eastAsia="Microsoft YaHei"/>
                <w:b w:val="0"/>
                <w:color w:val="19212A"/>
                <w:sz w:val="13"/>
              </w:rPr>
              <w:t>$2.44bn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0.176/0.176/0.176</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+1.04%</w:t>
            </w:r>
          </w:p>
        </w:tc>
        <w:tc>
          <w:tcPr>
            <w:tcW w:type="dxa" w:w="1522"/>
            <w:vAlign w:val="center"/>
            <w:shd w:fill="EAF2F8"/>
          </w:tcPr>
          <w:p>
            <w:pPr>
              <w:spacing w:after="0" w:line="240" w:lineRule="auto"/>
            </w:pPr>
            <w:r>
              <w:rPr>
                <w:rFonts w:ascii="Microsoft YaHei" w:hAnsi="Microsoft YaHei" w:eastAsia="Microsoft YaHei"/>
                <w:b w:val="0"/>
                <w:color w:val="19212A"/>
                <w:sz w:val="13"/>
              </w:rPr>
              <w:t>+0.0056%</w:t>
            </w:r>
          </w:p>
        </w:tc>
        <w:tc>
          <w:tcPr>
            <w:tcW w:type="dxa" w:w="1522"/>
            <w:vAlign w:val="center"/>
            <w:shd w:fill="EAF2F8"/>
          </w:tcPr>
          <w:p>
            <w:pPr>
              <w:spacing w:after="0" w:line="240" w:lineRule="auto"/>
            </w:pPr>
            <w:r>
              <w:rPr>
                <w:rFonts w:ascii="Microsoft YaHei" w:hAnsi="Microsoft YaHei" w:eastAsia="Microsoft YaHei"/>
                <w:b w:val="0"/>
                <w:color w:val="19212A"/>
                <w:sz w:val="13"/>
              </w:rPr>
              <w:t>$1.39bn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52.833/52.833/52.833</w:t>
            </w:r>
          </w:p>
        </w:tc>
        <w:tc>
          <w:tcPr>
            <w:tcW w:type="dxa" w:w="1522"/>
            <w:vAlign w:val="center"/>
            <w:shd w:fill="EAF2F8"/>
          </w:tcPr>
          <w:p>
            <w:pPr>
              <w:spacing w:after="0" w:line="240" w:lineRule="auto"/>
            </w:pPr>
            <w:r>
              <w:rPr>
                <w:rFonts w:ascii="Microsoft YaHei" w:hAnsi="Microsoft YaHei" w:eastAsia="Microsoft YaHei"/>
                <w:b w:val="0"/>
                <w:color w:val="19212A"/>
                <w:sz w:val="13"/>
              </w:rPr>
              <w:t>价格涨/OI增，反弹中有杠杆回补，末端Taker仍偏弱</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+1.21%</w:t>
            </w:r>
          </w:p>
        </w:tc>
        <w:tc>
          <w:tcPr>
            <w:tcW w:type="dxa" w:w="1522"/>
            <w:vAlign w:val="center"/>
          </w:tcPr>
          <w:p>
            <w:pPr>
              <w:spacing w:after="0" w:line="240" w:lineRule="auto"/>
            </w:pPr>
            <w:r>
              <w:rPr>
                <w:rFonts w:ascii="Microsoft YaHei" w:hAnsi="Microsoft YaHei" w:eastAsia="Microsoft YaHei"/>
                <w:b w:val="0"/>
                <w:color w:val="19212A"/>
                <w:sz w:val="13"/>
              </w:rPr>
              <w:t>+0.0070%</w:t>
            </w:r>
          </w:p>
        </w:tc>
        <w:tc>
          <w:tcPr>
            <w:tcW w:type="dxa" w:w="1522"/>
            <w:vAlign w:val="center"/>
          </w:tcPr>
          <w:p>
            <w:pPr>
              <w:spacing w:after="0" w:line="240" w:lineRule="auto"/>
            </w:pPr>
            <w:r>
              <w:rPr>
                <w:rFonts w:ascii="Microsoft YaHei" w:hAnsi="Microsoft YaHei" w:eastAsia="Microsoft YaHei"/>
                <w:b w:val="0"/>
                <w:color w:val="19212A"/>
                <w:sz w:val="13"/>
              </w:rPr>
              <w:t>$0.31bn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12.653/12.653/12.653</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价格涨/OI增，反弹中有杠杆回补，末端Taker仍偏弱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1.02%、OI 增加 0.00%，最近三小时 Taker 为 0.176、0.176、0.176：价格与OI同步增加更像反弹中的杠杆回补，但末端 Taker 尚未稳定站上1.10，不能直接当成趋势反转。ETH 24小时上涨 1.04%、OI 增加 0.00%；SOL 24小时上涨 1.21%、OI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0.61</w:t>
            </w:r>
          </w:p>
        </w:tc>
        <w:tc>
          <w:tcPr>
            <w:tcW w:type="dxa" w:w="1776"/>
            <w:vAlign w:val="center"/>
          </w:tcPr>
          <w:p>
            <w:pPr>
              <w:spacing w:after="0" w:line="240" w:lineRule="auto"/>
            </w:pPr>
            <w:r>
              <w:rPr>
                <w:rFonts w:ascii="Microsoft YaHei" w:hAnsi="Microsoft YaHei" w:eastAsia="Microsoft YaHei"/>
                <w:b w:val="0"/>
                <w:color w:val="19212A"/>
                <w:sz w:val="14"/>
              </w:rPr>
              <w:t>16OCT26</w:t>
            </w:r>
          </w:p>
        </w:tc>
        <w:tc>
          <w:tcPr>
            <w:tcW w:type="dxa" w:w="1776"/>
            <w:vAlign w:val="center"/>
          </w:tcPr>
          <w:p>
            <w:pPr>
              <w:spacing w:after="0" w:line="240" w:lineRule="auto"/>
            </w:pPr>
            <w:r>
              <w:rPr>
                <w:rFonts w:ascii="Microsoft YaHei" w:hAnsi="Microsoft YaHei" w:eastAsia="Microsoft YaHei"/>
                <w:b w:val="0"/>
                <w:color w:val="19212A"/>
                <w:sz w:val="14"/>
              </w:rPr>
              <w:t>1.27</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0.51</w:t>
            </w:r>
          </w:p>
        </w:tc>
        <w:tc>
          <w:tcPr>
            <w:tcW w:type="dxa" w:w="1776"/>
            <w:vAlign w:val="center"/>
            <w:shd w:fill="EAF2F8"/>
          </w:tcPr>
          <w:p>
            <w:pPr>
              <w:spacing w:after="0" w:line="240" w:lineRule="auto"/>
            </w:pPr>
            <w:r>
              <w:rPr>
                <w:rFonts w:ascii="Microsoft YaHei" w:hAnsi="Microsoft YaHei" w:eastAsia="Microsoft YaHei"/>
                <w:b w:val="0"/>
                <w:color w:val="19212A"/>
                <w:sz w:val="14"/>
              </w:rPr>
              <w:t>16OCT26</w:t>
            </w:r>
          </w:p>
        </w:tc>
        <w:tc>
          <w:tcPr>
            <w:tcW w:type="dxa" w:w="1776"/>
            <w:vAlign w:val="center"/>
            <w:shd w:fill="EAF2F8"/>
          </w:tcPr>
          <w:p>
            <w:pPr>
              <w:spacing w:after="0" w:line="240" w:lineRule="auto"/>
            </w:pPr>
            <w:r>
              <w:rPr>
                <w:rFonts w:ascii="Microsoft YaHei" w:hAnsi="Microsoft YaHei" w:eastAsia="Microsoft YaHei"/>
                <w:b w:val="0"/>
                <w:color w:val="19212A"/>
                <w:sz w:val="14"/>
              </w:rPr>
              <w:t>0.58</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0.61、近月 1.27；ETH 全期限 0.51、近月 0.58。本轮只取得期权持仓结构，没有稳定的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81,683</w:t>
            </w:r>
          </w:p>
        </w:tc>
        <w:tc>
          <w:tcPr>
            <w:tcW w:type="dxa" w:w="1522"/>
            <w:vAlign w:val="center"/>
          </w:tcPr>
          <w:p>
            <w:pPr>
              <w:spacing w:after="0" w:line="240" w:lineRule="auto"/>
            </w:pPr>
            <w:r>
              <w:rPr>
                <w:rFonts w:ascii="Microsoft YaHei" w:hAnsi="Microsoft YaHei" w:eastAsia="Microsoft YaHei"/>
                <w:b w:val="0"/>
                <w:color w:val="19212A"/>
                <w:sz w:val="12"/>
              </w:rPr>
              <w:t>83,425</w:t>
            </w:r>
          </w:p>
        </w:tc>
        <w:tc>
          <w:tcPr>
            <w:tcW w:type="dxa" w:w="1522"/>
            <w:vAlign w:val="center"/>
          </w:tcPr>
          <w:p>
            <w:pPr>
              <w:spacing w:after="0" w:line="240" w:lineRule="auto"/>
            </w:pPr>
            <w:r>
              <w:rPr>
                <w:rFonts w:ascii="Microsoft YaHei" w:hAnsi="Microsoft YaHei" w:eastAsia="Microsoft YaHei"/>
                <w:b w:val="0"/>
                <w:color w:val="19212A"/>
                <w:sz w:val="12"/>
              </w:rPr>
              <w:t>84,083</w:t>
            </w:r>
          </w:p>
        </w:tc>
        <w:tc>
          <w:tcPr>
            <w:tcW w:type="dxa" w:w="1522"/>
            <w:vAlign w:val="center"/>
          </w:tcPr>
          <w:p>
            <w:pPr>
              <w:spacing w:after="0" w:line="240" w:lineRule="auto"/>
            </w:pPr>
            <w:r>
              <w:rPr>
                <w:rFonts w:ascii="Microsoft YaHei" w:hAnsi="Microsoft YaHei" w:eastAsia="Microsoft YaHei"/>
                <w:b w:val="0"/>
                <w:color w:val="19212A"/>
                <w:sz w:val="12"/>
              </w:rPr>
              <w:t>81,683 / 81,183 / 81,683</w:t>
            </w:r>
          </w:p>
        </w:tc>
        <w:tc>
          <w:tcPr>
            <w:tcW w:type="dxa" w:w="1522"/>
            <w:vAlign w:val="center"/>
          </w:tcPr>
          <w:p>
            <w:pPr>
              <w:spacing w:after="0" w:line="240" w:lineRule="auto"/>
            </w:pPr>
            <w:r>
              <w:rPr>
                <w:rFonts w:ascii="Microsoft YaHei" w:hAnsi="Microsoft YaHei" w:eastAsia="Microsoft YaHei"/>
                <w:b w:val="0"/>
                <w:color w:val="19212A"/>
                <w:sz w:val="12"/>
              </w:rPr>
              <w:t>84,083 / 84,583 / 84,083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2,349</w:t>
            </w:r>
          </w:p>
        </w:tc>
        <w:tc>
          <w:tcPr>
            <w:tcW w:type="dxa" w:w="1522"/>
            <w:vAlign w:val="center"/>
            <w:shd w:fill="EAF2F8"/>
          </w:tcPr>
          <w:p>
            <w:pPr>
              <w:spacing w:after="0" w:line="240" w:lineRule="auto"/>
            </w:pPr>
            <w:r>
              <w:rPr>
                <w:rFonts w:ascii="Microsoft YaHei" w:hAnsi="Microsoft YaHei" w:eastAsia="Microsoft YaHei"/>
                <w:b w:val="0"/>
                <w:color w:val="19212A"/>
                <w:sz w:val="12"/>
              </w:rPr>
              <w:t>2,369</w:t>
            </w:r>
          </w:p>
        </w:tc>
        <w:tc>
          <w:tcPr>
            <w:tcW w:type="dxa" w:w="1522"/>
            <w:vAlign w:val="center"/>
            <w:shd w:fill="EAF2F8"/>
          </w:tcPr>
          <w:p>
            <w:pPr>
              <w:spacing w:after="0" w:line="240" w:lineRule="auto"/>
            </w:pPr>
            <w:r>
              <w:rPr>
                <w:rFonts w:ascii="Microsoft YaHei" w:hAnsi="Microsoft YaHei" w:eastAsia="Microsoft YaHei"/>
                <w:b w:val="0"/>
                <w:color w:val="19212A"/>
                <w:sz w:val="12"/>
              </w:rPr>
              <w:t>2,508</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104.22</w:t>
            </w:r>
          </w:p>
        </w:tc>
        <w:tc>
          <w:tcPr>
            <w:tcW w:type="dxa" w:w="1522"/>
            <w:vAlign w:val="center"/>
          </w:tcPr>
          <w:p>
            <w:pPr>
              <w:spacing w:after="0" w:line="240" w:lineRule="auto"/>
            </w:pPr>
            <w:r>
              <w:rPr>
                <w:rFonts w:ascii="Microsoft YaHei" w:hAnsi="Microsoft YaHei" w:eastAsia="Microsoft YaHei"/>
                <w:b w:val="0"/>
                <w:color w:val="19212A"/>
                <w:sz w:val="12"/>
              </w:rPr>
              <w:t>107.27</w:t>
            </w:r>
          </w:p>
        </w:tc>
        <w:tc>
          <w:tcPr>
            <w:tcW w:type="dxa" w:w="1522"/>
            <w:vAlign w:val="center"/>
          </w:tcPr>
          <w:p>
            <w:pPr>
              <w:spacing w:after="0" w:line="240" w:lineRule="auto"/>
            </w:pPr>
            <w:r>
              <w:rPr>
                <w:rFonts w:ascii="Microsoft YaHei" w:hAnsi="Microsoft YaHei" w:eastAsia="Microsoft YaHei"/>
                <w:b w:val="0"/>
                <w:color w:val="19212A"/>
                <w:sz w:val="12"/>
              </w:rPr>
              <w:t>112.80</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9.8137</w:t>
            </w:r>
          </w:p>
        </w:tc>
        <w:tc>
          <w:tcPr>
            <w:tcW w:type="dxa" w:w="1522"/>
            <w:vAlign w:val="center"/>
            <w:shd w:fill="EAF2F8"/>
          </w:tcPr>
          <w:p>
            <w:pPr>
              <w:spacing w:after="0" w:line="240" w:lineRule="auto"/>
            </w:pPr>
            <w:r>
              <w:rPr>
                <w:rFonts w:ascii="Microsoft YaHei" w:hAnsi="Microsoft YaHei" w:eastAsia="Microsoft YaHei"/>
                <w:b w:val="0"/>
                <w:color w:val="19212A"/>
                <w:sz w:val="12"/>
              </w:rPr>
              <w:t>9.9497</w:t>
            </w:r>
          </w:p>
        </w:tc>
        <w:tc>
          <w:tcPr>
            <w:tcW w:type="dxa" w:w="1522"/>
            <w:vAlign w:val="center"/>
            <w:shd w:fill="EAF2F8"/>
          </w:tcPr>
          <w:p>
            <w:pPr>
              <w:spacing w:after="0" w:line="240" w:lineRule="auto"/>
            </w:pPr>
            <w:r>
              <w:rPr>
                <w:rFonts w:ascii="Microsoft YaHei" w:hAnsi="Microsoft YaHei" w:eastAsia="Microsoft YaHei"/>
                <w:b w:val="0"/>
                <w:color w:val="19212A"/>
                <w:sz w:val="12"/>
              </w:rPr>
              <w:t>10.9321</w:t>
            </w:r>
          </w:p>
        </w:tc>
        <w:tc>
          <w:tcPr>
            <w:tcW w:type="dxa" w:w="1522"/>
            <w:vAlign w:val="center"/>
            <w:shd w:fill="EAF2F8"/>
          </w:tcPr>
          <w:p>
            <w:pPr>
              <w:spacing w:after="0" w:line="240" w:lineRule="auto"/>
            </w:pPr>
            <w:r>
              <w:rPr>
                <w:rFonts w:ascii="Microsoft YaHei" w:hAnsi="Microsoft YaHei" w:eastAsia="Microsoft YaHei"/>
                <w:b w:val="0"/>
                <w:color w:val="19212A"/>
                <w:sz w:val="12"/>
              </w:rPr>
              <w:t>9.3300 / 9.8137</w:t>
            </w:r>
          </w:p>
        </w:tc>
        <w:tc>
          <w:tcPr>
            <w:tcW w:type="dxa" w:w="1522"/>
            <w:vAlign w:val="center"/>
            <w:shd w:fill="EAF2F8"/>
          </w:tcPr>
          <w:p>
            <w:pPr>
              <w:spacing w:after="0" w:line="240" w:lineRule="auto"/>
            </w:pPr>
            <w:r>
              <w:rPr>
                <w:rFonts w:ascii="Microsoft YaHei" w:hAnsi="Microsoft YaHei" w:eastAsia="Microsoft YaHei"/>
                <w:b w:val="0"/>
                <w:color w:val="19212A"/>
                <w:sz w:val="12"/>
              </w:rPr>
              <w:t>10.9321 / 10.0850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1.3064</w:t>
            </w:r>
          </w:p>
        </w:tc>
        <w:tc>
          <w:tcPr>
            <w:tcW w:type="dxa" w:w="1522"/>
            <w:vAlign w:val="center"/>
          </w:tcPr>
          <w:p>
            <w:pPr>
              <w:spacing w:after="0" w:line="240" w:lineRule="auto"/>
            </w:pPr>
            <w:r>
              <w:rPr>
                <w:rFonts w:ascii="Microsoft YaHei" w:hAnsi="Microsoft YaHei" w:eastAsia="Microsoft YaHei"/>
                <w:b w:val="0"/>
                <w:color w:val="19212A"/>
                <w:sz w:val="12"/>
              </w:rPr>
              <w:t>1.3076</w:t>
            </w:r>
          </w:p>
        </w:tc>
        <w:tc>
          <w:tcPr>
            <w:tcW w:type="dxa" w:w="1522"/>
            <w:vAlign w:val="center"/>
          </w:tcPr>
          <w:p>
            <w:pPr>
              <w:spacing w:after="0" w:line="240" w:lineRule="auto"/>
            </w:pPr>
            <w:r>
              <w:rPr>
                <w:rFonts w:ascii="Microsoft YaHei" w:hAnsi="Microsoft YaHei" w:eastAsia="Microsoft YaHei"/>
                <w:b w:val="0"/>
                <w:color w:val="19212A"/>
                <w:sz w:val="12"/>
              </w:rPr>
              <w:t>1.3749</w:t>
            </w:r>
          </w:p>
        </w:tc>
        <w:tc>
          <w:tcPr>
            <w:tcW w:type="dxa" w:w="1522"/>
            <w:vAlign w:val="center"/>
          </w:tcPr>
          <w:p>
            <w:pPr>
              <w:spacing w:after="0" w:line="240" w:lineRule="auto"/>
            </w:pPr>
            <w:r>
              <w:rPr>
                <w:rFonts w:ascii="Microsoft YaHei" w:hAnsi="Microsoft YaHei" w:eastAsia="Microsoft YaHei"/>
                <w:b w:val="0"/>
                <w:color w:val="19212A"/>
                <w:sz w:val="12"/>
              </w:rPr>
              <w:t>1.2826 / 1.3064</w:t>
            </w:r>
          </w:p>
        </w:tc>
        <w:tc>
          <w:tcPr>
            <w:tcW w:type="dxa" w:w="1522"/>
            <w:vAlign w:val="center"/>
          </w:tcPr>
          <w:p>
            <w:pPr>
              <w:spacing w:after="0" w:line="240" w:lineRule="auto"/>
            </w:pPr>
            <w:r>
              <w:rPr>
                <w:rFonts w:ascii="Microsoft YaHei" w:hAnsi="Microsoft YaHei" w:eastAsia="Microsoft YaHei"/>
                <w:b w:val="0"/>
                <w:color w:val="19212A"/>
                <w:sz w:val="12"/>
              </w:rPr>
              <w:t>1.3749 / 1.3469</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81,683 与 VAH 84,083 之间、靠近 POC 83,425，说明价格在正常成交区中部，不自动等于多头或空头；下沿扫低收回才有多头条件，上沿 83,983-84,163 失败才有空头条件。AVAX 的 POC 约 9.9497、XRP 的 POC 约 1.3076，只代表这五天成交最密集处。真实全网清算热力图本轮未取得，图中上下方数字只是止损/流动性代理，不代表真实清算金额。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+1.02%</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+1.04%</w:t>
            </w:r>
          </w:p>
        </w:tc>
        <w:tc>
          <w:tcPr>
            <w:tcW w:type="dxa" w:w="2131"/>
            <w:vAlign w:val="center"/>
            <w:shd w:fill="EAF2F8"/>
          </w:tcPr>
          <w:p>
            <w:pPr>
              <w:spacing w:after="0" w:line="240" w:lineRule="auto"/>
            </w:pPr>
            <w:r>
              <w:rPr>
                <w:rFonts w:ascii="Microsoft YaHei" w:hAnsi="Microsoft YaHei" w:eastAsia="Microsoft YaHei"/>
                <w:b w:val="0"/>
                <w:color w:val="19212A"/>
                <w:sz w:val="14"/>
              </w:rPr>
              <w:t>ETH/BTC +0.15%</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+1.21% / +0.97% / +0.81%</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+0.31% / +0.81% / -0.43%</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-0.06pp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+0.97%；OI +0.00%；Funding +0.0082%；Taker 2.563</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-0.22pp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+0.81%；OI +0.00%；Funding +0.0087%；Taker 1.280</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-0.06pp</w:t>
            </w:r>
          </w:p>
        </w:tc>
        <w:tc>
          <w:tcPr>
            <w:tcW w:type="dxa" w:w="2664"/>
            <w:vAlign w:val="center"/>
          </w:tcPr>
          <w:p>
            <w:pPr>
              <w:spacing w:after="0" w:line="240" w:lineRule="auto"/>
            </w:pPr>
            <w:r>
              <w:rPr>
                <w:rFonts w:ascii="Microsoft YaHei" w:hAnsi="Microsoft YaHei" w:eastAsia="Microsoft YaHei"/>
                <w:b w:val="0"/>
                <w:color w:val="19212A"/>
                <w:sz w:val="14"/>
              </w:rPr>
              <w:t>-0.22pp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2.563</w:t>
            </w:r>
          </w:p>
        </w:tc>
        <w:tc>
          <w:tcPr>
            <w:tcW w:type="dxa" w:w="2664"/>
            <w:vAlign w:val="center"/>
          </w:tcPr>
          <w:p>
            <w:pPr>
              <w:spacing w:after="0" w:line="240" w:lineRule="auto"/>
            </w:pPr>
            <w:r>
              <w:rPr>
                <w:rFonts w:ascii="Microsoft YaHei" w:hAnsi="Microsoft YaHei" w:eastAsia="Microsoft YaHei"/>
                <w:b w:val="0"/>
                <w:color w:val="19212A"/>
                <w:sz w:val="14"/>
              </w:rPr>
              <w:t>OI +0.00%，Taker 1.280</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S1/S2c 条件卡没有可核验成交，所以没有模型交易，也不能计入 Kelly。今天两端条件卡都只是触发后执行的预案；每张有效卡的最大风险预算仍是0.10%，不是要求必须用满的目标仓位。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FOMC meeting and press conference（2026-10-29 around 02:00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83,983-84,163是否触达；15m/30m能否冲高失败、跌回VAH 84,083下方并形成LH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83,983-84,163是否触达；反弹后能否重新跌回VAL下方并形成LH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OI增加后是否继续；Taker能否从0.176回落并再次转弱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81,683 后收回形成 HL，或上沿 83,983-84,163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2026-10-16T08:46:24.981275+08:00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2026-10-16T08:46:24.981275+08:00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2026-10-16 08:46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2026-10-16T08:46:24.981275+08:00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2026-10-16T08:46:24.981275+08:00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2026-10-16T08:46:24.981275+08:00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2026-10-16T08:46:24.981275+08:00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2026-10-16</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2026-10-16T08:46:24.981275+08:00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2026-10-16</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2026-10-16</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2026-10-16T08:46:24.981275+08:00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2026-10-16</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- 2026-10-16</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