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2026-10-18 | 市场快照 06:58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2026-10-18T06:58:47.833395+08:00 的 BTC/ETH/SOL 行情与 OKX 永续合约备选源（Binance/Bybit 本轮不可用）、Deribit 期权、Binance/OKX 现货成交带与盘口快照；ETF 数据以本次输入中最新可核验公开值为准，ETH/SOL 当日值可能不完整，宏观、催化剂与大佬观点核验截止 2026-10-18 06:58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81,344处于 POC 81,164 与 VAH 82,611 之间、位于价值区上半部，现价不直接追单；下沿多头本轮因 TP1 净R:R不足而淘汰，不做多；上沿只有进入 82,511-82,691 后冲高失败才做空。上沿一条条件卡有效至 2026-10-18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HTF_TRANSITION + FAILED_BREAKOUT / 处于 POC 81,164 与 VAH 82,611 之间、位于价值区上半部</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下沿多头本轮无合格预案；上沿等S5 上沿受阻空 82,511-82,691</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81,129-82,611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2,350 收回与 EMA20 2,438，无独立交易卡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2,438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103.67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EMA20 105.05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HTF_TRANSITION + FAILED_BREAKOUT，ETH/SOL处于过渡，因此当前更准确的描述是‘中线震荡、短线偏弱’，还不是确认的大级别牛市或熊市。今天只允许上沿回踩受阻空，现价附近不交易。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81,029-81,179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81,029-81,179 / 81,179</w:t>
            </w:r>
          </w:p>
        </w:tc>
        <w:tc>
          <w:tcPr>
            <w:tcW w:type="dxa" w:w="1332"/>
            <w:vAlign w:val="center"/>
          </w:tcPr>
          <w:p>
            <w:pPr>
              <w:spacing w:after="0" w:line="240" w:lineRule="auto"/>
            </w:pPr>
            <w:r>
              <w:rPr>
                <w:rFonts w:ascii="Microsoft YaHei" w:hAnsi="Microsoft YaHei" w:eastAsia="Microsoft YaHei"/>
                <w:b w:val="0"/>
                <w:color w:val="19212A"/>
                <w:sz w:val="12"/>
              </w:rPr>
              <w:t>80,629</w:t>
            </w:r>
          </w:p>
        </w:tc>
        <w:tc>
          <w:tcPr>
            <w:tcW w:type="dxa" w:w="1332"/>
            <w:vAlign w:val="center"/>
          </w:tcPr>
          <w:p>
            <w:pPr>
              <w:spacing w:after="0" w:line="240" w:lineRule="auto"/>
            </w:pPr>
            <w:r>
              <w:rPr>
                <w:rFonts w:ascii="Microsoft YaHei" w:hAnsi="Microsoft YaHei" w:eastAsia="Microsoft YaHei"/>
                <w:b w:val="0"/>
                <w:color w:val="19212A"/>
                <w:sz w:val="12"/>
              </w:rPr>
              <w:t>81,164 / 82,611</w:t>
            </w:r>
          </w:p>
        </w:tc>
        <w:tc>
          <w:tcPr>
            <w:tcW w:type="dxa" w:w="1332"/>
            <w:vAlign w:val="center"/>
          </w:tcPr>
          <w:p>
            <w:pPr>
              <w:spacing w:after="0" w:line="240" w:lineRule="auto"/>
            </w:pPr>
            <w:r>
              <w:rPr>
                <w:rFonts w:ascii="Microsoft YaHei" w:hAnsi="Microsoft YaHei" w:eastAsia="Microsoft YaHei"/>
                <w:b w:val="0"/>
                <w:color w:val="19212A"/>
                <w:sz w:val="12"/>
              </w:rPr>
              <w:t>TP1 1:-0.17；加权 1:1.17</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82,511-82,691，15m/30m出现冲高失败、LH并重新跌回 VAH 82,611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82,511-82,691 / 82,691</w:t>
            </w:r>
          </w:p>
        </w:tc>
        <w:tc>
          <w:tcPr>
            <w:tcW w:type="dxa" w:w="1332"/>
            <w:vAlign w:val="center"/>
            <w:shd w:fill="EAF2F8"/>
          </w:tcPr>
          <w:p>
            <w:pPr>
              <w:spacing w:after="0" w:line="240" w:lineRule="auto"/>
            </w:pPr>
            <w:r>
              <w:rPr>
                <w:rFonts w:ascii="Microsoft YaHei" w:hAnsi="Microsoft YaHei" w:eastAsia="Microsoft YaHei"/>
                <w:b w:val="0"/>
                <w:color w:val="19212A"/>
                <w:sz w:val="12"/>
              </w:rPr>
              <w:t>83,111</w:t>
            </w:r>
          </w:p>
        </w:tc>
        <w:tc>
          <w:tcPr>
            <w:tcW w:type="dxa" w:w="1332"/>
            <w:vAlign w:val="center"/>
            <w:shd w:fill="EAF2F8"/>
          </w:tcPr>
          <w:p>
            <w:pPr>
              <w:spacing w:after="0" w:line="240" w:lineRule="auto"/>
            </w:pPr>
            <w:r>
              <w:rPr>
                <w:rFonts w:ascii="Microsoft YaHei" w:hAnsi="Microsoft YaHei" w:eastAsia="Microsoft YaHei"/>
                <w:b w:val="0"/>
                <w:color w:val="19212A"/>
                <w:sz w:val="12"/>
              </w:rPr>
              <w:t>81,164 / 81,129</w:t>
            </w:r>
          </w:p>
        </w:tc>
        <w:tc>
          <w:tcPr>
            <w:tcW w:type="dxa" w:w="1332"/>
            <w:vAlign w:val="center"/>
            <w:shd w:fill="EAF2F8"/>
          </w:tcPr>
          <w:p>
            <w:pPr>
              <w:spacing w:after="0" w:line="240" w:lineRule="auto"/>
            </w:pPr>
            <w:r>
              <w:rPr>
                <w:rFonts w:ascii="Microsoft YaHei" w:hAnsi="Microsoft YaHei" w:eastAsia="Microsoft YaHei"/>
                <w:b w:val="0"/>
                <w:color w:val="19212A"/>
                <w:sz w:val="12"/>
              </w:rPr>
              <w:t>TP1 1:2.75；加权 1:2.79</w:t>
            </w:r>
          </w:p>
        </w:tc>
        <w:tc>
          <w:tcPr>
            <w:tcW w:type="dxa" w:w="1332"/>
            <w:vAlign w:val="center"/>
            <w:shd w:fill="EAF2F8"/>
          </w:tcPr>
          <w:p>
            <w:pPr>
              <w:spacing w:after="0" w:line="240" w:lineRule="auto"/>
            </w:pPr>
            <w:r>
              <w:rPr>
                <w:rFonts w:ascii="Microsoft YaHei" w:hAnsi="Microsoft YaHei" w:eastAsia="Microsoft YaHei"/>
                <w:b w:val="0"/>
                <w:color w:val="19212A"/>
                <w:sz w:val="12"/>
              </w:rPr>
              <w:t>2026-10-18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POC 81,164 与 VAH 82,611 之间、位于价值区上半部；POC 81,164 可以理解为最近成交最拥挤的中轴，不是追单位置。下沿多头本轮因 TP1 净R:R不足而取消；上沿空头必须先进入 82,511-82,691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79,948-83,221</w:t>
            </w:r>
          </w:p>
        </w:tc>
        <w:tc>
          <w:tcPr>
            <w:tcW w:type="dxa" w:w="1332"/>
            <w:vAlign w:val="center"/>
          </w:tcPr>
          <w:p>
            <w:pPr>
              <w:spacing w:after="0" w:line="240" w:lineRule="auto"/>
            </w:pPr>
            <w:r>
              <w:rPr>
                <w:rFonts w:ascii="Microsoft YaHei" w:hAnsi="Microsoft YaHei" w:eastAsia="Microsoft YaHei"/>
                <w:b w:val="0"/>
                <w:color w:val="19212A"/>
                <w:sz w:val="13"/>
              </w:rPr>
              <w:t>78,975-80,610</w:t>
            </w:r>
          </w:p>
        </w:tc>
        <w:tc>
          <w:tcPr>
            <w:tcW w:type="dxa" w:w="1332"/>
            <w:vAlign w:val="center"/>
          </w:tcPr>
          <w:p>
            <w:pPr>
              <w:spacing w:after="0" w:line="240" w:lineRule="auto"/>
            </w:pPr>
            <w:r>
              <w:rPr>
                <w:rFonts w:ascii="Microsoft YaHei" w:hAnsi="Microsoft YaHei" w:eastAsia="Microsoft YaHei"/>
                <w:b w:val="0"/>
                <w:color w:val="19212A"/>
                <w:sz w:val="13"/>
              </w:rPr>
              <w:t>81,956-82,567</w:t>
            </w:r>
          </w:p>
        </w:tc>
        <w:tc>
          <w:tcPr>
            <w:tcW w:type="dxa" w:w="1332"/>
            <w:vAlign w:val="center"/>
          </w:tcPr>
          <w:p>
            <w:pPr>
              <w:spacing w:after="0" w:line="240" w:lineRule="auto"/>
            </w:pPr>
            <w:r>
              <w:rPr>
                <w:rFonts w:ascii="Microsoft YaHei" w:hAnsi="Microsoft YaHei" w:eastAsia="Microsoft YaHei"/>
                <w:b w:val="0"/>
                <w:color w:val="19212A"/>
                <w:sz w:val="13"/>
              </w:rPr>
              <w:t>27.8% / 27.0% / 45.1%</w:t>
            </w:r>
          </w:p>
        </w:tc>
        <w:tc>
          <w:tcPr>
            <w:tcW w:type="dxa" w:w="1332"/>
            <w:vAlign w:val="center"/>
          </w:tcPr>
          <w:p>
            <w:pPr>
              <w:spacing w:after="0" w:line="240" w:lineRule="auto"/>
            </w:pPr>
            <w:r>
              <w:rPr>
                <w:rFonts w:ascii="Microsoft YaHei" w:hAnsi="Microsoft YaHei" w:eastAsia="Microsoft YaHei"/>
                <w:b w:val="0"/>
                <w:color w:val="19212A"/>
                <w:sz w:val="13"/>
              </w:rPr>
              <w:t>6.5%</w:t>
            </w:r>
          </w:p>
        </w:tc>
        <w:tc>
          <w:tcPr>
            <w:tcW w:type="dxa" w:w="1332"/>
            <w:vAlign w:val="center"/>
          </w:tcPr>
          <w:p>
            <w:pPr>
              <w:spacing w:after="0" w:line="240" w:lineRule="auto"/>
            </w:pPr>
            <w:r>
              <w:rPr>
                <w:rFonts w:ascii="Microsoft YaHei" w:hAnsi="Microsoft YaHei" w:eastAsia="Microsoft YaHei"/>
                <w:b w:val="0"/>
                <w:color w:val="19212A"/>
                <w:sz w:val="13"/>
              </w:rPr>
              <w:t>29.6</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78,783-84,452</w:t>
            </w:r>
          </w:p>
        </w:tc>
        <w:tc>
          <w:tcPr>
            <w:tcW w:type="dxa" w:w="1332"/>
            <w:vAlign w:val="center"/>
            <w:shd w:fill="EAF2F8"/>
          </w:tcPr>
          <w:p>
            <w:pPr>
              <w:spacing w:after="0" w:line="240" w:lineRule="auto"/>
            </w:pPr>
            <w:r>
              <w:rPr>
                <w:rFonts w:ascii="Microsoft YaHei" w:hAnsi="Microsoft YaHei" w:eastAsia="Microsoft YaHei"/>
                <w:b w:val="0"/>
                <w:color w:val="19212A"/>
                <w:sz w:val="13"/>
              </w:rPr>
              <w:t>77,091-78,589</w:t>
            </w:r>
          </w:p>
        </w:tc>
        <w:tc>
          <w:tcPr>
            <w:tcW w:type="dxa" w:w="1332"/>
            <w:vAlign w:val="center"/>
            <w:shd w:fill="EAF2F8"/>
          </w:tcPr>
          <w:p>
            <w:pPr>
              <w:spacing w:after="0" w:line="240" w:lineRule="auto"/>
            </w:pPr>
            <w:r>
              <w:rPr>
                <w:rFonts w:ascii="Microsoft YaHei" w:hAnsi="Microsoft YaHei" w:eastAsia="Microsoft YaHei"/>
                <w:b w:val="0"/>
                <w:color w:val="19212A"/>
                <w:sz w:val="13"/>
              </w:rPr>
              <w:t>82,083-82,816</w:t>
            </w:r>
          </w:p>
        </w:tc>
        <w:tc>
          <w:tcPr>
            <w:tcW w:type="dxa" w:w="1332"/>
            <w:vAlign w:val="center"/>
            <w:shd w:fill="EAF2F8"/>
          </w:tcPr>
          <w:p>
            <w:pPr>
              <w:spacing w:after="0" w:line="240" w:lineRule="auto"/>
            </w:pPr>
            <w:r>
              <w:rPr>
                <w:rFonts w:ascii="Microsoft YaHei" w:hAnsi="Microsoft YaHei" w:eastAsia="Microsoft YaHei"/>
                <w:b w:val="0"/>
                <w:color w:val="19212A"/>
                <w:sz w:val="13"/>
              </w:rPr>
              <w:t>51.4% / 45.1% / 3.5%</w:t>
            </w:r>
          </w:p>
        </w:tc>
        <w:tc>
          <w:tcPr>
            <w:tcW w:type="dxa" w:w="1332"/>
            <w:vAlign w:val="center"/>
            <w:shd w:fill="EAF2F8"/>
          </w:tcPr>
          <w:p>
            <w:pPr>
              <w:spacing w:after="0" w:line="240" w:lineRule="auto"/>
            </w:pPr>
            <w:r>
              <w:rPr>
                <w:rFonts w:ascii="Microsoft YaHei" w:hAnsi="Microsoft YaHei" w:eastAsia="Microsoft YaHei"/>
                <w:b w:val="0"/>
                <w:color w:val="19212A"/>
                <w:sz w:val="13"/>
              </w:rPr>
              <w:t>69.8%</w:t>
            </w:r>
          </w:p>
        </w:tc>
        <w:tc>
          <w:tcPr>
            <w:tcW w:type="dxa" w:w="1332"/>
            <w:vAlign w:val="center"/>
            <w:shd w:fill="EAF2F8"/>
          </w:tcPr>
          <w:p>
            <w:pPr>
              <w:spacing w:after="0" w:line="240" w:lineRule="auto"/>
            </w:pPr>
            <w:r>
              <w:rPr>
                <w:rFonts w:ascii="Microsoft YaHei" w:hAnsi="Microsoft YaHei" w:eastAsia="Microsoft YaHei"/>
                <w:b w:val="0"/>
                <w:color w:val="19212A"/>
                <w:sz w:val="13"/>
              </w:rPr>
              <w:t>19.4</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80,211-83,740</w:t>
            </w:r>
          </w:p>
        </w:tc>
        <w:tc>
          <w:tcPr>
            <w:tcW w:type="dxa" w:w="1332"/>
            <w:vAlign w:val="center"/>
          </w:tcPr>
          <w:p>
            <w:pPr>
              <w:spacing w:after="0" w:line="240" w:lineRule="auto"/>
            </w:pPr>
            <w:r>
              <w:rPr>
                <w:rFonts w:ascii="Microsoft YaHei" w:hAnsi="Microsoft YaHei" w:eastAsia="Microsoft YaHei"/>
                <w:b w:val="0"/>
                <w:color w:val="19212A"/>
                <w:sz w:val="13"/>
              </w:rPr>
              <w:t>81,129-81,164</w:t>
            </w:r>
          </w:p>
        </w:tc>
        <w:tc>
          <w:tcPr>
            <w:tcW w:type="dxa" w:w="1332"/>
            <w:vAlign w:val="center"/>
          </w:tcPr>
          <w:p>
            <w:pPr>
              <w:spacing w:after="0" w:line="240" w:lineRule="auto"/>
            </w:pPr>
            <w:r>
              <w:rPr>
                <w:rFonts w:ascii="Microsoft YaHei" w:hAnsi="Microsoft YaHei" w:eastAsia="Microsoft YaHei"/>
                <w:b w:val="0"/>
                <w:color w:val="19212A"/>
                <w:sz w:val="13"/>
              </w:rPr>
              <w:t>81,164-82,611</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这不是胜率。当前统计带只用于说明波动范围，不能把某一个点位当成绝对顶部。今天要观察下沿多头本轮已因 R:R 闸门淘汰，上沿 82,511-82,691 是否冲高失败形成 LH；现价不属于执行区。</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81,129 / POC 81,164 / VAH 82,611</w:t>
            </w:r>
          </w:p>
        </w:tc>
        <w:tc>
          <w:tcPr>
            <w:tcW w:type="dxa" w:w="2131"/>
            <w:vAlign w:val="center"/>
          </w:tcPr>
          <w:p>
            <w:pPr>
              <w:spacing w:after="0" w:line="240" w:lineRule="auto"/>
            </w:pPr>
            <w:r>
              <w:rPr>
                <w:rFonts w:ascii="Microsoft YaHei" w:hAnsi="Microsoft YaHei" w:eastAsia="Microsoft YaHei"/>
                <w:b w:val="0"/>
                <w:color w:val="19212A"/>
                <w:sz w:val="14"/>
              </w:rPr>
              <w:t>HTF_TRANSITION + FAILED_BREAKOUT</w:t>
            </w:r>
          </w:p>
        </w:tc>
        <w:tc>
          <w:tcPr>
            <w:tcW w:type="dxa" w:w="2131"/>
            <w:vAlign w:val="center"/>
          </w:tcPr>
          <w:p>
            <w:pPr>
              <w:spacing w:after="0" w:line="240" w:lineRule="auto"/>
            </w:pPr>
            <w:r>
              <w:rPr>
                <w:rFonts w:ascii="Microsoft YaHei" w:hAnsi="Microsoft YaHei" w:eastAsia="Microsoft YaHei"/>
                <w:b w:val="0"/>
                <w:color w:val="19212A"/>
                <w:sz w:val="14"/>
              </w:rPr>
              <w:t>处于 POC 81,164 与 VAH 82,611 之间、位于价值区上半部不追单；下沿多头本轮无合格预案；上沿等S5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2,350 / POC 2,369 / VAH 2,455</w:t>
            </w:r>
          </w:p>
        </w:tc>
        <w:tc>
          <w:tcPr>
            <w:tcW w:type="dxa" w:w="2131"/>
            <w:vAlign w:val="center"/>
            <w:shd w:fill="EAF2F8"/>
          </w:tcPr>
          <w:p>
            <w:pPr>
              <w:spacing w:after="0" w:line="240" w:lineRule="auto"/>
            </w:pPr>
            <w:r>
              <w:rPr>
                <w:rFonts w:ascii="Microsoft YaHei" w:hAnsi="Microsoft YaHei" w:eastAsia="Microsoft YaHei"/>
                <w:b w:val="0"/>
                <w:color w:val="19212A"/>
                <w:sz w:val="14"/>
              </w:rPr>
              <w:t>HTF_TRANSITION + FAILED_BREAKOUT</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103.67 / POC 103.74 / VAH 107.62</w:t>
            </w:r>
          </w:p>
        </w:tc>
        <w:tc>
          <w:tcPr>
            <w:tcW w:type="dxa" w:w="2131"/>
            <w:vAlign w:val="center"/>
          </w:tcPr>
          <w:p>
            <w:pPr>
              <w:spacing w:after="0" w:line="240" w:lineRule="auto"/>
            </w:pPr>
            <w:r>
              <w:rPr>
                <w:rFonts w:ascii="Microsoft YaHei" w:hAnsi="Microsoft YaHei" w:eastAsia="Microsoft YaHei"/>
                <w:b w:val="0"/>
                <w:color w:val="19212A"/>
                <w:sz w:val="14"/>
              </w:rPr>
              <w:t>HTF_TRANSITION + FAILED_BREAKOUT</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-1.31%；DOGE -2.29%；AVAX -2.38%</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81,164 是最近五天成交最密集的价格，可理解为短期筹码最拥挤的‘价格磁铁’；VAL 81,129 是正常震荡区下沿，VAH 82,611 是正常震荡区上沿。BTC 当前处于 POC 81,164 与 VAH 82,611 之间、位于价值区上半部，仍未进入执行带，不是自动做多或做空；下沿多头本轮取消、只等上沿冲高失败。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81,129后快速收回，卖压减弱并形成HL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HTF_TRANSITION + FAILED_BREAKOUT，S5不作为主执行；上沿路径按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POC 81,164 与 VAH 82,611 之间、位于价值区上半部，不能把反弹强度当成追多信号。下沿多头本轮因R:R不足不执行，空头只等上沿 82,511-82,691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上沿受阻空；下沿多头 INVALID</w:t>
            </w:r>
          </w:p>
        </w:tc>
        <w:tc>
          <w:tcPr>
            <w:tcW w:type="dxa" w:w="710"/>
            <w:vAlign w:val="center"/>
          </w:tcPr>
          <w:p>
            <w:pPr>
              <w:spacing w:after="0" w:line="240" w:lineRule="auto"/>
            </w:pPr>
            <w:r>
              <w:rPr>
                <w:rFonts w:ascii="Microsoft YaHei" w:hAnsi="Microsoft YaHei" w:eastAsia="Microsoft YaHei"/>
                <w:b w:val="0"/>
                <w:color w:val="19212A"/>
                <w:sz w:val="11"/>
              </w:rPr>
              <w:t>HTF_TRANSITION + FAILED_BREAKOUT</w:t>
            </w:r>
          </w:p>
        </w:tc>
        <w:tc>
          <w:tcPr>
            <w:tcW w:type="dxa" w:w="710"/>
            <w:vAlign w:val="center"/>
          </w:tcPr>
          <w:p>
            <w:pPr>
              <w:spacing w:after="0" w:line="240" w:lineRule="auto"/>
            </w:pPr>
            <w:r>
              <w:rPr>
                <w:rFonts w:ascii="Microsoft YaHei" w:hAnsi="Microsoft YaHei" w:eastAsia="Microsoft YaHei"/>
                <w:b w:val="0"/>
                <w:color w:val="19212A"/>
                <w:sz w:val="11"/>
              </w:rPr>
              <w:t>现价处于 POC 81,164 与 VAH 82,611 之间、位于价值区上半部；只有上沿空头通过R:R闸门，现价不在执行区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82,611 后跌回；多：本轮取消；现价 81,344</w:t>
            </w:r>
          </w:p>
        </w:tc>
        <w:tc>
          <w:tcPr>
            <w:tcW w:type="dxa" w:w="710"/>
            <w:vAlign w:val="center"/>
          </w:tcPr>
          <w:p>
            <w:pPr>
              <w:spacing w:after="0" w:line="240" w:lineRule="auto"/>
            </w:pPr>
            <w:r>
              <w:rPr>
                <w:rFonts w:ascii="Microsoft YaHei" w:hAnsi="Microsoft YaHei" w:eastAsia="Microsoft YaHei"/>
                <w:b w:val="0"/>
                <w:color w:val="19212A"/>
                <w:sz w:val="11"/>
              </w:rPr>
              <w:t>空 82,631</w:t>
            </w:r>
          </w:p>
        </w:tc>
        <w:tc>
          <w:tcPr>
            <w:tcW w:type="dxa" w:w="710"/>
            <w:vAlign w:val="center"/>
          </w:tcPr>
          <w:p>
            <w:pPr>
              <w:spacing w:after="0" w:line="240" w:lineRule="auto"/>
            </w:pPr>
            <w:r>
              <w:rPr>
                <w:rFonts w:ascii="Microsoft YaHei" w:hAnsi="Microsoft YaHei" w:eastAsia="Microsoft YaHei"/>
                <w:b w:val="0"/>
                <w:color w:val="19212A"/>
                <w:sz w:val="11"/>
              </w:rPr>
              <w:t>空 82,691</w:t>
            </w:r>
          </w:p>
        </w:tc>
        <w:tc>
          <w:tcPr>
            <w:tcW w:type="dxa" w:w="710"/>
            <w:vAlign w:val="center"/>
          </w:tcPr>
          <w:p>
            <w:pPr>
              <w:spacing w:after="0" w:line="240" w:lineRule="auto"/>
            </w:pPr>
            <w:r>
              <w:rPr>
                <w:rFonts w:ascii="Microsoft YaHei" w:hAnsi="Microsoft YaHei" w:eastAsia="Microsoft YaHei"/>
                <w:b w:val="0"/>
                <w:color w:val="19212A"/>
                <w:sz w:val="11"/>
              </w:rPr>
              <w:t>空 83,111</w:t>
            </w:r>
          </w:p>
        </w:tc>
        <w:tc>
          <w:tcPr>
            <w:tcW w:type="dxa" w:w="710"/>
            <w:vAlign w:val="center"/>
          </w:tcPr>
          <w:p>
            <w:pPr>
              <w:spacing w:after="0" w:line="240" w:lineRule="auto"/>
            </w:pPr>
            <w:r>
              <w:rPr>
                <w:rFonts w:ascii="Microsoft YaHei" w:hAnsi="Microsoft YaHei" w:eastAsia="Microsoft YaHei"/>
                <w:b w:val="0"/>
                <w:color w:val="19212A"/>
                <w:sz w:val="11"/>
              </w:rPr>
              <w:t>空看 POC 81,164</w:t>
            </w:r>
          </w:p>
        </w:tc>
        <w:tc>
          <w:tcPr>
            <w:tcW w:type="dxa" w:w="710"/>
            <w:vAlign w:val="center"/>
          </w:tcPr>
          <w:p>
            <w:pPr>
              <w:spacing w:after="0" w:line="240" w:lineRule="auto"/>
            </w:pPr>
            <w:r>
              <w:rPr>
                <w:rFonts w:ascii="Microsoft YaHei" w:hAnsi="Microsoft YaHei" w:eastAsia="Microsoft YaHei"/>
                <w:b w:val="0"/>
                <w:color w:val="19212A"/>
                <w:sz w:val="11"/>
              </w:rPr>
              <w:t>空看 VAL 81,129</w:t>
            </w:r>
          </w:p>
        </w:tc>
        <w:tc>
          <w:tcPr>
            <w:tcW w:type="dxa" w:w="710"/>
            <w:vAlign w:val="center"/>
          </w:tcPr>
          <w:p>
            <w:pPr>
              <w:spacing w:after="0" w:line="240" w:lineRule="auto"/>
            </w:pPr>
            <w:r>
              <w:rPr>
                <w:rFonts w:ascii="Microsoft YaHei" w:hAnsi="Microsoft YaHei" w:eastAsia="Microsoft YaHei"/>
                <w:b w:val="0"/>
                <w:color w:val="19212A"/>
                <w:sz w:val="11"/>
              </w:rPr>
              <w:t>空 1:2.79</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82,511-82,691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w:t>
            </w:r>
          </w:p>
        </w:tc>
        <w:tc>
          <w:tcPr>
            <w:tcW w:type="dxa" w:w="888"/>
            <w:vAlign w:val="center"/>
          </w:tcPr>
          <w:p>
            <w:pPr>
              <w:spacing w:after="0" w:line="240" w:lineRule="auto"/>
            </w:pPr>
            <w:r>
              <w:rPr>
                <w:rFonts w:ascii="Microsoft YaHei" w:hAnsi="Microsoft YaHei" w:eastAsia="Microsoft YaHei"/>
                <w:b w:val="0"/>
                <w:color w:val="19212A"/>
                <w:sz w:val="13"/>
              </w:rPr>
              <w:t>HTF_TRANSITION + FAILED_BREAKOUT</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19.7%</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9.8%-19.7%</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81,129 / POC 81,164 / VAH 82,611，仅上沿空头保留；下沿多头被R:R闸门淘汰，现价不在执行区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81,129、POC 81,164、VAH 82,611，当前 Regime 为 HTF_TRANSITION + FAILED_BREAKOUT，价格处于 POC 81,164 与 VAH 82,611 之间、位于价值区上半部；仅上沿空头通过闸门，下沿多头因第一目标净R:R不足淘汰，现价不在执行区。这是按新快照和新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81,343.80 / -0.50%</w:t>
            </w:r>
          </w:p>
        </w:tc>
        <w:tc>
          <w:tcPr>
            <w:tcW w:type="dxa" w:w="1776"/>
            <w:vAlign w:val="center"/>
          </w:tcPr>
          <w:p>
            <w:pPr>
              <w:spacing w:after="0" w:line="240" w:lineRule="auto"/>
            </w:pPr>
            <w:r>
              <w:rPr>
                <w:rFonts w:ascii="Microsoft YaHei" w:hAnsi="Microsoft YaHei" w:eastAsia="Microsoft YaHei"/>
                <w:b w:val="0"/>
                <w:color w:val="19212A"/>
                <w:sz w:val="14"/>
              </w:rPr>
              <w:t>81,128.90 / 81,164.18 / 82,610.95</w:t>
            </w:r>
          </w:p>
        </w:tc>
        <w:tc>
          <w:tcPr>
            <w:tcW w:type="dxa" w:w="1776"/>
            <w:vAlign w:val="center"/>
          </w:tcPr>
          <w:p>
            <w:pPr>
              <w:spacing w:after="0" w:line="240" w:lineRule="auto"/>
            </w:pPr>
            <w:r>
              <w:rPr>
                <w:rFonts w:ascii="Microsoft YaHei" w:hAnsi="Microsoft YaHei" w:eastAsia="Microsoft YaHei"/>
                <w:b w:val="0"/>
                <w:color w:val="19212A"/>
                <w:sz w:val="14"/>
              </w:rPr>
              <w:t>+0.0055%</w:t>
            </w:r>
          </w:p>
        </w:tc>
        <w:tc>
          <w:tcPr>
            <w:tcW w:type="dxa" w:w="1776"/>
            <w:vAlign w:val="center"/>
          </w:tcPr>
          <w:p>
            <w:pPr>
              <w:spacing w:after="0" w:line="240" w:lineRule="auto"/>
            </w:pPr>
            <w:r>
              <w:rPr>
                <w:rFonts w:ascii="Microsoft YaHei" w:hAnsi="Microsoft YaHei" w:eastAsia="Microsoft YaHei"/>
                <w:b w:val="0"/>
                <w:color w:val="19212A"/>
                <w:sz w:val="14"/>
              </w:rPr>
              <w:t>$2.49bn / +0.00%</w:t>
            </w:r>
          </w:p>
        </w:tc>
        <w:tc>
          <w:tcPr>
            <w:tcW w:type="dxa" w:w="1776"/>
            <w:vAlign w:val="center"/>
          </w:tcPr>
          <w:p>
            <w:pPr>
              <w:spacing w:after="0" w:line="240" w:lineRule="auto"/>
            </w:pPr>
            <w:r>
              <w:rPr>
                <w:rFonts w:ascii="Microsoft YaHei" w:hAnsi="Microsoft YaHei" w:eastAsia="Microsoft YaHei"/>
                <w:b w:val="0"/>
                <w:color w:val="19212A"/>
                <w:sz w:val="14"/>
              </w:rPr>
              <w:t>0.059 / 0.059 / 0.059</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2,395.30 / -1.20%</w:t>
            </w:r>
          </w:p>
        </w:tc>
        <w:tc>
          <w:tcPr>
            <w:tcW w:type="dxa" w:w="1776"/>
            <w:vAlign w:val="center"/>
            <w:shd w:fill="EAF2F8"/>
          </w:tcPr>
          <w:p>
            <w:pPr>
              <w:spacing w:after="0" w:line="240" w:lineRule="auto"/>
            </w:pPr>
            <w:r>
              <w:rPr>
                <w:rFonts w:ascii="Microsoft YaHei" w:hAnsi="Microsoft YaHei" w:eastAsia="Microsoft YaHei"/>
                <w:b w:val="0"/>
                <w:color w:val="19212A"/>
                <w:sz w:val="14"/>
              </w:rPr>
              <w:t>2,349.96 / 2,369.23 / 2,455.06</w:t>
            </w:r>
          </w:p>
        </w:tc>
        <w:tc>
          <w:tcPr>
            <w:tcW w:type="dxa" w:w="1776"/>
            <w:vAlign w:val="center"/>
            <w:shd w:fill="EAF2F8"/>
          </w:tcPr>
          <w:p>
            <w:pPr>
              <w:spacing w:after="0" w:line="240" w:lineRule="auto"/>
            </w:pPr>
            <w:r>
              <w:rPr>
                <w:rFonts w:ascii="Microsoft YaHei" w:hAnsi="Microsoft YaHei" w:eastAsia="Microsoft YaHei"/>
                <w:b w:val="0"/>
                <w:color w:val="19212A"/>
                <w:sz w:val="14"/>
              </w:rPr>
              <w:t>+0.0031%</w:t>
            </w:r>
          </w:p>
        </w:tc>
        <w:tc>
          <w:tcPr>
            <w:tcW w:type="dxa" w:w="1776"/>
            <w:vAlign w:val="center"/>
            <w:shd w:fill="EAF2F8"/>
          </w:tcPr>
          <w:p>
            <w:pPr>
              <w:spacing w:after="0" w:line="240" w:lineRule="auto"/>
            </w:pPr>
            <w:r>
              <w:rPr>
                <w:rFonts w:ascii="Microsoft YaHei" w:hAnsi="Microsoft YaHei" w:eastAsia="Microsoft YaHei"/>
                <w:b w:val="0"/>
                <w:color w:val="19212A"/>
                <w:sz w:val="14"/>
              </w:rPr>
              <w:t>$1.35bn / +0.00%</w:t>
            </w:r>
          </w:p>
        </w:tc>
        <w:tc>
          <w:tcPr>
            <w:tcW w:type="dxa" w:w="1776"/>
            <w:vAlign w:val="center"/>
            <w:shd w:fill="EAF2F8"/>
          </w:tcPr>
          <w:p>
            <w:pPr>
              <w:spacing w:after="0" w:line="240" w:lineRule="auto"/>
            </w:pPr>
            <w:r>
              <w:rPr>
                <w:rFonts w:ascii="Microsoft YaHei" w:hAnsi="Microsoft YaHei" w:eastAsia="Microsoft YaHei"/>
                <w:b w:val="0"/>
                <w:color w:val="19212A"/>
                <w:sz w:val="14"/>
              </w:rPr>
              <w:t>0.009 / 0.009 / 0.009</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103.12 / -1.21%</w:t>
            </w:r>
          </w:p>
        </w:tc>
        <w:tc>
          <w:tcPr>
            <w:tcW w:type="dxa" w:w="1776"/>
            <w:vAlign w:val="center"/>
          </w:tcPr>
          <w:p>
            <w:pPr>
              <w:spacing w:after="0" w:line="240" w:lineRule="auto"/>
            </w:pPr>
            <w:r>
              <w:rPr>
                <w:rFonts w:ascii="Microsoft YaHei" w:hAnsi="Microsoft YaHei" w:eastAsia="Microsoft YaHei"/>
                <w:b w:val="0"/>
                <w:color w:val="19212A"/>
                <w:sz w:val="14"/>
              </w:rPr>
              <w:t>103.67 / 103.74 / 107.62</w:t>
            </w:r>
          </w:p>
        </w:tc>
        <w:tc>
          <w:tcPr>
            <w:tcW w:type="dxa" w:w="1776"/>
            <w:vAlign w:val="center"/>
          </w:tcPr>
          <w:p>
            <w:pPr>
              <w:spacing w:after="0" w:line="240" w:lineRule="auto"/>
            </w:pPr>
            <w:r>
              <w:rPr>
                <w:rFonts w:ascii="Microsoft YaHei" w:hAnsi="Microsoft YaHei" w:eastAsia="Microsoft YaHei"/>
                <w:b w:val="0"/>
                <w:color w:val="19212A"/>
                <w:sz w:val="14"/>
              </w:rPr>
              <w:t>-0.0012%</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6.107 / 6.107 / 6.107</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0.059，下沿多头本轮不执行，上沿空头要等冲高失败形成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7,659.44</w:t>
            </w:r>
          </w:p>
        </w:tc>
        <w:tc>
          <w:tcPr>
            <w:tcW w:type="dxa" w:w="2664"/>
            <w:vAlign w:val="center"/>
            <w:shd w:fill="EAF2F8"/>
          </w:tcPr>
          <w:p>
            <w:pPr>
              <w:spacing w:after="0" w:line="240" w:lineRule="auto"/>
            </w:pPr>
            <w:r>
              <w:rPr>
                <w:rFonts w:ascii="Microsoft YaHei" w:hAnsi="Microsoft YaHei" w:eastAsia="Microsoft YaHei"/>
                <w:b w:val="0"/>
                <w:color w:val="19212A"/>
                <w:sz w:val="14"/>
              </w:rPr>
              <w:t>-1.09%</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26,140.03</w:t>
            </w:r>
          </w:p>
        </w:tc>
        <w:tc>
          <w:tcPr>
            <w:tcW w:type="dxa" w:w="2664"/>
            <w:vAlign w:val="center"/>
          </w:tcPr>
          <w:p>
            <w:pPr>
              <w:spacing w:after="0" w:line="240" w:lineRule="auto"/>
            </w:pPr>
            <w:r>
              <w:rPr>
                <w:rFonts w:ascii="Microsoft YaHei" w:hAnsi="Microsoft YaHei" w:eastAsia="Microsoft YaHei"/>
                <w:b w:val="0"/>
                <w:color w:val="19212A"/>
                <w:sz w:val="14"/>
              </w:rPr>
              <w:t>-2.15%</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101.84</w:t>
            </w:r>
          </w:p>
        </w:tc>
        <w:tc>
          <w:tcPr>
            <w:tcW w:type="dxa" w:w="2664"/>
            <w:vAlign w:val="center"/>
            <w:shd w:fill="EAF2F8"/>
          </w:tcPr>
          <w:p>
            <w:pPr>
              <w:spacing w:after="0" w:line="240" w:lineRule="auto"/>
            </w:pPr>
            <w:r>
              <w:rPr>
                <w:rFonts w:ascii="Microsoft YaHei" w:hAnsi="Microsoft YaHei" w:eastAsia="Microsoft YaHei"/>
                <w:b w:val="0"/>
                <w:color w:val="19212A"/>
                <w:sz w:val="14"/>
              </w:rPr>
              <w:t>-0.16%</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5.10</w:t>
            </w:r>
          </w:p>
        </w:tc>
        <w:tc>
          <w:tcPr>
            <w:tcW w:type="dxa" w:w="2664"/>
            <w:vAlign w:val="center"/>
          </w:tcPr>
          <w:p>
            <w:pPr>
              <w:spacing w:after="0" w:line="240" w:lineRule="auto"/>
            </w:pPr>
            <w:r>
              <w:rPr>
                <w:rFonts w:ascii="Microsoft YaHei" w:hAnsi="Microsoft YaHei" w:eastAsia="Microsoft YaHei"/>
                <w:b w:val="0"/>
                <w:color w:val="19212A"/>
                <w:sz w:val="14"/>
              </w:rPr>
              <w:t>+0.18%</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4,181.10</w:t>
            </w:r>
          </w:p>
        </w:tc>
        <w:tc>
          <w:tcPr>
            <w:tcW w:type="dxa" w:w="2664"/>
            <w:vAlign w:val="center"/>
            <w:shd w:fill="EAF2F8"/>
          </w:tcPr>
          <w:p>
            <w:pPr>
              <w:spacing w:after="0" w:line="240" w:lineRule="auto"/>
            </w:pPr>
            <w:r>
              <w:rPr>
                <w:rFonts w:ascii="Microsoft YaHei" w:hAnsi="Microsoft YaHei" w:eastAsia="Microsoft YaHei"/>
                <w:b w:val="0"/>
                <w:color w:val="19212A"/>
                <w:sz w:val="14"/>
              </w:rPr>
              <w:t>+0.26%</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101.41</w:t>
            </w:r>
          </w:p>
        </w:tc>
        <w:tc>
          <w:tcPr>
            <w:tcW w:type="dxa" w:w="2664"/>
            <w:vAlign w:val="center"/>
          </w:tcPr>
          <w:p>
            <w:pPr>
              <w:spacing w:after="0" w:line="240" w:lineRule="auto"/>
            </w:pPr>
            <w:r>
              <w:rPr>
                <w:rFonts w:ascii="Microsoft YaHei" w:hAnsi="Microsoft YaHei" w:eastAsia="Microsoft YaHei"/>
                <w:b w:val="0"/>
                <w:color w:val="19212A"/>
                <w:sz w:val="14"/>
              </w:rPr>
              <w:t>+3.51%</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-1.09%、纳指 -2.15%，风险偏好偏弱；DXY -0.16%、10年期收益率 +0.18%，美元与利率仍有压制，黄金 +0.26% 则保留避险/通胀对冲需求。宏观没有给出可以覆盖技术结构的单边优势，因此不在 BTC 处于 POC 81,164 与 VAH 82,611 之间、位于价值区上半部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$306.2bn，提供中期流动性底座，但不能证明今天正在主动买币。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426s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16.1%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557s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35.2%</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643s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69.9%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$6.28m</w:t>
            </w:r>
          </w:p>
        </w:tc>
        <w:tc>
          <w:tcPr>
            <w:tcW w:type="dxa" w:w="2131"/>
            <w:vAlign w:val="center"/>
          </w:tcPr>
          <w:p>
            <w:pPr>
              <w:spacing w:after="0" w:line="240" w:lineRule="auto"/>
            </w:pPr>
            <w:r>
              <w:rPr>
                <w:rFonts w:ascii="Microsoft YaHei" w:hAnsi="Microsoft YaHei" w:eastAsia="Microsoft YaHei"/>
                <w:b w:val="0"/>
                <w:color w:val="19212A"/>
                <w:sz w:val="14"/>
              </w:rPr>
              <w:t>$5.06m</w:t>
            </w:r>
          </w:p>
        </w:tc>
        <w:tc>
          <w:tcPr>
            <w:tcW w:type="dxa" w:w="2131"/>
            <w:vAlign w:val="center"/>
          </w:tcPr>
          <w:p>
            <w:pPr>
              <w:spacing w:after="0" w:line="240" w:lineRule="auto"/>
            </w:pPr>
            <w:r>
              <w:rPr>
                <w:rFonts w:ascii="Microsoft YaHei" w:hAnsi="Microsoft YaHei" w:eastAsia="Microsoft YaHei"/>
                <w:b w:val="0"/>
                <w:color w:val="19212A"/>
                <w:sz w:val="14"/>
              </w:rPr>
              <w:t>+10.8%</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$5.23m</w:t>
            </w:r>
          </w:p>
        </w:tc>
        <w:tc>
          <w:tcPr>
            <w:tcW w:type="dxa" w:w="2131"/>
            <w:vAlign w:val="center"/>
            <w:shd w:fill="EAF2F8"/>
          </w:tcPr>
          <w:p>
            <w:pPr>
              <w:spacing w:after="0" w:line="240" w:lineRule="auto"/>
            </w:pPr>
            <w:r>
              <w:rPr>
                <w:rFonts w:ascii="Microsoft YaHei" w:hAnsi="Microsoft YaHei" w:eastAsia="Microsoft YaHei"/>
                <w:b w:val="0"/>
                <w:color w:val="19212A"/>
                <w:sz w:val="14"/>
              </w:rPr>
              <w:t>$2.96m</w:t>
            </w:r>
          </w:p>
        </w:tc>
        <w:tc>
          <w:tcPr>
            <w:tcW w:type="dxa" w:w="2131"/>
            <w:vAlign w:val="center"/>
            <w:shd w:fill="EAF2F8"/>
          </w:tcPr>
          <w:p>
            <w:pPr>
              <w:spacing w:after="0" w:line="240" w:lineRule="auto"/>
            </w:pPr>
            <w:r>
              <w:rPr>
                <w:rFonts w:ascii="Microsoft YaHei" w:hAnsi="Microsoft YaHei" w:eastAsia="Microsoft YaHei"/>
                <w:b w:val="0"/>
                <w:color w:val="19212A"/>
                <w:sz w:val="14"/>
              </w:rPr>
              <w:t>+27.7%</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$1.44m</w:t>
            </w:r>
          </w:p>
        </w:tc>
        <w:tc>
          <w:tcPr>
            <w:tcW w:type="dxa" w:w="2131"/>
            <w:vAlign w:val="center"/>
          </w:tcPr>
          <w:p>
            <w:pPr>
              <w:spacing w:after="0" w:line="240" w:lineRule="auto"/>
            </w:pPr>
            <w:r>
              <w:rPr>
                <w:rFonts w:ascii="Microsoft YaHei" w:hAnsi="Microsoft YaHei" w:eastAsia="Microsoft YaHei"/>
                <w:b w:val="0"/>
                <w:color w:val="19212A"/>
                <w:sz w:val="14"/>
              </w:rPr>
              <w:t>$1.20m</w:t>
            </w:r>
          </w:p>
        </w:tc>
        <w:tc>
          <w:tcPr>
            <w:tcW w:type="dxa" w:w="2131"/>
            <w:vAlign w:val="center"/>
          </w:tcPr>
          <w:p>
            <w:pPr>
              <w:spacing w:after="0" w:line="240" w:lineRule="auto"/>
            </w:pPr>
            <w:r>
              <w:rPr>
                <w:rFonts w:ascii="Microsoft YaHei" w:hAnsi="Microsoft YaHei" w:eastAsia="Microsoft YaHei"/>
                <w:b w:val="0"/>
                <w:color w:val="19212A"/>
                <w:sz w:val="14"/>
              </w:rPr>
              <w:t>+9.1%</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-0.50%</w:t>
            </w:r>
          </w:p>
        </w:tc>
        <w:tc>
          <w:tcPr>
            <w:tcW w:type="dxa" w:w="1522"/>
            <w:vAlign w:val="center"/>
          </w:tcPr>
          <w:p>
            <w:pPr>
              <w:spacing w:after="0" w:line="240" w:lineRule="auto"/>
            </w:pPr>
            <w:r>
              <w:rPr>
                <w:rFonts w:ascii="Microsoft YaHei" w:hAnsi="Microsoft YaHei" w:eastAsia="Microsoft YaHei"/>
                <w:b w:val="0"/>
                <w:color w:val="19212A"/>
                <w:sz w:val="13"/>
              </w:rPr>
              <w:t>+0.0055%</w:t>
            </w:r>
          </w:p>
        </w:tc>
        <w:tc>
          <w:tcPr>
            <w:tcW w:type="dxa" w:w="1522"/>
            <w:vAlign w:val="center"/>
          </w:tcPr>
          <w:p>
            <w:pPr>
              <w:spacing w:after="0" w:line="240" w:lineRule="auto"/>
            </w:pPr>
            <w:r>
              <w:rPr>
                <w:rFonts w:ascii="Microsoft YaHei" w:hAnsi="Microsoft YaHei" w:eastAsia="Microsoft YaHei"/>
                <w:b w:val="0"/>
                <w:color w:val="19212A"/>
                <w:sz w:val="13"/>
              </w:rPr>
              <w:t>$2.49bn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0.059/0.059/0.059</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-1.20%</w:t>
            </w:r>
          </w:p>
        </w:tc>
        <w:tc>
          <w:tcPr>
            <w:tcW w:type="dxa" w:w="1522"/>
            <w:vAlign w:val="center"/>
            <w:shd w:fill="EAF2F8"/>
          </w:tcPr>
          <w:p>
            <w:pPr>
              <w:spacing w:after="0" w:line="240" w:lineRule="auto"/>
            </w:pPr>
            <w:r>
              <w:rPr>
                <w:rFonts w:ascii="Microsoft YaHei" w:hAnsi="Microsoft YaHei" w:eastAsia="Microsoft YaHei"/>
                <w:b w:val="0"/>
                <w:color w:val="19212A"/>
                <w:sz w:val="13"/>
              </w:rPr>
              <w:t>+0.0031%</w:t>
            </w:r>
          </w:p>
        </w:tc>
        <w:tc>
          <w:tcPr>
            <w:tcW w:type="dxa" w:w="1522"/>
            <w:vAlign w:val="center"/>
            <w:shd w:fill="EAF2F8"/>
          </w:tcPr>
          <w:p>
            <w:pPr>
              <w:spacing w:after="0" w:line="240" w:lineRule="auto"/>
            </w:pPr>
            <w:r>
              <w:rPr>
                <w:rFonts w:ascii="Microsoft YaHei" w:hAnsi="Microsoft YaHei" w:eastAsia="Microsoft YaHei"/>
                <w:b w:val="0"/>
                <w:color w:val="19212A"/>
                <w:sz w:val="13"/>
              </w:rPr>
              <w:t>$1.35bn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0.009/0.009/0.009</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-1.21%</w:t>
            </w:r>
          </w:p>
        </w:tc>
        <w:tc>
          <w:tcPr>
            <w:tcW w:type="dxa" w:w="1522"/>
            <w:vAlign w:val="center"/>
          </w:tcPr>
          <w:p>
            <w:pPr>
              <w:spacing w:after="0" w:line="240" w:lineRule="auto"/>
            </w:pPr>
            <w:r>
              <w:rPr>
                <w:rFonts w:ascii="Microsoft YaHei" w:hAnsi="Microsoft YaHei" w:eastAsia="Microsoft YaHei"/>
                <w:b w:val="0"/>
                <w:color w:val="19212A"/>
                <w:sz w:val="13"/>
              </w:rPr>
              <w:t>-0.0012%</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6.107/6.107/6.107</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0.50%、OI 增加 0.00%，最近三小时 Taker 为 0.059、0.059、0.059：价格与OI同步增加更像反弹中的杠杆回补，但末端 Taker 尚未稳定站上1.10，不能直接当成趋势反转。ETH 24小时下跌 1.20%、OI 增加 0.00%；SOL 24小时下跌 1.21%、OI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18OCT26</w:t>
            </w:r>
          </w:p>
        </w:tc>
        <w:tc>
          <w:tcPr>
            <w:tcW w:type="dxa" w:w="1776"/>
            <w:vAlign w:val="center"/>
          </w:tcPr>
          <w:p>
            <w:pPr>
              <w:spacing w:after="0" w:line="240" w:lineRule="auto"/>
            </w:pPr>
            <w:r>
              <w:rPr>
                <w:rFonts w:ascii="Microsoft YaHei" w:hAnsi="Microsoft YaHei" w:eastAsia="Microsoft YaHei"/>
                <w:b w:val="0"/>
                <w:color w:val="19212A"/>
                <w:sz w:val="14"/>
              </w:rPr>
              <w:t>0.94</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18OCT26</w:t>
            </w:r>
          </w:p>
        </w:tc>
        <w:tc>
          <w:tcPr>
            <w:tcW w:type="dxa" w:w="1776"/>
            <w:vAlign w:val="center"/>
            <w:shd w:fill="EAF2F8"/>
          </w:tcPr>
          <w:p>
            <w:pPr>
              <w:spacing w:after="0" w:line="240" w:lineRule="auto"/>
            </w:pPr>
            <w:r>
              <w:rPr>
                <w:rFonts w:ascii="Microsoft YaHei" w:hAnsi="Microsoft YaHei" w:eastAsia="Microsoft YaHei"/>
                <w:b w:val="0"/>
                <w:color w:val="19212A"/>
                <w:sz w:val="14"/>
              </w:rPr>
              <w:t>1.28</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0.94；ETH 全期限 0.51、近月 1.28。本轮只取得期权持仓结构，没有稳定的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81,129</w:t>
            </w:r>
          </w:p>
        </w:tc>
        <w:tc>
          <w:tcPr>
            <w:tcW w:type="dxa" w:w="1522"/>
            <w:vAlign w:val="center"/>
          </w:tcPr>
          <w:p>
            <w:pPr>
              <w:spacing w:after="0" w:line="240" w:lineRule="auto"/>
            </w:pPr>
            <w:r>
              <w:rPr>
                <w:rFonts w:ascii="Microsoft YaHei" w:hAnsi="Microsoft YaHei" w:eastAsia="Microsoft YaHei"/>
                <w:b w:val="0"/>
                <w:color w:val="19212A"/>
                <w:sz w:val="12"/>
              </w:rPr>
              <w:t>81,164</w:t>
            </w:r>
          </w:p>
        </w:tc>
        <w:tc>
          <w:tcPr>
            <w:tcW w:type="dxa" w:w="1522"/>
            <w:vAlign w:val="center"/>
          </w:tcPr>
          <w:p>
            <w:pPr>
              <w:spacing w:after="0" w:line="240" w:lineRule="auto"/>
            </w:pPr>
            <w:r>
              <w:rPr>
                <w:rFonts w:ascii="Microsoft YaHei" w:hAnsi="Microsoft YaHei" w:eastAsia="Microsoft YaHei"/>
                <w:b w:val="0"/>
                <w:color w:val="19212A"/>
                <w:sz w:val="12"/>
              </w:rPr>
              <w:t>82,611</w:t>
            </w:r>
          </w:p>
        </w:tc>
        <w:tc>
          <w:tcPr>
            <w:tcW w:type="dxa" w:w="1522"/>
            <w:vAlign w:val="center"/>
          </w:tcPr>
          <w:p>
            <w:pPr>
              <w:spacing w:after="0" w:line="240" w:lineRule="auto"/>
            </w:pPr>
            <w:r>
              <w:rPr>
                <w:rFonts w:ascii="Microsoft YaHei" w:hAnsi="Microsoft YaHei" w:eastAsia="Microsoft YaHei"/>
                <w:b w:val="0"/>
                <w:color w:val="19212A"/>
                <w:sz w:val="12"/>
              </w:rPr>
              <w:t>81,129 / 80,629 / 81,129</w:t>
            </w:r>
          </w:p>
        </w:tc>
        <w:tc>
          <w:tcPr>
            <w:tcW w:type="dxa" w:w="1522"/>
            <w:vAlign w:val="center"/>
          </w:tcPr>
          <w:p>
            <w:pPr>
              <w:spacing w:after="0" w:line="240" w:lineRule="auto"/>
            </w:pPr>
            <w:r>
              <w:rPr>
                <w:rFonts w:ascii="Microsoft YaHei" w:hAnsi="Microsoft YaHei" w:eastAsia="Microsoft YaHei"/>
                <w:b w:val="0"/>
                <w:color w:val="19212A"/>
                <w:sz w:val="12"/>
              </w:rPr>
              <w:t>82,611 / 83,111 / 83,740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2,350</w:t>
            </w:r>
          </w:p>
        </w:tc>
        <w:tc>
          <w:tcPr>
            <w:tcW w:type="dxa" w:w="1522"/>
            <w:vAlign w:val="center"/>
            <w:shd w:fill="EAF2F8"/>
          </w:tcPr>
          <w:p>
            <w:pPr>
              <w:spacing w:after="0" w:line="240" w:lineRule="auto"/>
            </w:pPr>
            <w:r>
              <w:rPr>
                <w:rFonts w:ascii="Microsoft YaHei" w:hAnsi="Microsoft YaHei" w:eastAsia="Microsoft YaHei"/>
                <w:b w:val="0"/>
                <w:color w:val="19212A"/>
                <w:sz w:val="12"/>
              </w:rPr>
              <w:t>2,369</w:t>
            </w:r>
          </w:p>
        </w:tc>
        <w:tc>
          <w:tcPr>
            <w:tcW w:type="dxa" w:w="1522"/>
            <w:vAlign w:val="center"/>
            <w:shd w:fill="EAF2F8"/>
          </w:tcPr>
          <w:p>
            <w:pPr>
              <w:spacing w:after="0" w:line="240" w:lineRule="auto"/>
            </w:pPr>
            <w:r>
              <w:rPr>
                <w:rFonts w:ascii="Microsoft YaHei" w:hAnsi="Microsoft YaHei" w:eastAsia="Microsoft YaHei"/>
                <w:b w:val="0"/>
                <w:color w:val="19212A"/>
                <w:sz w:val="12"/>
              </w:rPr>
              <w:t>2,455</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103.67</w:t>
            </w:r>
          </w:p>
        </w:tc>
        <w:tc>
          <w:tcPr>
            <w:tcW w:type="dxa" w:w="1522"/>
            <w:vAlign w:val="center"/>
          </w:tcPr>
          <w:p>
            <w:pPr>
              <w:spacing w:after="0" w:line="240" w:lineRule="auto"/>
            </w:pPr>
            <w:r>
              <w:rPr>
                <w:rFonts w:ascii="Microsoft YaHei" w:hAnsi="Microsoft YaHei" w:eastAsia="Microsoft YaHei"/>
                <w:b w:val="0"/>
                <w:color w:val="19212A"/>
                <w:sz w:val="12"/>
              </w:rPr>
              <w:t>103.74</w:t>
            </w:r>
          </w:p>
        </w:tc>
        <w:tc>
          <w:tcPr>
            <w:tcW w:type="dxa" w:w="1522"/>
            <w:vAlign w:val="center"/>
          </w:tcPr>
          <w:p>
            <w:pPr>
              <w:spacing w:after="0" w:line="240" w:lineRule="auto"/>
            </w:pPr>
            <w:r>
              <w:rPr>
                <w:rFonts w:ascii="Microsoft YaHei" w:hAnsi="Microsoft YaHei" w:eastAsia="Microsoft YaHei"/>
                <w:b w:val="0"/>
                <w:color w:val="19212A"/>
                <w:sz w:val="12"/>
              </w:rPr>
              <w:t>107.62</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9.8126</w:t>
            </w:r>
          </w:p>
        </w:tc>
        <w:tc>
          <w:tcPr>
            <w:tcW w:type="dxa" w:w="1522"/>
            <w:vAlign w:val="center"/>
            <w:shd w:fill="EAF2F8"/>
          </w:tcPr>
          <w:p>
            <w:pPr>
              <w:spacing w:after="0" w:line="240" w:lineRule="auto"/>
            </w:pPr>
            <w:r>
              <w:rPr>
                <w:rFonts w:ascii="Microsoft YaHei" w:hAnsi="Microsoft YaHei" w:eastAsia="Microsoft YaHei"/>
                <w:b w:val="0"/>
                <w:color w:val="19212A"/>
                <w:sz w:val="12"/>
              </w:rPr>
              <w:t>9.9565</w:t>
            </w:r>
          </w:p>
        </w:tc>
        <w:tc>
          <w:tcPr>
            <w:tcW w:type="dxa" w:w="1522"/>
            <w:vAlign w:val="center"/>
            <w:shd w:fill="EAF2F8"/>
          </w:tcPr>
          <w:p>
            <w:pPr>
              <w:spacing w:after="0" w:line="240" w:lineRule="auto"/>
            </w:pPr>
            <w:r>
              <w:rPr>
                <w:rFonts w:ascii="Microsoft YaHei" w:hAnsi="Microsoft YaHei" w:eastAsia="Microsoft YaHei"/>
                <w:b w:val="0"/>
                <w:color w:val="19212A"/>
                <w:sz w:val="12"/>
              </w:rPr>
              <w:t>10.3375</w:t>
            </w:r>
          </w:p>
        </w:tc>
        <w:tc>
          <w:tcPr>
            <w:tcW w:type="dxa" w:w="1522"/>
            <w:vAlign w:val="center"/>
            <w:shd w:fill="EAF2F8"/>
          </w:tcPr>
          <w:p>
            <w:pPr>
              <w:spacing w:after="0" w:line="240" w:lineRule="auto"/>
            </w:pPr>
            <w:r>
              <w:rPr>
                <w:rFonts w:ascii="Microsoft YaHei" w:hAnsi="Microsoft YaHei" w:eastAsia="Microsoft YaHei"/>
                <w:b w:val="0"/>
                <w:color w:val="19212A"/>
                <w:sz w:val="12"/>
              </w:rPr>
              <w:t>9.5540 / 9.8126</w:t>
            </w:r>
          </w:p>
        </w:tc>
        <w:tc>
          <w:tcPr>
            <w:tcW w:type="dxa" w:w="1522"/>
            <w:vAlign w:val="center"/>
            <w:shd w:fill="EAF2F8"/>
          </w:tcPr>
          <w:p>
            <w:pPr>
              <w:spacing w:after="0" w:line="240" w:lineRule="auto"/>
            </w:pPr>
            <w:r>
              <w:rPr>
                <w:rFonts w:ascii="Microsoft YaHei" w:hAnsi="Microsoft YaHei" w:eastAsia="Microsoft YaHei"/>
                <w:b w:val="0"/>
                <w:color w:val="19212A"/>
                <w:sz w:val="12"/>
              </w:rPr>
              <w:t>10.3375 / 10.0880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1.2943</w:t>
            </w:r>
          </w:p>
        </w:tc>
        <w:tc>
          <w:tcPr>
            <w:tcW w:type="dxa" w:w="1522"/>
            <w:vAlign w:val="center"/>
          </w:tcPr>
          <w:p>
            <w:pPr>
              <w:spacing w:after="0" w:line="240" w:lineRule="auto"/>
            </w:pPr>
            <w:r>
              <w:rPr>
                <w:rFonts w:ascii="Microsoft YaHei" w:hAnsi="Microsoft YaHei" w:eastAsia="Microsoft YaHei"/>
                <w:b w:val="0"/>
                <w:color w:val="19212A"/>
                <w:sz w:val="12"/>
              </w:rPr>
              <w:t>1.3092</w:t>
            </w:r>
          </w:p>
        </w:tc>
        <w:tc>
          <w:tcPr>
            <w:tcW w:type="dxa" w:w="1522"/>
            <w:vAlign w:val="center"/>
          </w:tcPr>
          <w:p>
            <w:pPr>
              <w:spacing w:after="0" w:line="240" w:lineRule="auto"/>
            </w:pPr>
            <w:r>
              <w:rPr>
                <w:rFonts w:ascii="Microsoft YaHei" w:hAnsi="Microsoft YaHei" w:eastAsia="Microsoft YaHei"/>
                <w:b w:val="0"/>
                <w:color w:val="19212A"/>
                <w:sz w:val="12"/>
              </w:rPr>
              <w:t>1.3398</w:t>
            </w:r>
          </w:p>
        </w:tc>
        <w:tc>
          <w:tcPr>
            <w:tcW w:type="dxa" w:w="1522"/>
            <w:vAlign w:val="center"/>
          </w:tcPr>
          <w:p>
            <w:pPr>
              <w:spacing w:after="0" w:line="240" w:lineRule="auto"/>
            </w:pPr>
            <w:r>
              <w:rPr>
                <w:rFonts w:ascii="Microsoft YaHei" w:hAnsi="Microsoft YaHei" w:eastAsia="Microsoft YaHei"/>
                <w:b w:val="0"/>
                <w:color w:val="19212A"/>
                <w:sz w:val="12"/>
              </w:rPr>
              <w:t>1.2692 / 1.2943</w:t>
            </w:r>
          </w:p>
        </w:tc>
        <w:tc>
          <w:tcPr>
            <w:tcW w:type="dxa" w:w="1522"/>
            <w:vAlign w:val="center"/>
          </w:tcPr>
          <w:p>
            <w:pPr>
              <w:spacing w:after="0" w:line="240" w:lineRule="auto"/>
            </w:pPr>
            <w:r>
              <w:rPr>
                <w:rFonts w:ascii="Microsoft YaHei" w:hAnsi="Microsoft YaHei" w:eastAsia="Microsoft YaHei"/>
                <w:b w:val="0"/>
                <w:color w:val="19212A"/>
                <w:sz w:val="12"/>
              </w:rPr>
              <w:t>1.3398 / 1.3120</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81,129 与 VAH 82,611 之间、靠近 POC 81,164，说明价格在正常成交区中部，不自动等于多头或空头；下沿多头本轮未通过第一目标净R:R闸门，上沿 82,511-82,691 失败才有空头条件。AVAX 的 POC 约 9.9565、XRP 的 POC 约 1.3092，只代表这五天成交最密集处。真实全网清算热力图本轮未取得，图中上下方数字只是止损/流动性代理，不代表真实清算金额。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-0.50%</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-1.20%</w:t>
            </w:r>
          </w:p>
        </w:tc>
        <w:tc>
          <w:tcPr>
            <w:tcW w:type="dxa" w:w="2131"/>
            <w:vAlign w:val="center"/>
            <w:shd w:fill="EAF2F8"/>
          </w:tcPr>
          <w:p>
            <w:pPr>
              <w:spacing w:after="0" w:line="240" w:lineRule="auto"/>
            </w:pPr>
            <w:r>
              <w:rPr>
                <w:rFonts w:ascii="Microsoft YaHei" w:hAnsi="Microsoft YaHei" w:eastAsia="Microsoft YaHei"/>
                <w:b w:val="0"/>
                <w:color w:val="19212A"/>
                <w:sz w:val="14"/>
              </w:rPr>
              <w:t>ETH/BTC -0.71%</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-1.21% / -2.38% / -1.31%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-3.02% / -1.31% / -2.29%</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-1.88pp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-2.38%；OI +0.00%；Funding -0.0061%；Taker 1.827</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-0.81pp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-1.31%；OI +0.00%；Funding +0.0001%；Taker 6.945</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-1.88pp</w:t>
            </w:r>
          </w:p>
        </w:tc>
        <w:tc>
          <w:tcPr>
            <w:tcW w:type="dxa" w:w="2664"/>
            <w:vAlign w:val="center"/>
          </w:tcPr>
          <w:p>
            <w:pPr>
              <w:spacing w:after="0" w:line="240" w:lineRule="auto"/>
            </w:pPr>
            <w:r>
              <w:rPr>
                <w:rFonts w:ascii="Microsoft YaHei" w:hAnsi="Microsoft YaHei" w:eastAsia="Microsoft YaHei"/>
                <w:b w:val="0"/>
                <w:color w:val="19212A"/>
                <w:sz w:val="14"/>
              </w:rPr>
              <w:t>-0.81pp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1.827</w:t>
            </w:r>
          </w:p>
        </w:tc>
        <w:tc>
          <w:tcPr>
            <w:tcW w:type="dxa" w:w="2664"/>
            <w:vAlign w:val="center"/>
          </w:tcPr>
          <w:p>
            <w:pPr>
              <w:spacing w:after="0" w:line="240" w:lineRule="auto"/>
            </w:pPr>
            <w:r>
              <w:rPr>
                <w:rFonts w:ascii="Microsoft YaHei" w:hAnsi="Microsoft YaHei" w:eastAsia="Microsoft YaHei"/>
                <w:b w:val="0"/>
                <w:color w:val="19212A"/>
                <w:sz w:val="14"/>
              </w:rPr>
              <w:t>OI +0.00%，Taker 6.945</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AVAX scheduled unlock（2026-10-21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82,511-82,691是否触达；15m/30m能否冲高失败、跌回VAH 82,611下方并形成LH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82,511-82,691是否触达；反弹后能否重新跌回VAL下方并形成LH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OI增加后是否继续；Taker能否从0.059回落并再次转弱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81,129 后收回形成 HL，或上沿 82,511-82,691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2026-10-18T06:58:47.833395+08:00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2026-10-18T06:58:47.833395+08:00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2026-10-18 06:58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2026-10-18T06:58:47.833395+08:00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2026-10-18T06:58:47.833395+08:00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2026-10-18T06:58:47.833395+08:00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2026-10-18T06:58:47.833395+08:00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2026-10-18</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2026-10-18T06:58:47.833395+08:00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2026-10-18</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2026-10-18</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2026-10-18T06:58:47.833395+08:00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2026-10-18</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- 2026-10-18</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