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- 2026-10-27 08:18 BJT</w:t>
      </w:r>
    </w:p>
    <w:p>
      <w:pPr>
        <w:spacing w:after="160"/>
        <w:jc w:val="center"/>
      </w:pPr>
      <w:r>
        <w:rPr>
          <w:rFonts w:ascii="Microsoft YaHei" w:hAnsi="Microsoft YaHei" w:eastAsia="Microsoft YaHei"/>
          <w:b w:val="0"/>
          <w:color w:val="5A5A5A"/>
          <w:sz w:val="16"/>
        </w:rPr>
        <w:t>2026-10-27 | 市场快照 08:18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2026-10-27T08:18:04.980913+08:00 的 BTC/ETH/SOL 行情与 OKX 永续合约备选源（Binance/Bybit 本轮不可用）、Deribit 期权、Binance/OKX 现货成交带与盘口快照；ETF 数据以本次输入中最新可核验公开值为准，ETH/SOL 当日值可能不完整，宏观、催化剂与大佬观点核验截止 2026-10-27 08:18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80,244处于 VAL 79,973 与 POC 80,503 之间、位于价值区下半部，现价不直接追单；下沿多头本轮因 TP1 净R:R不足而淘汰，不做多；上沿只有进入 81,532-81,712 后冲高失败才做空。上沿一条条件卡有效至 2026-10-27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HTF_TREND_DOWN + PULLBACK / 处于 VAL 79,973 与 POC 80,503 之间、位于价值区下半部</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下沿多头本轮无合格预案；上沿等S2c 趋势回踩空 81,532-81,712</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79,973-81,632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2,304 收回与 EMA20 2,346，无独立交易卡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2,346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100.30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EMA20 101.80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HTF_TREND_DOWN + PULLBACK，ETH/SOL处于过渡，因此当前更准确的描述是‘中线震荡、短线偏弱’，还不是确认的大级别牛市或熊市。今天只允许上沿回踩受阻空，现价附近不交易。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79,873-80,023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79,873-80,023 / 80,023</w:t>
            </w:r>
          </w:p>
        </w:tc>
        <w:tc>
          <w:tcPr>
            <w:tcW w:type="dxa" w:w="1332"/>
            <w:vAlign w:val="center"/>
          </w:tcPr>
          <w:p>
            <w:pPr>
              <w:spacing w:after="0" w:line="240" w:lineRule="auto"/>
            </w:pPr>
            <w:r>
              <w:rPr>
                <w:rFonts w:ascii="Microsoft YaHei" w:hAnsi="Microsoft YaHei" w:eastAsia="Microsoft YaHei"/>
                <w:b w:val="0"/>
                <w:color w:val="19212A"/>
                <w:sz w:val="12"/>
              </w:rPr>
              <w:t>79,473</w:t>
            </w:r>
          </w:p>
        </w:tc>
        <w:tc>
          <w:tcPr>
            <w:tcW w:type="dxa" w:w="1332"/>
            <w:vAlign w:val="center"/>
          </w:tcPr>
          <w:p>
            <w:pPr>
              <w:spacing w:after="0" w:line="240" w:lineRule="auto"/>
            </w:pPr>
            <w:r>
              <w:rPr>
                <w:rFonts w:ascii="Microsoft YaHei" w:hAnsi="Microsoft YaHei" w:eastAsia="Microsoft YaHei"/>
                <w:b w:val="0"/>
                <w:color w:val="19212A"/>
                <w:sz w:val="12"/>
              </w:rPr>
              <w:t>80,503 / 81,632</w:t>
            </w:r>
          </w:p>
        </w:tc>
        <w:tc>
          <w:tcPr>
            <w:tcW w:type="dxa" w:w="1332"/>
            <w:vAlign w:val="center"/>
          </w:tcPr>
          <w:p>
            <w:pPr>
              <w:spacing w:after="0" w:line="240" w:lineRule="auto"/>
            </w:pPr>
            <w:r>
              <w:rPr>
                <w:rFonts w:ascii="Microsoft YaHei" w:hAnsi="Microsoft YaHei" w:eastAsia="Microsoft YaHei"/>
                <w:b w:val="0"/>
                <w:color w:val="19212A"/>
                <w:sz w:val="12"/>
              </w:rPr>
              <w:t>TP1 1:0.59；加权 1:1.64</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空（S2c 趋势回踩空）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81,532-81,712，15m/30m出现冲高失败、LH并重新跌回 VAH 81,632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81,532-81,712 / 81,712</w:t>
            </w:r>
          </w:p>
        </w:tc>
        <w:tc>
          <w:tcPr>
            <w:tcW w:type="dxa" w:w="1332"/>
            <w:vAlign w:val="center"/>
            <w:shd w:fill="EAF2F8"/>
          </w:tcPr>
          <w:p>
            <w:pPr>
              <w:spacing w:after="0" w:line="240" w:lineRule="auto"/>
            </w:pPr>
            <w:r>
              <w:rPr>
                <w:rFonts w:ascii="Microsoft YaHei" w:hAnsi="Microsoft YaHei" w:eastAsia="Microsoft YaHei"/>
                <w:b w:val="0"/>
                <w:color w:val="19212A"/>
                <w:sz w:val="12"/>
              </w:rPr>
              <w:t>82,132</w:t>
            </w:r>
          </w:p>
        </w:tc>
        <w:tc>
          <w:tcPr>
            <w:tcW w:type="dxa" w:w="1332"/>
            <w:vAlign w:val="center"/>
            <w:shd w:fill="EAF2F8"/>
          </w:tcPr>
          <w:p>
            <w:pPr>
              <w:spacing w:after="0" w:line="240" w:lineRule="auto"/>
            </w:pPr>
            <w:r>
              <w:rPr>
                <w:rFonts w:ascii="Microsoft YaHei" w:hAnsi="Microsoft YaHei" w:eastAsia="Microsoft YaHei"/>
                <w:b w:val="0"/>
                <w:color w:val="19212A"/>
                <w:sz w:val="12"/>
              </w:rPr>
              <w:t>80,503 / 79,973</w:t>
            </w:r>
          </w:p>
        </w:tc>
        <w:tc>
          <w:tcPr>
            <w:tcW w:type="dxa" w:w="1332"/>
            <w:vAlign w:val="center"/>
            <w:shd w:fill="EAF2F8"/>
          </w:tcPr>
          <w:p>
            <w:pPr>
              <w:spacing w:after="0" w:line="240" w:lineRule="auto"/>
            </w:pPr>
            <w:r>
              <w:rPr>
                <w:rFonts w:ascii="Microsoft YaHei" w:hAnsi="Microsoft YaHei" w:eastAsia="Microsoft YaHei"/>
                <w:b w:val="0"/>
                <w:color w:val="19212A"/>
                <w:sz w:val="12"/>
              </w:rPr>
              <w:t>TP1 1:2.15；加权 1:2.76</w:t>
            </w:r>
          </w:p>
        </w:tc>
        <w:tc>
          <w:tcPr>
            <w:tcW w:type="dxa" w:w="1332"/>
            <w:vAlign w:val="center"/>
            <w:shd w:fill="EAF2F8"/>
          </w:tcPr>
          <w:p>
            <w:pPr>
              <w:spacing w:after="0" w:line="240" w:lineRule="auto"/>
            </w:pPr>
            <w:r>
              <w:rPr>
                <w:rFonts w:ascii="Microsoft YaHei" w:hAnsi="Microsoft YaHei" w:eastAsia="Microsoft YaHei"/>
                <w:b w:val="0"/>
                <w:color w:val="19212A"/>
                <w:sz w:val="12"/>
              </w:rPr>
              <w:t>2026-10-27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VAL 79,973 与 POC 80,503 之间、位于价值区下半部；POC 80,503 可以理解为最近成交最拥挤的中轴，不是追单位置。下沿多头本轮因 TP1 净R:R不足而取消；上沿空头必须先进入 81,532-81,712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79,238-81,022</w:t>
            </w:r>
          </w:p>
        </w:tc>
        <w:tc>
          <w:tcPr>
            <w:tcW w:type="dxa" w:w="969"/>
            <w:vAlign w:val="center"/>
          </w:tcPr>
          <w:p>
            <w:pPr>
              <w:spacing w:after="0" w:line="240" w:lineRule="auto"/>
            </w:pPr>
            <w:r>
              <w:rPr>
                <w:rFonts w:ascii="Microsoft YaHei" w:hAnsi="Microsoft YaHei" w:eastAsia="Microsoft YaHei"/>
                <w:b w:val="0"/>
                <w:color w:val="19212A"/>
                <w:sz w:val="10"/>
              </w:rPr>
              <w:t>78,550-79,277</w:t>
            </w:r>
          </w:p>
        </w:tc>
        <w:tc>
          <w:tcPr>
            <w:tcW w:type="dxa" w:w="969"/>
            <w:vAlign w:val="center"/>
          </w:tcPr>
          <w:p>
            <w:pPr>
              <w:spacing w:after="0" w:line="240" w:lineRule="auto"/>
            </w:pPr>
            <w:r>
              <w:rPr>
                <w:rFonts w:ascii="Microsoft YaHei" w:hAnsi="Microsoft YaHei" w:eastAsia="Microsoft YaHei"/>
                <w:b w:val="0"/>
                <w:color w:val="19212A"/>
                <w:sz w:val="10"/>
              </w:rPr>
              <w:t>80,293-80,684</w:t>
            </w:r>
          </w:p>
        </w:tc>
        <w:tc>
          <w:tcPr>
            <w:tcW w:type="dxa" w:w="969"/>
            <w:vAlign w:val="center"/>
          </w:tcPr>
          <w:p>
            <w:pPr>
              <w:spacing w:after="0" w:line="240" w:lineRule="auto"/>
            </w:pPr>
            <w:r>
              <w:rPr>
                <w:rFonts w:ascii="Microsoft YaHei" w:hAnsi="Microsoft YaHei" w:eastAsia="Microsoft YaHei"/>
                <w:b w:val="0"/>
                <w:color w:val="19212A"/>
                <w:sz w:val="10"/>
              </w:rPr>
              <w:t>50.2% / 19.7% / 30.2%</w:t>
            </w:r>
          </w:p>
        </w:tc>
        <w:tc>
          <w:tcPr>
            <w:tcW w:type="dxa" w:w="969"/>
            <w:vAlign w:val="center"/>
          </w:tcPr>
          <w:p>
            <w:pPr>
              <w:spacing w:after="0" w:line="240" w:lineRule="auto"/>
            </w:pPr>
            <w:r>
              <w:rPr>
                <w:rFonts w:ascii="Microsoft YaHei" w:hAnsi="Microsoft YaHei" w:eastAsia="Microsoft YaHei"/>
                <w:b w:val="0"/>
                <w:color w:val="19212A"/>
                <w:sz w:val="10"/>
              </w:rPr>
              <w:t>4.6%</w:t>
            </w:r>
          </w:p>
        </w:tc>
        <w:tc>
          <w:tcPr>
            <w:tcW w:type="dxa" w:w="969"/>
            <w:vAlign w:val="center"/>
          </w:tcPr>
          <w:p>
            <w:pPr>
              <w:spacing w:after="0" w:line="240" w:lineRule="auto"/>
            </w:pPr>
            <w:r>
              <w:rPr>
                <w:rFonts w:ascii="Microsoft YaHei" w:hAnsi="Microsoft YaHei" w:eastAsia="Microsoft YaHei"/>
                <w:b w:val="0"/>
                <w:color w:val="19212A"/>
                <w:sz w:val="10"/>
              </w:rPr>
              <w:t>28.5</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80,244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78,595-81,685</w:t>
            </w:r>
          </w:p>
        </w:tc>
        <w:tc>
          <w:tcPr>
            <w:tcW w:type="dxa" w:w="969"/>
            <w:vAlign w:val="center"/>
            <w:shd w:fill="EAF2F8"/>
          </w:tcPr>
          <w:p>
            <w:pPr>
              <w:spacing w:after="0" w:line="240" w:lineRule="auto"/>
            </w:pPr>
            <w:r>
              <w:rPr>
                <w:rFonts w:ascii="Microsoft YaHei" w:hAnsi="Microsoft YaHei" w:eastAsia="Microsoft YaHei"/>
                <w:b w:val="0"/>
                <w:color w:val="19212A"/>
                <w:sz w:val="10"/>
              </w:rPr>
              <w:t>77,643-78,207</w:t>
            </w:r>
          </w:p>
        </w:tc>
        <w:tc>
          <w:tcPr>
            <w:tcW w:type="dxa" w:w="969"/>
            <w:vAlign w:val="center"/>
            <w:shd w:fill="EAF2F8"/>
          </w:tcPr>
          <w:p>
            <w:pPr>
              <w:spacing w:after="0" w:line="240" w:lineRule="auto"/>
            </w:pPr>
            <w:r>
              <w:rPr>
                <w:rFonts w:ascii="Microsoft YaHei" w:hAnsi="Microsoft YaHei" w:eastAsia="Microsoft YaHei"/>
                <w:b w:val="0"/>
                <w:color w:val="19212A"/>
                <w:sz w:val="10"/>
              </w:rPr>
              <w:t>80,296-81,501</w:t>
            </w:r>
          </w:p>
        </w:tc>
        <w:tc>
          <w:tcPr>
            <w:tcW w:type="dxa" w:w="969"/>
            <w:vAlign w:val="center"/>
            <w:shd w:fill="EAF2F8"/>
          </w:tcPr>
          <w:p>
            <w:pPr>
              <w:spacing w:after="0" w:line="240" w:lineRule="auto"/>
            </w:pPr>
            <w:r>
              <w:rPr>
                <w:rFonts w:ascii="Microsoft YaHei" w:hAnsi="Microsoft YaHei" w:eastAsia="Microsoft YaHei"/>
                <w:b w:val="0"/>
                <w:color w:val="19212A"/>
                <w:sz w:val="10"/>
              </w:rPr>
              <w:t>61.7% / 35.4% / 2.9%</w:t>
            </w:r>
          </w:p>
        </w:tc>
        <w:tc>
          <w:tcPr>
            <w:tcW w:type="dxa" w:w="969"/>
            <w:vAlign w:val="center"/>
            <w:shd w:fill="EAF2F8"/>
          </w:tcPr>
          <w:p>
            <w:pPr>
              <w:spacing w:after="0" w:line="240" w:lineRule="auto"/>
            </w:pPr>
            <w:r>
              <w:rPr>
                <w:rFonts w:ascii="Microsoft YaHei" w:hAnsi="Microsoft YaHei" w:eastAsia="Microsoft YaHei"/>
                <w:b w:val="0"/>
                <w:color w:val="19212A"/>
                <w:sz w:val="10"/>
              </w:rPr>
              <w:t>15.1%</w:t>
            </w:r>
          </w:p>
        </w:tc>
        <w:tc>
          <w:tcPr>
            <w:tcW w:type="dxa" w:w="969"/>
            <w:vAlign w:val="center"/>
            <w:shd w:fill="EAF2F8"/>
          </w:tcPr>
          <w:p>
            <w:pPr>
              <w:spacing w:after="0" w:line="240" w:lineRule="auto"/>
            </w:pPr>
            <w:r>
              <w:rPr>
                <w:rFonts w:ascii="Microsoft YaHei" w:hAnsi="Microsoft YaHei" w:eastAsia="Microsoft YaHei"/>
                <w:b w:val="0"/>
                <w:color w:val="19212A"/>
                <w:sz w:val="10"/>
              </w:rPr>
              <w:t>20.4</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80,244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2,276-2,372</w:t>
            </w:r>
          </w:p>
        </w:tc>
        <w:tc>
          <w:tcPr>
            <w:tcW w:type="dxa" w:w="969"/>
            <w:vAlign w:val="center"/>
            <w:shd w:fill="EAF2F8"/>
          </w:tcPr>
          <w:p>
            <w:pPr>
              <w:spacing w:after="0" w:line="240" w:lineRule="auto"/>
            </w:pPr>
            <w:r>
              <w:rPr>
                <w:rFonts w:ascii="Microsoft YaHei" w:hAnsi="Microsoft YaHei" w:eastAsia="Microsoft YaHei"/>
                <w:b w:val="0"/>
                <w:color w:val="19212A"/>
                <w:sz w:val="10"/>
              </w:rPr>
              <w:t>2,229-2,287</w:t>
            </w:r>
          </w:p>
        </w:tc>
        <w:tc>
          <w:tcPr>
            <w:tcW w:type="dxa" w:w="969"/>
            <w:vAlign w:val="center"/>
            <w:shd w:fill="EAF2F8"/>
          </w:tcPr>
          <w:p>
            <w:pPr>
              <w:spacing w:after="0" w:line="240" w:lineRule="auto"/>
            </w:pPr>
            <w:r>
              <w:rPr>
                <w:rFonts w:ascii="Microsoft YaHei" w:hAnsi="Microsoft YaHei" w:eastAsia="Microsoft YaHei"/>
                <w:b w:val="0"/>
                <w:color w:val="19212A"/>
                <w:sz w:val="10"/>
              </w:rPr>
              <w:t>2,330-2,345</w:t>
            </w:r>
          </w:p>
        </w:tc>
        <w:tc>
          <w:tcPr>
            <w:tcW w:type="dxa" w:w="969"/>
            <w:vAlign w:val="center"/>
            <w:shd w:fill="EAF2F8"/>
          </w:tcPr>
          <w:p>
            <w:pPr>
              <w:spacing w:after="0" w:line="240" w:lineRule="auto"/>
            </w:pPr>
            <w:r>
              <w:rPr>
                <w:rFonts w:ascii="Microsoft YaHei" w:hAnsi="Microsoft YaHei" w:eastAsia="Microsoft YaHei"/>
                <w:b w:val="0"/>
                <w:color w:val="19212A"/>
                <w:sz w:val="10"/>
              </w:rPr>
              <w:t>60.6% / 19.6% / 19.8%</w:t>
            </w:r>
          </w:p>
        </w:tc>
        <w:tc>
          <w:tcPr>
            <w:tcW w:type="dxa" w:w="969"/>
            <w:vAlign w:val="center"/>
            <w:shd w:fill="EAF2F8"/>
          </w:tcPr>
          <w:p>
            <w:pPr>
              <w:spacing w:after="0" w:line="240" w:lineRule="auto"/>
            </w:pPr>
            <w:r>
              <w:rPr>
                <w:rFonts w:ascii="Microsoft YaHei" w:hAnsi="Microsoft YaHei" w:eastAsia="Microsoft YaHei"/>
                <w:b w:val="0"/>
                <w:color w:val="19212A"/>
                <w:sz w:val="10"/>
              </w:rPr>
              <w:t>5.3%</w:t>
            </w:r>
          </w:p>
        </w:tc>
        <w:tc>
          <w:tcPr>
            <w:tcW w:type="dxa" w:w="969"/>
            <w:vAlign w:val="center"/>
            <w:shd w:fill="EAF2F8"/>
          </w:tcPr>
          <w:p>
            <w:pPr>
              <w:spacing w:after="0" w:line="240" w:lineRule="auto"/>
            </w:pPr>
            <w:r>
              <w:rPr>
                <w:rFonts w:ascii="Microsoft YaHei" w:hAnsi="Microsoft YaHei" w:eastAsia="Microsoft YaHei"/>
                <w:b w:val="0"/>
                <w:color w:val="19212A"/>
                <w:sz w:val="10"/>
              </w:rPr>
              <w:t>24.5</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2,329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2,242-2,408</w:t>
            </w:r>
          </w:p>
        </w:tc>
        <w:tc>
          <w:tcPr>
            <w:tcW w:type="dxa" w:w="969"/>
            <w:vAlign w:val="center"/>
          </w:tcPr>
          <w:p>
            <w:pPr>
              <w:spacing w:after="0" w:line="240" w:lineRule="auto"/>
            </w:pPr>
            <w:r>
              <w:rPr>
                <w:rFonts w:ascii="Microsoft YaHei" w:hAnsi="Microsoft YaHei" w:eastAsia="Microsoft YaHei"/>
                <w:b w:val="0"/>
                <w:color w:val="19212A"/>
                <w:sz w:val="10"/>
              </w:rPr>
              <w:t>2,206-2,223</w:t>
            </w:r>
          </w:p>
        </w:tc>
        <w:tc>
          <w:tcPr>
            <w:tcW w:type="dxa" w:w="969"/>
            <w:vAlign w:val="center"/>
          </w:tcPr>
          <w:p>
            <w:pPr>
              <w:spacing w:after="0" w:line="240" w:lineRule="auto"/>
            </w:pPr>
            <w:r>
              <w:rPr>
                <w:rFonts w:ascii="Microsoft YaHei" w:hAnsi="Microsoft YaHei" w:eastAsia="Microsoft YaHei"/>
                <w:b w:val="0"/>
                <w:color w:val="19212A"/>
                <w:sz w:val="10"/>
              </w:rPr>
              <w:t>2,330-2,351</w:t>
            </w:r>
          </w:p>
        </w:tc>
        <w:tc>
          <w:tcPr>
            <w:tcW w:type="dxa" w:w="969"/>
            <w:vAlign w:val="center"/>
          </w:tcPr>
          <w:p>
            <w:pPr>
              <w:spacing w:after="0" w:line="240" w:lineRule="auto"/>
            </w:pPr>
            <w:r>
              <w:rPr>
                <w:rFonts w:ascii="Microsoft YaHei" w:hAnsi="Microsoft YaHei" w:eastAsia="Microsoft YaHei"/>
                <w:b w:val="0"/>
                <w:color w:val="19212A"/>
                <w:sz w:val="10"/>
              </w:rPr>
              <w:t>62.3% / 37.1% / 0.6%</w:t>
            </w:r>
          </w:p>
        </w:tc>
        <w:tc>
          <w:tcPr>
            <w:tcW w:type="dxa" w:w="969"/>
            <w:vAlign w:val="center"/>
          </w:tcPr>
          <w:p>
            <w:pPr>
              <w:spacing w:after="0" w:line="240" w:lineRule="auto"/>
            </w:pPr>
            <w:r>
              <w:rPr>
                <w:rFonts w:ascii="Microsoft YaHei" w:hAnsi="Microsoft YaHei" w:eastAsia="Microsoft YaHei"/>
                <w:b w:val="0"/>
                <w:color w:val="19212A"/>
                <w:sz w:val="10"/>
              </w:rPr>
              <w:t>32.8%</w:t>
            </w:r>
          </w:p>
        </w:tc>
        <w:tc>
          <w:tcPr>
            <w:tcW w:type="dxa" w:w="969"/>
            <w:vAlign w:val="center"/>
          </w:tcPr>
          <w:p>
            <w:pPr>
              <w:spacing w:after="0" w:line="240" w:lineRule="auto"/>
            </w:pPr>
            <w:r>
              <w:rPr>
                <w:rFonts w:ascii="Microsoft YaHei" w:hAnsi="Microsoft YaHei" w:eastAsia="Microsoft YaHei"/>
                <w:b w:val="0"/>
                <w:color w:val="19212A"/>
                <w:sz w:val="10"/>
              </w:rPr>
              <w:t>17.8</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2,329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98.82-103.04</w:t>
            </w:r>
          </w:p>
        </w:tc>
        <w:tc>
          <w:tcPr>
            <w:tcW w:type="dxa" w:w="969"/>
            <w:vAlign w:val="center"/>
          </w:tcPr>
          <w:p>
            <w:pPr>
              <w:spacing w:after="0" w:line="240" w:lineRule="auto"/>
            </w:pPr>
            <w:r>
              <w:rPr>
                <w:rFonts w:ascii="Microsoft YaHei" w:hAnsi="Microsoft YaHei" w:eastAsia="Microsoft YaHei"/>
                <w:b w:val="0"/>
                <w:color w:val="19212A"/>
                <w:sz w:val="10"/>
              </w:rPr>
              <w:t>97.72-99.44</w:t>
            </w:r>
          </w:p>
        </w:tc>
        <w:tc>
          <w:tcPr>
            <w:tcW w:type="dxa" w:w="969"/>
            <w:vAlign w:val="center"/>
          </w:tcPr>
          <w:p>
            <w:pPr>
              <w:spacing w:after="0" w:line="240" w:lineRule="auto"/>
            </w:pPr>
            <w:r>
              <w:rPr>
                <w:rFonts w:ascii="Microsoft YaHei" w:hAnsi="Microsoft YaHei" w:eastAsia="Microsoft YaHei"/>
                <w:b w:val="0"/>
                <w:color w:val="19212A"/>
                <w:sz w:val="10"/>
              </w:rPr>
              <w:t>101.39-102.21</w:t>
            </w:r>
          </w:p>
        </w:tc>
        <w:tc>
          <w:tcPr>
            <w:tcW w:type="dxa" w:w="969"/>
            <w:vAlign w:val="center"/>
          </w:tcPr>
          <w:p>
            <w:pPr>
              <w:spacing w:after="0" w:line="240" w:lineRule="auto"/>
            </w:pPr>
            <w:r>
              <w:rPr>
                <w:rFonts w:ascii="Microsoft YaHei" w:hAnsi="Microsoft YaHei" w:eastAsia="Microsoft YaHei"/>
                <w:b w:val="0"/>
                <w:color w:val="19212A"/>
                <w:sz w:val="10"/>
              </w:rPr>
              <w:t>56.8% / 15.2% / 28.0%</w:t>
            </w:r>
          </w:p>
        </w:tc>
        <w:tc>
          <w:tcPr>
            <w:tcW w:type="dxa" w:w="969"/>
            <w:vAlign w:val="center"/>
          </w:tcPr>
          <w:p>
            <w:pPr>
              <w:spacing w:after="0" w:line="240" w:lineRule="auto"/>
            </w:pPr>
            <w:r>
              <w:rPr>
                <w:rFonts w:ascii="Microsoft YaHei" w:hAnsi="Microsoft YaHei" w:eastAsia="Microsoft YaHei"/>
                <w:b w:val="0"/>
                <w:color w:val="19212A"/>
                <w:sz w:val="10"/>
              </w:rPr>
              <w:t>8.7%</w:t>
            </w:r>
          </w:p>
        </w:tc>
        <w:tc>
          <w:tcPr>
            <w:tcW w:type="dxa" w:w="969"/>
            <w:vAlign w:val="center"/>
          </w:tcPr>
          <w:p>
            <w:pPr>
              <w:spacing w:after="0" w:line="240" w:lineRule="auto"/>
            </w:pPr>
            <w:r>
              <w:rPr>
                <w:rFonts w:ascii="Microsoft YaHei" w:hAnsi="Microsoft YaHei" w:eastAsia="Microsoft YaHei"/>
                <w:b w:val="0"/>
                <w:color w:val="19212A"/>
                <w:sz w:val="10"/>
              </w:rPr>
              <w:t>25.8</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101.03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HTF_TREND_DOWN + PULLBACK</w:t>
            </w:r>
          </w:p>
        </w:tc>
        <w:tc>
          <w:tcPr>
            <w:tcW w:type="dxa" w:w="969"/>
            <w:vAlign w:val="center"/>
            <w:shd w:fill="EAF2F8"/>
          </w:tcPr>
          <w:p>
            <w:pPr>
              <w:spacing w:after="0" w:line="240" w:lineRule="auto"/>
            </w:pPr>
            <w:r>
              <w:rPr>
                <w:rFonts w:ascii="Microsoft YaHei" w:hAnsi="Microsoft YaHei" w:eastAsia="Microsoft YaHei"/>
                <w:b w:val="0"/>
                <w:color w:val="19212A"/>
                <w:sz w:val="10"/>
              </w:rPr>
              <w:t>97.32-104.63</w:t>
            </w:r>
          </w:p>
        </w:tc>
        <w:tc>
          <w:tcPr>
            <w:tcW w:type="dxa" w:w="969"/>
            <w:vAlign w:val="center"/>
            <w:shd w:fill="EAF2F8"/>
          </w:tcPr>
          <w:p>
            <w:pPr>
              <w:spacing w:after="0" w:line="240" w:lineRule="auto"/>
            </w:pPr>
            <w:r>
              <w:rPr>
                <w:rFonts w:ascii="Microsoft YaHei" w:hAnsi="Microsoft YaHei" w:eastAsia="Microsoft YaHei"/>
                <w:b w:val="0"/>
                <w:color w:val="19212A"/>
                <w:sz w:val="10"/>
              </w:rPr>
              <w:t>95.47-96.63</w:t>
            </w:r>
          </w:p>
        </w:tc>
        <w:tc>
          <w:tcPr>
            <w:tcW w:type="dxa" w:w="969"/>
            <w:vAlign w:val="center"/>
            <w:shd w:fill="EAF2F8"/>
          </w:tcPr>
          <w:p>
            <w:pPr>
              <w:spacing w:after="0" w:line="240" w:lineRule="auto"/>
            </w:pPr>
            <w:r>
              <w:rPr>
                <w:rFonts w:ascii="Microsoft YaHei" w:hAnsi="Microsoft YaHei" w:eastAsia="Microsoft YaHei"/>
                <w:b w:val="0"/>
                <w:color w:val="19212A"/>
                <w:sz w:val="10"/>
              </w:rPr>
              <w:t>101.40-102.27</w:t>
            </w:r>
          </w:p>
        </w:tc>
        <w:tc>
          <w:tcPr>
            <w:tcW w:type="dxa" w:w="969"/>
            <w:vAlign w:val="center"/>
            <w:shd w:fill="EAF2F8"/>
          </w:tcPr>
          <w:p>
            <w:pPr>
              <w:spacing w:after="0" w:line="240" w:lineRule="auto"/>
            </w:pPr>
            <w:r>
              <w:rPr>
                <w:rFonts w:ascii="Microsoft YaHei" w:hAnsi="Microsoft YaHei" w:eastAsia="Microsoft YaHei"/>
                <w:b w:val="0"/>
                <w:color w:val="19212A"/>
                <w:sz w:val="10"/>
              </w:rPr>
              <w:t>64.4% / 34.8% / 0.9%</w:t>
            </w:r>
          </w:p>
        </w:tc>
        <w:tc>
          <w:tcPr>
            <w:tcW w:type="dxa" w:w="969"/>
            <w:vAlign w:val="center"/>
            <w:shd w:fill="EAF2F8"/>
          </w:tcPr>
          <w:p>
            <w:pPr>
              <w:spacing w:after="0" w:line="240" w:lineRule="auto"/>
            </w:pPr>
            <w:r>
              <w:rPr>
                <w:rFonts w:ascii="Microsoft YaHei" w:hAnsi="Microsoft YaHei" w:eastAsia="Microsoft YaHei"/>
                <w:b w:val="0"/>
                <w:color w:val="19212A"/>
                <w:sz w:val="10"/>
              </w:rPr>
              <w:t>20.0%</w:t>
            </w:r>
          </w:p>
        </w:tc>
        <w:tc>
          <w:tcPr>
            <w:tcW w:type="dxa" w:w="969"/>
            <w:vAlign w:val="center"/>
            <w:shd w:fill="EAF2F8"/>
          </w:tcPr>
          <w:p>
            <w:pPr>
              <w:spacing w:after="0" w:line="240" w:lineRule="auto"/>
            </w:pPr>
            <w:r>
              <w:rPr>
                <w:rFonts w:ascii="Microsoft YaHei" w:hAnsi="Microsoft YaHei" w:eastAsia="Microsoft YaHei"/>
                <w:b w:val="0"/>
                <w:color w:val="19212A"/>
                <w:sz w:val="10"/>
              </w:rPr>
              <w:t>17.9</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101.03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HTF_TREND_DOWN + PULLBACK</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80,244，独立使用自身的24h/72h/7d区间；ETH 当前 2,329，独立使用自身的24h/72h/7d区间；SOL 当前 101.03，独立使用自身的24h/72h/7d区间。BTC今天仍要等BTC 下沿是否扫过 VAL 79,973 后收回形成 HL，以及上沿 81,532-81,712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79,973 / POC 80,503 / VAH 81,632</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处于 VAL 79,973 与 POC 80,503 之间、位于价值区下半部不追单；下沿多头本轮无合格预案；上沿等S2c 趋势回踩空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VAL 2,304 / POC 2,309 / VAH 2,370</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PULLBACK</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100.30 / POC 100.45 / VAH 102.59</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+1.06%；DOGE +1.01%；AVAX +0.23%</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80,503 是最近五天成交最密集的价格，可理解为短期筹码最拥挤的‘价格磁铁’；VAL 79,973 是正常震荡区下沿，VAH 81,632 是正常震荡区上沿。BTC 当前处于 VAL 79,973 与 POC 80,503 之间、位于价值区下半部，仍未进入执行带，不是自动做多或做空；下沿多头本轮取消、只等上沿冲高失败。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79,973后快速收回，卖压减弱并形成HL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S1 流动性扫单反转多已扫描；本轮TP1净R:R不足，INVALID，不执行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S2c 趋势回踩空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HTF_TREND_DOWN + PULLBACK，S5不作为主执行；上沿路径按 S2c 趋势回踩空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VAL 79,973 与 POC 80,503 之间、位于价值区下半部，不能把反弹强度当成追多信号。下沿多头本轮因R:R不足不执行，空头只等上沿 81,532-81,712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S2c 趋势回踩空；下沿多头 INVALID</w:t>
            </w:r>
          </w:p>
        </w:tc>
        <w:tc>
          <w:tcPr>
            <w:tcW w:type="dxa" w:w="710"/>
            <w:vAlign w:val="center"/>
          </w:tcPr>
          <w:p>
            <w:pPr>
              <w:spacing w:after="0" w:line="240" w:lineRule="auto"/>
            </w:pPr>
            <w:r>
              <w:rPr>
                <w:rFonts w:ascii="Microsoft YaHei" w:hAnsi="Microsoft YaHei" w:eastAsia="Microsoft YaHei"/>
                <w:b w:val="0"/>
                <w:color w:val="19212A"/>
                <w:sz w:val="11"/>
              </w:rPr>
              <w:t>HTF_TREND_DOWN + PULLBACK</w:t>
            </w:r>
          </w:p>
        </w:tc>
        <w:tc>
          <w:tcPr>
            <w:tcW w:type="dxa" w:w="710"/>
            <w:vAlign w:val="center"/>
          </w:tcPr>
          <w:p>
            <w:pPr>
              <w:spacing w:after="0" w:line="240" w:lineRule="auto"/>
            </w:pPr>
            <w:r>
              <w:rPr>
                <w:rFonts w:ascii="Microsoft YaHei" w:hAnsi="Microsoft YaHei" w:eastAsia="Microsoft YaHei"/>
                <w:b w:val="0"/>
                <w:color w:val="19212A"/>
                <w:sz w:val="11"/>
              </w:rPr>
              <w:t>现价处于 VAL 79,973 与 POC 80,503 之间、位于价值区下半部；只有上沿空头通过R:R闸门，现价不在执行区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81,632 后跌回；多：本轮取消；现价 80,244</w:t>
            </w:r>
          </w:p>
        </w:tc>
        <w:tc>
          <w:tcPr>
            <w:tcW w:type="dxa" w:w="710"/>
            <w:vAlign w:val="center"/>
          </w:tcPr>
          <w:p>
            <w:pPr>
              <w:spacing w:after="0" w:line="240" w:lineRule="auto"/>
            </w:pPr>
            <w:r>
              <w:rPr>
                <w:rFonts w:ascii="Microsoft YaHei" w:hAnsi="Microsoft YaHei" w:eastAsia="Microsoft YaHei"/>
                <w:b w:val="0"/>
                <w:color w:val="19212A"/>
                <w:sz w:val="11"/>
              </w:rPr>
              <w:t>空 81,652</w:t>
            </w:r>
          </w:p>
        </w:tc>
        <w:tc>
          <w:tcPr>
            <w:tcW w:type="dxa" w:w="710"/>
            <w:vAlign w:val="center"/>
          </w:tcPr>
          <w:p>
            <w:pPr>
              <w:spacing w:after="0" w:line="240" w:lineRule="auto"/>
            </w:pPr>
            <w:r>
              <w:rPr>
                <w:rFonts w:ascii="Microsoft YaHei" w:hAnsi="Microsoft YaHei" w:eastAsia="Microsoft YaHei"/>
                <w:b w:val="0"/>
                <w:color w:val="19212A"/>
                <w:sz w:val="11"/>
              </w:rPr>
              <w:t>空 81,712</w:t>
            </w:r>
          </w:p>
        </w:tc>
        <w:tc>
          <w:tcPr>
            <w:tcW w:type="dxa" w:w="710"/>
            <w:vAlign w:val="center"/>
          </w:tcPr>
          <w:p>
            <w:pPr>
              <w:spacing w:after="0" w:line="240" w:lineRule="auto"/>
            </w:pPr>
            <w:r>
              <w:rPr>
                <w:rFonts w:ascii="Microsoft YaHei" w:hAnsi="Microsoft YaHei" w:eastAsia="Microsoft YaHei"/>
                <w:b w:val="0"/>
                <w:color w:val="19212A"/>
                <w:sz w:val="11"/>
              </w:rPr>
              <w:t>空 82,132</w:t>
            </w:r>
          </w:p>
        </w:tc>
        <w:tc>
          <w:tcPr>
            <w:tcW w:type="dxa" w:w="710"/>
            <w:vAlign w:val="center"/>
          </w:tcPr>
          <w:p>
            <w:pPr>
              <w:spacing w:after="0" w:line="240" w:lineRule="auto"/>
            </w:pPr>
            <w:r>
              <w:rPr>
                <w:rFonts w:ascii="Microsoft YaHei" w:hAnsi="Microsoft YaHei" w:eastAsia="Microsoft YaHei"/>
                <w:b w:val="0"/>
                <w:color w:val="19212A"/>
                <w:sz w:val="11"/>
              </w:rPr>
              <w:t>空看 POC 80,503</w:t>
            </w:r>
          </w:p>
        </w:tc>
        <w:tc>
          <w:tcPr>
            <w:tcW w:type="dxa" w:w="710"/>
            <w:vAlign w:val="center"/>
          </w:tcPr>
          <w:p>
            <w:pPr>
              <w:spacing w:after="0" w:line="240" w:lineRule="auto"/>
            </w:pPr>
            <w:r>
              <w:rPr>
                <w:rFonts w:ascii="Microsoft YaHei" w:hAnsi="Microsoft YaHei" w:eastAsia="Microsoft YaHei"/>
                <w:b w:val="0"/>
                <w:color w:val="19212A"/>
                <w:sz w:val="11"/>
              </w:rPr>
              <w:t>空看 VAL 79,973</w:t>
            </w:r>
          </w:p>
        </w:tc>
        <w:tc>
          <w:tcPr>
            <w:tcW w:type="dxa" w:w="710"/>
            <w:vAlign w:val="center"/>
          </w:tcPr>
          <w:p>
            <w:pPr>
              <w:spacing w:after="0" w:line="240" w:lineRule="auto"/>
            </w:pPr>
            <w:r>
              <w:rPr>
                <w:rFonts w:ascii="Microsoft YaHei" w:hAnsi="Microsoft YaHei" w:eastAsia="Microsoft YaHei"/>
                <w:b w:val="0"/>
                <w:color w:val="19212A"/>
                <w:sz w:val="11"/>
              </w:rPr>
              <w:t>空 1:2.76</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81,532-81,712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S1/S2c</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S2c 趋势回踩空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S2c</w:t>
            </w:r>
          </w:p>
        </w:tc>
        <w:tc>
          <w:tcPr>
            <w:tcW w:type="dxa" w:w="888"/>
            <w:vAlign w:val="center"/>
          </w:tcPr>
          <w:p>
            <w:pPr>
              <w:spacing w:after="0" w:line="240" w:lineRule="auto"/>
            </w:pPr>
            <w:r>
              <w:rPr>
                <w:rFonts w:ascii="Microsoft YaHei" w:hAnsi="Microsoft YaHei" w:eastAsia="Microsoft YaHei"/>
                <w:b w:val="0"/>
                <w:color w:val="19212A"/>
                <w:sz w:val="13"/>
              </w:rPr>
              <w:t>HTF_TREND_DOWN + PULLBACK</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S2c_TREND_PULLBACK</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0.51%</w:t>
            </w:r>
          </w:p>
        </w:tc>
        <w:tc>
          <w:tcPr>
            <w:tcW w:type="dxa" w:w="1332"/>
            <w:vAlign w:val="center"/>
          </w:tcPr>
          <w:p>
            <w:pPr>
              <w:spacing w:after="0" w:line="240" w:lineRule="auto"/>
            </w:pPr>
            <w:r>
              <w:rPr>
                <w:rFonts w:ascii="Microsoft YaHei" w:hAnsi="Microsoft YaHei" w:eastAsia="Microsoft YaHei"/>
                <w:b w:val="0"/>
                <w:color w:val="19212A"/>
                <w:sz w:val="13"/>
              </w:rPr>
              <w:t>19.5%</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9.7%-19.5%</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S2c 趋势回踩空；下沿多头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79,973 / POC 80,503 / VAH 81,632，仅上沿空头保留；下沿多头被R:R闸门淘汰，现价不在执行区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79,973、POC 80,503、VAH 81,632，当前 Regime 为 HTF_TREND_DOWN + PULLBACK，价格处于 VAL 79,973 与 POC 80,503 之间、位于价值区下半部；仅上沿空头通过闸门，下沿多头因第一目标净R:R不足淘汰，现价不在执行区。这是按新快照和新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80,243.80 / +0.16%</w:t>
            </w:r>
          </w:p>
        </w:tc>
        <w:tc>
          <w:tcPr>
            <w:tcW w:type="dxa" w:w="1776"/>
            <w:vAlign w:val="center"/>
          </w:tcPr>
          <w:p>
            <w:pPr>
              <w:spacing w:after="0" w:line="240" w:lineRule="auto"/>
            </w:pPr>
            <w:r>
              <w:rPr>
                <w:rFonts w:ascii="Microsoft YaHei" w:hAnsi="Microsoft YaHei" w:eastAsia="Microsoft YaHei"/>
                <w:b w:val="0"/>
                <w:color w:val="19212A"/>
                <w:sz w:val="14"/>
              </w:rPr>
              <w:t>79,972.59 / 80,502.77 / 81,632.29</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$2.56bn / +0.00%</w:t>
            </w:r>
          </w:p>
        </w:tc>
        <w:tc>
          <w:tcPr>
            <w:tcW w:type="dxa" w:w="1776"/>
            <w:vAlign w:val="center"/>
          </w:tcPr>
          <w:p>
            <w:pPr>
              <w:spacing w:after="0" w:line="240" w:lineRule="auto"/>
            </w:pPr>
            <w:r>
              <w:rPr>
                <w:rFonts w:ascii="Microsoft YaHei" w:hAnsi="Microsoft YaHei" w:eastAsia="Microsoft YaHei"/>
                <w:b w:val="0"/>
                <w:color w:val="19212A"/>
                <w:sz w:val="14"/>
              </w:rPr>
              <w:t>3.605 / 3.605 / 3.605</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2,329.00 / -0.08%</w:t>
            </w:r>
          </w:p>
        </w:tc>
        <w:tc>
          <w:tcPr>
            <w:tcW w:type="dxa" w:w="1776"/>
            <w:vAlign w:val="center"/>
            <w:shd w:fill="EAF2F8"/>
          </w:tcPr>
          <w:p>
            <w:pPr>
              <w:spacing w:after="0" w:line="240" w:lineRule="auto"/>
            </w:pPr>
            <w:r>
              <w:rPr>
                <w:rFonts w:ascii="Microsoft YaHei" w:hAnsi="Microsoft YaHei" w:eastAsia="Microsoft YaHei"/>
                <w:b w:val="0"/>
                <w:color w:val="19212A"/>
                <w:sz w:val="14"/>
              </w:rPr>
              <w:t>2,303.89 / 2,309.23 / 2,370.05</w:t>
            </w:r>
          </w:p>
        </w:tc>
        <w:tc>
          <w:tcPr>
            <w:tcW w:type="dxa" w:w="1776"/>
            <w:vAlign w:val="center"/>
            <w:shd w:fill="EAF2F8"/>
          </w:tcPr>
          <w:p>
            <w:pPr>
              <w:spacing w:after="0" w:line="240" w:lineRule="auto"/>
            </w:pPr>
            <w:r>
              <w:rPr>
                <w:rFonts w:ascii="Microsoft YaHei" w:hAnsi="Microsoft YaHei" w:eastAsia="Microsoft YaHei"/>
                <w:b w:val="0"/>
                <w:color w:val="19212A"/>
                <w:sz w:val="14"/>
              </w:rPr>
              <w:t>+0.0100%</w:t>
            </w:r>
          </w:p>
        </w:tc>
        <w:tc>
          <w:tcPr>
            <w:tcW w:type="dxa" w:w="1776"/>
            <w:vAlign w:val="center"/>
            <w:shd w:fill="EAF2F8"/>
          </w:tcPr>
          <w:p>
            <w:pPr>
              <w:spacing w:after="0" w:line="240" w:lineRule="auto"/>
            </w:pPr>
            <w:r>
              <w:rPr>
                <w:rFonts w:ascii="Microsoft YaHei" w:hAnsi="Microsoft YaHei" w:eastAsia="Microsoft YaHei"/>
                <w:b w:val="0"/>
                <w:color w:val="19212A"/>
                <w:sz w:val="14"/>
              </w:rPr>
              <w:t>$1.46bn / +0.00%</w:t>
            </w:r>
          </w:p>
        </w:tc>
        <w:tc>
          <w:tcPr>
            <w:tcW w:type="dxa" w:w="1776"/>
            <w:vAlign w:val="center"/>
            <w:shd w:fill="EAF2F8"/>
          </w:tcPr>
          <w:p>
            <w:pPr>
              <w:spacing w:after="0" w:line="240" w:lineRule="auto"/>
            </w:pPr>
            <w:r>
              <w:rPr>
                <w:rFonts w:ascii="Microsoft YaHei" w:hAnsi="Microsoft YaHei" w:eastAsia="Microsoft YaHei"/>
                <w:b w:val="0"/>
                <w:color w:val="19212A"/>
                <w:sz w:val="14"/>
              </w:rPr>
              <w:t>1.540 / 1.540 / 1.540</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101.03 / -0.43%</w:t>
            </w:r>
          </w:p>
        </w:tc>
        <w:tc>
          <w:tcPr>
            <w:tcW w:type="dxa" w:w="1776"/>
            <w:vAlign w:val="center"/>
          </w:tcPr>
          <w:p>
            <w:pPr>
              <w:spacing w:after="0" w:line="240" w:lineRule="auto"/>
            </w:pPr>
            <w:r>
              <w:rPr>
                <w:rFonts w:ascii="Microsoft YaHei" w:hAnsi="Microsoft YaHei" w:eastAsia="Microsoft YaHei"/>
                <w:b w:val="0"/>
                <w:color w:val="19212A"/>
                <w:sz w:val="14"/>
              </w:rPr>
              <w:t>100.30 / 100.45 / 102.59</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1.614 / 1.614 / 1.614</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3.605，下沿多头本轮不执行，上沿空头要等冲高失败形成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7,676.77</w:t>
            </w:r>
          </w:p>
        </w:tc>
        <w:tc>
          <w:tcPr>
            <w:tcW w:type="dxa" w:w="2664"/>
            <w:vAlign w:val="center"/>
            <w:shd w:fill="EAF2F8"/>
          </w:tcPr>
          <w:p>
            <w:pPr>
              <w:spacing w:after="0" w:line="240" w:lineRule="auto"/>
            </w:pPr>
            <w:r>
              <w:rPr>
                <w:rFonts w:ascii="Microsoft YaHei" w:hAnsi="Microsoft YaHei" w:eastAsia="Microsoft YaHei"/>
                <w:b w:val="0"/>
                <w:color w:val="19212A"/>
                <w:sz w:val="14"/>
              </w:rPr>
              <w:t>+0.70%</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26,169.38</w:t>
            </w:r>
          </w:p>
        </w:tc>
        <w:tc>
          <w:tcPr>
            <w:tcW w:type="dxa" w:w="2664"/>
            <w:vAlign w:val="center"/>
          </w:tcPr>
          <w:p>
            <w:pPr>
              <w:spacing w:after="0" w:line="240" w:lineRule="auto"/>
            </w:pPr>
            <w:r>
              <w:rPr>
                <w:rFonts w:ascii="Microsoft YaHei" w:hAnsi="Microsoft YaHei" w:eastAsia="Microsoft YaHei"/>
                <w:b w:val="0"/>
                <w:color w:val="19212A"/>
                <w:sz w:val="14"/>
              </w:rPr>
              <w:t>+0.82%</w:t>
            </w:r>
          </w:p>
        </w:tc>
        <w:tc>
          <w:tcPr>
            <w:tcW w:type="dxa" w:w="2664"/>
            <w:vAlign w:val="center"/>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102.01</w:t>
            </w:r>
          </w:p>
        </w:tc>
        <w:tc>
          <w:tcPr>
            <w:tcW w:type="dxa" w:w="2664"/>
            <w:vAlign w:val="center"/>
            <w:shd w:fill="EAF2F8"/>
          </w:tcPr>
          <w:p>
            <w:pPr>
              <w:spacing w:after="0" w:line="240" w:lineRule="auto"/>
            </w:pPr>
            <w:r>
              <w:rPr>
                <w:rFonts w:ascii="Microsoft YaHei" w:hAnsi="Microsoft YaHei" w:eastAsia="Microsoft YaHei"/>
                <w:b w:val="0"/>
                <w:color w:val="19212A"/>
                <w:sz w:val="14"/>
              </w:rPr>
              <w:t>+0.19%</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4.99</w:t>
            </w:r>
          </w:p>
        </w:tc>
        <w:tc>
          <w:tcPr>
            <w:tcW w:type="dxa" w:w="2664"/>
            <w:vAlign w:val="center"/>
          </w:tcPr>
          <w:p>
            <w:pPr>
              <w:spacing w:after="0" w:line="240" w:lineRule="auto"/>
            </w:pPr>
            <w:r>
              <w:rPr>
                <w:rFonts w:ascii="Microsoft YaHei" w:hAnsi="Microsoft YaHei" w:eastAsia="Microsoft YaHei"/>
                <w:b w:val="0"/>
                <w:color w:val="19212A"/>
                <w:sz w:val="14"/>
              </w:rPr>
              <w:t>-0.04%</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4,029.40</w:t>
            </w:r>
          </w:p>
        </w:tc>
        <w:tc>
          <w:tcPr>
            <w:tcW w:type="dxa" w:w="2664"/>
            <w:vAlign w:val="center"/>
            <w:shd w:fill="EAF2F8"/>
          </w:tcPr>
          <w:p>
            <w:pPr>
              <w:spacing w:after="0" w:line="240" w:lineRule="auto"/>
            </w:pPr>
            <w:r>
              <w:rPr>
                <w:rFonts w:ascii="Microsoft YaHei" w:hAnsi="Microsoft YaHei" w:eastAsia="Microsoft YaHei"/>
                <w:b w:val="0"/>
                <w:color w:val="19212A"/>
                <w:sz w:val="14"/>
              </w:rPr>
              <w:t>+0.54%</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101.34</w:t>
            </w:r>
          </w:p>
        </w:tc>
        <w:tc>
          <w:tcPr>
            <w:tcW w:type="dxa" w:w="2664"/>
            <w:vAlign w:val="center"/>
          </w:tcPr>
          <w:p>
            <w:pPr>
              <w:spacing w:after="0" w:line="240" w:lineRule="auto"/>
            </w:pPr>
            <w:r>
              <w:rPr>
                <w:rFonts w:ascii="Microsoft YaHei" w:hAnsi="Microsoft YaHei" w:eastAsia="Microsoft YaHei"/>
                <w:b w:val="0"/>
                <w:color w:val="19212A"/>
                <w:sz w:val="14"/>
              </w:rPr>
              <w:t>-1.87%</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+0.70%、纳指 +0.82%，风险偏好偏弱；DXY +0.19%、10年期收益率 -0.04%，美元与利率仍有压制，黄金 +0.54% 则保留避险/通胀对冲需求。宏观没有给出可以覆盖技术结构的单边优势，因此不在 BTC 处于 VAL 79,973 与 POC 80,503 之间、位于价值区下半部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$302.8bn，提供中期流动性底座，但不能证明今天正在主动买币。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159s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83.6%</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142s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64.8%</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248s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88.1%</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$7.66m</w:t>
            </w:r>
          </w:p>
        </w:tc>
        <w:tc>
          <w:tcPr>
            <w:tcW w:type="dxa" w:w="2131"/>
            <w:vAlign w:val="center"/>
          </w:tcPr>
          <w:p>
            <w:pPr>
              <w:spacing w:after="0" w:line="240" w:lineRule="auto"/>
            </w:pPr>
            <w:r>
              <w:rPr>
                <w:rFonts w:ascii="Microsoft YaHei" w:hAnsi="Microsoft YaHei" w:eastAsia="Microsoft YaHei"/>
                <w:b w:val="0"/>
                <w:color w:val="19212A"/>
                <w:sz w:val="14"/>
              </w:rPr>
              <w:t>$4.90m</w:t>
            </w:r>
          </w:p>
        </w:tc>
        <w:tc>
          <w:tcPr>
            <w:tcW w:type="dxa" w:w="2131"/>
            <w:vAlign w:val="center"/>
          </w:tcPr>
          <w:p>
            <w:pPr>
              <w:spacing w:after="0" w:line="240" w:lineRule="auto"/>
            </w:pPr>
            <w:r>
              <w:rPr>
                <w:rFonts w:ascii="Microsoft YaHei" w:hAnsi="Microsoft YaHei" w:eastAsia="Microsoft YaHei"/>
                <w:b w:val="0"/>
                <w:color w:val="19212A"/>
                <w:sz w:val="14"/>
              </w:rPr>
              <w:t>+22.0%</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$5.47m</w:t>
            </w:r>
          </w:p>
        </w:tc>
        <w:tc>
          <w:tcPr>
            <w:tcW w:type="dxa" w:w="2131"/>
            <w:vAlign w:val="center"/>
            <w:shd w:fill="EAF2F8"/>
          </w:tcPr>
          <w:p>
            <w:pPr>
              <w:spacing w:after="0" w:line="240" w:lineRule="auto"/>
            </w:pPr>
            <w:r>
              <w:rPr>
                <w:rFonts w:ascii="Microsoft YaHei" w:hAnsi="Microsoft YaHei" w:eastAsia="Microsoft YaHei"/>
                <w:b w:val="0"/>
                <w:color w:val="19212A"/>
                <w:sz w:val="14"/>
              </w:rPr>
              <w:t>$4.55m</w:t>
            </w:r>
          </w:p>
        </w:tc>
        <w:tc>
          <w:tcPr>
            <w:tcW w:type="dxa" w:w="2131"/>
            <w:vAlign w:val="center"/>
            <w:shd w:fill="EAF2F8"/>
          </w:tcPr>
          <w:p>
            <w:pPr>
              <w:spacing w:after="0" w:line="240" w:lineRule="auto"/>
            </w:pPr>
            <w:r>
              <w:rPr>
                <w:rFonts w:ascii="Microsoft YaHei" w:hAnsi="Microsoft YaHei" w:eastAsia="Microsoft YaHei"/>
                <w:b w:val="0"/>
                <w:color w:val="19212A"/>
                <w:sz w:val="14"/>
              </w:rPr>
              <w:t>+9.2%</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$1.51m</w:t>
            </w:r>
          </w:p>
        </w:tc>
        <w:tc>
          <w:tcPr>
            <w:tcW w:type="dxa" w:w="2131"/>
            <w:vAlign w:val="center"/>
          </w:tcPr>
          <w:p>
            <w:pPr>
              <w:spacing w:after="0" w:line="240" w:lineRule="auto"/>
            </w:pPr>
            <w:r>
              <w:rPr>
                <w:rFonts w:ascii="Microsoft YaHei" w:hAnsi="Microsoft YaHei" w:eastAsia="Microsoft YaHei"/>
                <w:b w:val="0"/>
                <w:color w:val="19212A"/>
                <w:sz w:val="14"/>
              </w:rPr>
              <w:t>$2.11m</w:t>
            </w:r>
          </w:p>
        </w:tc>
        <w:tc>
          <w:tcPr>
            <w:tcW w:type="dxa" w:w="2131"/>
            <w:vAlign w:val="center"/>
          </w:tcPr>
          <w:p>
            <w:pPr>
              <w:spacing w:after="0" w:line="240" w:lineRule="auto"/>
            </w:pPr>
            <w:r>
              <w:rPr>
                <w:rFonts w:ascii="Microsoft YaHei" w:hAnsi="Microsoft YaHei" w:eastAsia="Microsoft YaHei"/>
                <w:b w:val="0"/>
                <w:color w:val="19212A"/>
                <w:sz w:val="14"/>
              </w:rPr>
              <w:t>-16.6%</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+0.16%</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$2.56bn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3.605/3.605/3.605</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-0.08%</w:t>
            </w:r>
          </w:p>
        </w:tc>
        <w:tc>
          <w:tcPr>
            <w:tcW w:type="dxa" w:w="1522"/>
            <w:vAlign w:val="center"/>
            <w:shd w:fill="EAF2F8"/>
          </w:tcPr>
          <w:p>
            <w:pPr>
              <w:spacing w:after="0" w:line="240" w:lineRule="auto"/>
            </w:pPr>
            <w:r>
              <w:rPr>
                <w:rFonts w:ascii="Microsoft YaHei" w:hAnsi="Microsoft YaHei" w:eastAsia="Microsoft YaHei"/>
                <w:b w:val="0"/>
                <w:color w:val="19212A"/>
                <w:sz w:val="13"/>
              </w:rPr>
              <w:t>+0.0100%</w:t>
            </w:r>
          </w:p>
        </w:tc>
        <w:tc>
          <w:tcPr>
            <w:tcW w:type="dxa" w:w="1522"/>
            <w:vAlign w:val="center"/>
            <w:shd w:fill="EAF2F8"/>
          </w:tcPr>
          <w:p>
            <w:pPr>
              <w:spacing w:after="0" w:line="240" w:lineRule="auto"/>
            </w:pPr>
            <w:r>
              <w:rPr>
                <w:rFonts w:ascii="Microsoft YaHei" w:hAnsi="Microsoft YaHei" w:eastAsia="Microsoft YaHei"/>
                <w:b w:val="0"/>
                <w:color w:val="19212A"/>
                <w:sz w:val="13"/>
              </w:rPr>
              <w:t>$1.46bn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1.540/1.540/1.540</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-0.43%</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1.614/1.614/1.614</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0.16%、OI 增加 0.00%，最近三小时 Taker 为 3.605、3.605、3.605：价格与OI同步增加更像反弹中的杠杆回补，但末端 Taker 尚未稳定站上1.10，不能直接当成趋势反转。ETH 24小时下跌 0.08%、OI 增加 0.00%；SOL 24小时下跌 0.43%、OI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1.05</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0.50</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0.51</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1.05；ETH 全期限 0.50、近月 0.51。本轮只取得期权持仓结构，没有稳定的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79,973</w:t>
            </w:r>
          </w:p>
        </w:tc>
        <w:tc>
          <w:tcPr>
            <w:tcW w:type="dxa" w:w="1522"/>
            <w:vAlign w:val="center"/>
          </w:tcPr>
          <w:p>
            <w:pPr>
              <w:spacing w:after="0" w:line="240" w:lineRule="auto"/>
            </w:pPr>
            <w:r>
              <w:rPr>
                <w:rFonts w:ascii="Microsoft YaHei" w:hAnsi="Microsoft YaHei" w:eastAsia="Microsoft YaHei"/>
                <w:b w:val="0"/>
                <w:color w:val="19212A"/>
                <w:sz w:val="12"/>
              </w:rPr>
              <w:t>80,503</w:t>
            </w:r>
          </w:p>
        </w:tc>
        <w:tc>
          <w:tcPr>
            <w:tcW w:type="dxa" w:w="1522"/>
            <w:vAlign w:val="center"/>
          </w:tcPr>
          <w:p>
            <w:pPr>
              <w:spacing w:after="0" w:line="240" w:lineRule="auto"/>
            </w:pPr>
            <w:r>
              <w:rPr>
                <w:rFonts w:ascii="Microsoft YaHei" w:hAnsi="Microsoft YaHei" w:eastAsia="Microsoft YaHei"/>
                <w:b w:val="0"/>
                <w:color w:val="19212A"/>
                <w:sz w:val="12"/>
              </w:rPr>
              <w:t>81,632</w:t>
            </w:r>
          </w:p>
        </w:tc>
        <w:tc>
          <w:tcPr>
            <w:tcW w:type="dxa" w:w="1522"/>
            <w:vAlign w:val="center"/>
          </w:tcPr>
          <w:p>
            <w:pPr>
              <w:spacing w:after="0" w:line="240" w:lineRule="auto"/>
            </w:pPr>
            <w:r>
              <w:rPr>
                <w:rFonts w:ascii="Microsoft YaHei" w:hAnsi="Microsoft YaHei" w:eastAsia="Microsoft YaHei"/>
                <w:b w:val="0"/>
                <w:color w:val="19212A"/>
                <w:sz w:val="12"/>
              </w:rPr>
              <w:t>79,973 / 79,473 / 79,973</w:t>
            </w:r>
          </w:p>
        </w:tc>
        <w:tc>
          <w:tcPr>
            <w:tcW w:type="dxa" w:w="1522"/>
            <w:vAlign w:val="center"/>
          </w:tcPr>
          <w:p>
            <w:pPr>
              <w:spacing w:after="0" w:line="240" w:lineRule="auto"/>
            </w:pPr>
            <w:r>
              <w:rPr>
                <w:rFonts w:ascii="Microsoft YaHei" w:hAnsi="Microsoft YaHei" w:eastAsia="Microsoft YaHei"/>
                <w:b w:val="0"/>
                <w:color w:val="19212A"/>
                <w:sz w:val="12"/>
              </w:rPr>
              <w:t>81,632 / 82,132 / 81,863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2,304</w:t>
            </w:r>
          </w:p>
        </w:tc>
        <w:tc>
          <w:tcPr>
            <w:tcW w:type="dxa" w:w="1522"/>
            <w:vAlign w:val="center"/>
            <w:shd w:fill="EAF2F8"/>
          </w:tcPr>
          <w:p>
            <w:pPr>
              <w:spacing w:after="0" w:line="240" w:lineRule="auto"/>
            </w:pPr>
            <w:r>
              <w:rPr>
                <w:rFonts w:ascii="Microsoft YaHei" w:hAnsi="Microsoft YaHei" w:eastAsia="Microsoft YaHei"/>
                <w:b w:val="0"/>
                <w:color w:val="19212A"/>
                <w:sz w:val="12"/>
              </w:rPr>
              <w:t>2,309</w:t>
            </w:r>
          </w:p>
        </w:tc>
        <w:tc>
          <w:tcPr>
            <w:tcW w:type="dxa" w:w="1522"/>
            <w:vAlign w:val="center"/>
            <w:shd w:fill="EAF2F8"/>
          </w:tcPr>
          <w:p>
            <w:pPr>
              <w:spacing w:after="0" w:line="240" w:lineRule="auto"/>
            </w:pPr>
            <w:r>
              <w:rPr>
                <w:rFonts w:ascii="Microsoft YaHei" w:hAnsi="Microsoft YaHei" w:eastAsia="Microsoft YaHei"/>
                <w:b w:val="0"/>
                <w:color w:val="19212A"/>
                <w:sz w:val="12"/>
              </w:rPr>
              <w:t>2,370</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100.30</w:t>
            </w:r>
          </w:p>
        </w:tc>
        <w:tc>
          <w:tcPr>
            <w:tcW w:type="dxa" w:w="1522"/>
            <w:vAlign w:val="center"/>
          </w:tcPr>
          <w:p>
            <w:pPr>
              <w:spacing w:after="0" w:line="240" w:lineRule="auto"/>
            </w:pPr>
            <w:r>
              <w:rPr>
                <w:rFonts w:ascii="Microsoft YaHei" w:hAnsi="Microsoft YaHei" w:eastAsia="Microsoft YaHei"/>
                <w:b w:val="0"/>
                <w:color w:val="19212A"/>
                <w:sz w:val="12"/>
              </w:rPr>
              <w:t>100.45</w:t>
            </w:r>
          </w:p>
        </w:tc>
        <w:tc>
          <w:tcPr>
            <w:tcW w:type="dxa" w:w="1522"/>
            <w:vAlign w:val="center"/>
          </w:tcPr>
          <w:p>
            <w:pPr>
              <w:spacing w:after="0" w:line="240" w:lineRule="auto"/>
            </w:pPr>
            <w:r>
              <w:rPr>
                <w:rFonts w:ascii="Microsoft YaHei" w:hAnsi="Microsoft YaHei" w:eastAsia="Microsoft YaHei"/>
                <w:b w:val="0"/>
                <w:color w:val="19212A"/>
                <w:sz w:val="12"/>
              </w:rPr>
              <w:t>102.59</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8.7833</w:t>
            </w:r>
          </w:p>
        </w:tc>
        <w:tc>
          <w:tcPr>
            <w:tcW w:type="dxa" w:w="1522"/>
            <w:vAlign w:val="center"/>
            <w:shd w:fill="EAF2F8"/>
          </w:tcPr>
          <w:p>
            <w:pPr>
              <w:spacing w:after="0" w:line="240" w:lineRule="auto"/>
            </w:pPr>
            <w:r>
              <w:rPr>
                <w:rFonts w:ascii="Microsoft YaHei" w:hAnsi="Microsoft YaHei" w:eastAsia="Microsoft YaHei"/>
                <w:b w:val="0"/>
                <w:color w:val="19212A"/>
                <w:sz w:val="12"/>
              </w:rPr>
              <w:t>8.9007</w:t>
            </w:r>
          </w:p>
        </w:tc>
        <w:tc>
          <w:tcPr>
            <w:tcW w:type="dxa" w:w="1522"/>
            <w:vAlign w:val="center"/>
            <w:shd w:fill="EAF2F8"/>
          </w:tcPr>
          <w:p>
            <w:pPr>
              <w:spacing w:after="0" w:line="240" w:lineRule="auto"/>
            </w:pPr>
            <w:r>
              <w:rPr>
                <w:rFonts w:ascii="Microsoft YaHei" w:hAnsi="Microsoft YaHei" w:eastAsia="Microsoft YaHei"/>
                <w:b w:val="0"/>
                <w:color w:val="19212A"/>
                <w:sz w:val="12"/>
              </w:rPr>
              <w:t>9.0962</w:t>
            </w:r>
          </w:p>
        </w:tc>
        <w:tc>
          <w:tcPr>
            <w:tcW w:type="dxa" w:w="1522"/>
            <w:vAlign w:val="center"/>
            <w:shd w:fill="EAF2F8"/>
          </w:tcPr>
          <w:p>
            <w:pPr>
              <w:spacing w:after="0" w:line="240" w:lineRule="auto"/>
            </w:pPr>
            <w:r>
              <w:rPr>
                <w:rFonts w:ascii="Microsoft YaHei" w:hAnsi="Microsoft YaHei" w:eastAsia="Microsoft YaHei"/>
                <w:b w:val="0"/>
                <w:color w:val="19212A"/>
                <w:sz w:val="12"/>
              </w:rPr>
              <w:t>8.7540 / 8.7833</w:t>
            </w:r>
          </w:p>
        </w:tc>
        <w:tc>
          <w:tcPr>
            <w:tcW w:type="dxa" w:w="1522"/>
            <w:vAlign w:val="center"/>
            <w:shd w:fill="EAF2F8"/>
          </w:tcPr>
          <w:p>
            <w:pPr>
              <w:spacing w:after="0" w:line="240" w:lineRule="auto"/>
            </w:pPr>
            <w:r>
              <w:rPr>
                <w:rFonts w:ascii="Microsoft YaHei" w:hAnsi="Microsoft YaHei" w:eastAsia="Microsoft YaHei"/>
                <w:b w:val="0"/>
                <w:color w:val="19212A"/>
                <w:sz w:val="12"/>
              </w:rPr>
              <w:t>9.0962 / 9.0560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1.2789</w:t>
            </w:r>
          </w:p>
        </w:tc>
        <w:tc>
          <w:tcPr>
            <w:tcW w:type="dxa" w:w="1522"/>
            <w:vAlign w:val="center"/>
          </w:tcPr>
          <w:p>
            <w:pPr>
              <w:spacing w:after="0" w:line="240" w:lineRule="auto"/>
            </w:pPr>
            <w:r>
              <w:rPr>
                <w:rFonts w:ascii="Microsoft YaHei" w:hAnsi="Microsoft YaHei" w:eastAsia="Microsoft YaHei"/>
                <w:b w:val="0"/>
                <w:color w:val="19212A"/>
                <w:sz w:val="12"/>
              </w:rPr>
              <w:t>1.2968</w:t>
            </w:r>
          </w:p>
        </w:tc>
        <w:tc>
          <w:tcPr>
            <w:tcW w:type="dxa" w:w="1522"/>
            <w:vAlign w:val="center"/>
          </w:tcPr>
          <w:p>
            <w:pPr>
              <w:spacing w:after="0" w:line="240" w:lineRule="auto"/>
            </w:pPr>
            <w:r>
              <w:rPr>
                <w:rFonts w:ascii="Microsoft YaHei" w:hAnsi="Microsoft YaHei" w:eastAsia="Microsoft YaHei"/>
                <w:b w:val="0"/>
                <w:color w:val="19212A"/>
                <w:sz w:val="12"/>
              </w:rPr>
              <w:t>1.3110</w:t>
            </w:r>
          </w:p>
        </w:tc>
        <w:tc>
          <w:tcPr>
            <w:tcW w:type="dxa" w:w="1522"/>
            <w:vAlign w:val="center"/>
          </w:tcPr>
          <w:p>
            <w:pPr>
              <w:spacing w:after="0" w:line="240" w:lineRule="auto"/>
            </w:pPr>
            <w:r>
              <w:rPr>
                <w:rFonts w:ascii="Microsoft YaHei" w:hAnsi="Microsoft YaHei" w:eastAsia="Microsoft YaHei"/>
                <w:b w:val="0"/>
                <w:color w:val="19212A"/>
                <w:sz w:val="12"/>
              </w:rPr>
              <w:t>1.2723 / 1.2789</w:t>
            </w:r>
          </w:p>
        </w:tc>
        <w:tc>
          <w:tcPr>
            <w:tcW w:type="dxa" w:w="1522"/>
            <w:vAlign w:val="center"/>
          </w:tcPr>
          <w:p>
            <w:pPr>
              <w:spacing w:after="0" w:line="240" w:lineRule="auto"/>
            </w:pPr>
            <w:r>
              <w:rPr>
                <w:rFonts w:ascii="Microsoft YaHei" w:hAnsi="Microsoft YaHei" w:eastAsia="Microsoft YaHei"/>
                <w:b w:val="0"/>
                <w:color w:val="19212A"/>
                <w:sz w:val="12"/>
              </w:rPr>
              <w:t>1.3110 / 1.3130</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79,973 与 VAH 81,632 之间、靠近 POC 80,503，说明价格在正常成交区中部，不自动等于多头或空头；下沿多头本轮未通过第一目标净R:R闸门，上沿 81,532-81,712 失败才有空头条件。AVAX 的 POC 约 8.9007、XRP 的 POC 约 1.2968，只代表这五天成交最密集处。真实全网清算热力图本轮未取得，图中上下方数字只是止损/流动性代理，不代表真实清算金额。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+0.16%</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-0.08%</w:t>
            </w:r>
          </w:p>
        </w:tc>
        <w:tc>
          <w:tcPr>
            <w:tcW w:type="dxa" w:w="2131"/>
            <w:vAlign w:val="center"/>
            <w:shd w:fill="EAF2F8"/>
          </w:tcPr>
          <w:p>
            <w:pPr>
              <w:spacing w:after="0" w:line="240" w:lineRule="auto"/>
            </w:pPr>
            <w:r>
              <w:rPr>
                <w:rFonts w:ascii="Microsoft YaHei" w:hAnsi="Microsoft YaHei" w:eastAsia="Microsoft YaHei"/>
                <w:b w:val="0"/>
                <w:color w:val="19212A"/>
                <w:sz w:val="14"/>
              </w:rPr>
              <w:t>ETH/BTC -0.13%</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-0.43% / +0.23% / +1.06%</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-0.51% / +1.06% / +1.01%</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+0.07pp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+0.23%；OI +0.00%；Funding +0.0100%；Taker 0.929</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+0.89pp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+1.06%；OI +0.00%；Funding +0.0080%；Taker 0.353</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+0.07pp</w:t>
            </w:r>
          </w:p>
        </w:tc>
        <w:tc>
          <w:tcPr>
            <w:tcW w:type="dxa" w:w="2664"/>
            <w:vAlign w:val="center"/>
          </w:tcPr>
          <w:p>
            <w:pPr>
              <w:spacing w:after="0" w:line="240" w:lineRule="auto"/>
            </w:pPr>
            <w:r>
              <w:rPr>
                <w:rFonts w:ascii="Microsoft YaHei" w:hAnsi="Microsoft YaHei" w:eastAsia="Microsoft YaHei"/>
                <w:b w:val="0"/>
                <w:color w:val="19212A"/>
                <w:sz w:val="14"/>
              </w:rPr>
              <w:t>+0.89pp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0.929</w:t>
            </w:r>
          </w:p>
        </w:tc>
        <w:tc>
          <w:tcPr>
            <w:tcW w:type="dxa" w:w="2664"/>
            <w:vAlign w:val="center"/>
          </w:tcPr>
          <w:p>
            <w:pPr>
              <w:spacing w:after="0" w:line="240" w:lineRule="auto"/>
            </w:pPr>
            <w:r>
              <w:rPr>
                <w:rFonts w:ascii="Microsoft YaHei" w:hAnsi="Microsoft YaHei" w:eastAsia="Microsoft YaHei"/>
                <w:b w:val="0"/>
                <w:color w:val="19212A"/>
                <w:sz w:val="14"/>
              </w:rPr>
              <w:t>OI +0.00%，Taker 0.353</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S1/S2c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conference（2026-10-28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81,532-81,712是否触达；15m/30m能否冲高失败、跌回VAH 81,632下方并形成LH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81,532-81,712是否触达；反弹后能否重新跌回VAL下方并形成LH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OI增加后是否继续；Taker能否从3.605回落并再次转弱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79,973 后收回形成 HL，或上沿 81,532-81,712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2026-10-27T08:18:04.980913+08:00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2026-10-27T08:18:04.980913+08:00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2026-10-27 08:18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2026-10-27T08:18:04.980913+08:00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2026-10-27T08:18:04.980913+08:00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2026-10-27T08:18:04.980913+08:00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2026-10-27T08:18:04.980913+08:00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2026-10-27</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2026-10-27T08:18:04.980913+08:00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2026-10-27</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2026-10-27</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2026-10-27T08:18:04.980913+08:00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2026-10-27</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- 2026-10-27</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