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- 2026-10-31 08:35 BJT</w:t>
      </w:r>
    </w:p>
    <w:p>
      <w:pPr>
        <w:spacing w:after="160"/>
        <w:jc w:val="center"/>
      </w:pPr>
      <w:r>
        <w:rPr>
          <w:rFonts w:ascii="Microsoft YaHei" w:hAnsi="Microsoft YaHei" w:eastAsia="Microsoft YaHei"/>
          <w:b w:val="0"/>
          <w:color w:val="5A5A5A"/>
          <w:sz w:val="16"/>
        </w:rPr>
        <w:t>2026-10-31 | 市场快照 08:35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2026-10-31T08:35:36.683709+08:00 的 BTC/ETH/SOL 行情与 OKX 永续合约备选源（Binance/Bybit 本轮不可用）、Deribit 期权、Binance/OKX 现货成交带与盘口快照；ETF 数据以本次输入中最新可核验公开值为准，ETH/SOL 当日值可能不完整，宏观、催化剂与大佬观点核验截止 2026-10-31 08:35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77,249低于正常震荡区下沿 VAL 78,247，现价不直接追单；下沿只有扫过 VAL 78,247 后收回并形成 HL 才做多；上沿只有进入 81,491-81,671 后冲高失败才做空。两条条件卡有效至 2026-10-31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RANGE_MIDDLE / 低于正常震荡区下沿 VAL 78,247</w:t>
            </w:r>
          </w:p>
        </w:tc>
        <w:tc>
          <w:tcPr>
            <w:tcW w:type="dxa" w:w="2131"/>
            <w:vAlign w:val="center"/>
          </w:tcPr>
          <w:p>
            <w:pPr>
              <w:spacing w:after="0" w:line="240" w:lineRule="auto"/>
            </w:pPr>
            <w:r>
              <w:rPr>
                <w:rFonts w:ascii="Microsoft YaHei" w:hAnsi="Microsoft YaHei" w:eastAsia="Microsoft YaHei"/>
                <w:b w:val="0"/>
                <w:color w:val="19212A"/>
                <w:sz w:val="14"/>
              </w:rPr>
              <w:t>下沿等S5 下沿均值回归多；上沿等S5 上沿受阻空 81,491-81,671</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78,247-81,591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2,257 收回与 EMA20 2,289，无独立交易卡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2,289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96.49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98.57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RANGE_MIDDLE，ETH/SOL处于过渡，因此当前更准确的描述是‘中线震荡、短线偏弱’，还不是确认的大级别牛市或熊市。今天只允许下沿扫低收回多、只允许上沿回踩受阻空，现价附近不交易。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多（S5 下沿均值回归多）</w:t>
            </w:r>
          </w:p>
        </w:tc>
        <w:tc>
          <w:tcPr>
            <w:tcW w:type="dxa" w:w="1332"/>
            <w:vAlign w:val="center"/>
          </w:tcPr>
          <w:p>
            <w:pPr>
              <w:spacing w:after="0" w:line="240" w:lineRule="auto"/>
            </w:pPr>
            <w:r>
              <w:rPr>
                <w:rFonts w:ascii="Microsoft YaHei" w:hAnsi="Microsoft YaHei" w:eastAsia="Microsoft YaHei"/>
                <w:b w:val="0"/>
                <w:color w:val="19212A"/>
                <w:sz w:val="12"/>
              </w:rPr>
              <w:t>跌破 VAL 78,247 后，15m/30m 收回 78,247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78,147-78,297 / 78,297</w:t>
            </w:r>
          </w:p>
        </w:tc>
        <w:tc>
          <w:tcPr>
            <w:tcW w:type="dxa" w:w="1332"/>
            <w:vAlign w:val="center"/>
          </w:tcPr>
          <w:p>
            <w:pPr>
              <w:spacing w:after="0" w:line="240" w:lineRule="auto"/>
            </w:pPr>
            <w:r>
              <w:rPr>
                <w:rFonts w:ascii="Microsoft YaHei" w:hAnsi="Microsoft YaHei" w:eastAsia="Microsoft YaHei"/>
                <w:b w:val="0"/>
                <w:color w:val="19212A"/>
                <w:sz w:val="12"/>
              </w:rPr>
              <w:t>77,747</w:t>
            </w:r>
          </w:p>
        </w:tc>
        <w:tc>
          <w:tcPr>
            <w:tcW w:type="dxa" w:w="1332"/>
            <w:vAlign w:val="center"/>
          </w:tcPr>
          <w:p>
            <w:pPr>
              <w:spacing w:after="0" w:line="240" w:lineRule="auto"/>
            </w:pPr>
            <w:r>
              <w:rPr>
                <w:rFonts w:ascii="Microsoft YaHei" w:hAnsi="Microsoft YaHei" w:eastAsia="Microsoft YaHei"/>
                <w:b w:val="0"/>
                <w:color w:val="19212A"/>
                <w:sz w:val="12"/>
              </w:rPr>
              <w:t>80,952 / 81,591</w:t>
            </w:r>
          </w:p>
        </w:tc>
        <w:tc>
          <w:tcPr>
            <w:tcW w:type="dxa" w:w="1332"/>
            <w:vAlign w:val="center"/>
          </w:tcPr>
          <w:p>
            <w:pPr>
              <w:spacing w:after="0" w:line="240" w:lineRule="auto"/>
            </w:pPr>
            <w:r>
              <w:rPr>
                <w:rFonts w:ascii="Microsoft YaHei" w:hAnsi="Microsoft YaHei" w:eastAsia="Microsoft YaHei"/>
                <w:b w:val="0"/>
                <w:color w:val="19212A"/>
                <w:sz w:val="12"/>
              </w:rPr>
              <w:t>TP1 1:3.98；加权 1:4.57</w:t>
            </w:r>
          </w:p>
        </w:tc>
        <w:tc>
          <w:tcPr>
            <w:tcW w:type="dxa" w:w="1332"/>
            <w:vAlign w:val="center"/>
          </w:tcPr>
          <w:p>
            <w:pPr>
              <w:spacing w:after="0" w:line="240" w:lineRule="auto"/>
            </w:pPr>
            <w:r>
              <w:rPr>
                <w:rFonts w:ascii="Microsoft YaHei" w:hAnsi="Microsoft YaHei" w:eastAsia="Microsoft YaHei"/>
                <w:b w:val="0"/>
                <w:color w:val="19212A"/>
                <w:sz w:val="12"/>
              </w:rPr>
              <w:t>2026-10-31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81,491-81,671，15m/30m出现冲高失败、LH并重新跌回 VAH 81,591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81,491-81,671 / 81,671</w:t>
            </w:r>
          </w:p>
        </w:tc>
        <w:tc>
          <w:tcPr>
            <w:tcW w:type="dxa" w:w="1332"/>
            <w:vAlign w:val="center"/>
            <w:shd w:fill="EAF2F8"/>
          </w:tcPr>
          <w:p>
            <w:pPr>
              <w:spacing w:after="0" w:line="240" w:lineRule="auto"/>
            </w:pPr>
            <w:r>
              <w:rPr>
                <w:rFonts w:ascii="Microsoft YaHei" w:hAnsi="Microsoft YaHei" w:eastAsia="Microsoft YaHei"/>
                <w:b w:val="0"/>
                <w:color w:val="19212A"/>
                <w:sz w:val="12"/>
              </w:rPr>
              <w:t>82,091</w:t>
            </w:r>
          </w:p>
        </w:tc>
        <w:tc>
          <w:tcPr>
            <w:tcW w:type="dxa" w:w="1332"/>
            <w:vAlign w:val="center"/>
            <w:shd w:fill="EAF2F8"/>
          </w:tcPr>
          <w:p>
            <w:pPr>
              <w:spacing w:after="0" w:line="240" w:lineRule="auto"/>
            </w:pPr>
            <w:r>
              <w:rPr>
                <w:rFonts w:ascii="Microsoft YaHei" w:hAnsi="Microsoft YaHei" w:eastAsia="Microsoft YaHei"/>
                <w:b w:val="0"/>
                <w:color w:val="19212A"/>
                <w:sz w:val="12"/>
              </w:rPr>
              <w:t>80,952 / 78,247</w:t>
            </w:r>
          </w:p>
        </w:tc>
        <w:tc>
          <w:tcPr>
            <w:tcW w:type="dxa" w:w="1332"/>
            <w:vAlign w:val="center"/>
            <w:shd w:fill="EAF2F8"/>
          </w:tcPr>
          <w:p>
            <w:pPr>
              <w:spacing w:after="0" w:line="240" w:lineRule="auto"/>
            </w:pPr>
            <w:r>
              <w:rPr>
                <w:rFonts w:ascii="Microsoft YaHei" w:hAnsi="Microsoft YaHei" w:eastAsia="Microsoft YaHei"/>
                <w:b w:val="0"/>
                <w:color w:val="19212A"/>
                <w:sz w:val="12"/>
              </w:rPr>
              <w:t>TP1 1:1.20；加权 1:4.33</w:t>
            </w:r>
          </w:p>
        </w:tc>
        <w:tc>
          <w:tcPr>
            <w:tcW w:type="dxa" w:w="1332"/>
            <w:vAlign w:val="center"/>
            <w:shd w:fill="EAF2F8"/>
          </w:tcPr>
          <w:p>
            <w:pPr>
              <w:spacing w:after="0" w:line="240" w:lineRule="auto"/>
            </w:pPr>
            <w:r>
              <w:rPr>
                <w:rFonts w:ascii="Microsoft YaHei" w:hAnsi="Microsoft YaHei" w:eastAsia="Microsoft YaHei"/>
                <w:b w:val="0"/>
                <w:color w:val="19212A"/>
                <w:sz w:val="12"/>
              </w:rPr>
              <w:t>2026-10-31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当前低于正常震荡区下沿 VAL 78,247；POC 80,952 可以理解为最近成交最拥挤的中轴，不是追单位置。下沿多头必须先扫过 VAL 78,247 再收回并形成 HL；上沿空头必须先进入 81,491-81,671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75,096-79,542</w:t>
            </w:r>
          </w:p>
        </w:tc>
        <w:tc>
          <w:tcPr>
            <w:tcW w:type="dxa" w:w="969"/>
            <w:vAlign w:val="center"/>
          </w:tcPr>
          <w:p>
            <w:pPr>
              <w:spacing w:after="0" w:line="240" w:lineRule="auto"/>
            </w:pPr>
            <w:r>
              <w:rPr>
                <w:rFonts w:ascii="Microsoft YaHei" w:hAnsi="Microsoft YaHei" w:eastAsia="Microsoft YaHei"/>
                <w:b w:val="0"/>
                <w:color w:val="19212A"/>
                <w:sz w:val="10"/>
              </w:rPr>
              <w:t>74,359-76,474</w:t>
            </w:r>
          </w:p>
        </w:tc>
        <w:tc>
          <w:tcPr>
            <w:tcW w:type="dxa" w:w="969"/>
            <w:vAlign w:val="center"/>
          </w:tcPr>
          <w:p>
            <w:pPr>
              <w:spacing w:after="0" w:line="240" w:lineRule="auto"/>
            </w:pPr>
            <w:r>
              <w:rPr>
                <w:rFonts w:ascii="Microsoft YaHei" w:hAnsi="Microsoft YaHei" w:eastAsia="Microsoft YaHei"/>
                <w:b w:val="0"/>
                <w:color w:val="19212A"/>
                <w:sz w:val="10"/>
              </w:rPr>
              <w:t>77,982-79,605</w:t>
            </w:r>
          </w:p>
        </w:tc>
        <w:tc>
          <w:tcPr>
            <w:tcW w:type="dxa" w:w="969"/>
            <w:vAlign w:val="center"/>
          </w:tcPr>
          <w:p>
            <w:pPr>
              <w:spacing w:after="0" w:line="240" w:lineRule="auto"/>
            </w:pPr>
            <w:r>
              <w:rPr>
                <w:rFonts w:ascii="Microsoft YaHei" w:hAnsi="Microsoft YaHei" w:eastAsia="Microsoft YaHei"/>
                <w:b w:val="0"/>
                <w:color w:val="19212A"/>
                <w:sz w:val="10"/>
              </w:rPr>
              <w:t>30.6% / 37.4% / 32.0%</w:t>
            </w:r>
          </w:p>
        </w:tc>
        <w:tc>
          <w:tcPr>
            <w:tcW w:type="dxa" w:w="969"/>
            <w:vAlign w:val="center"/>
          </w:tcPr>
          <w:p>
            <w:pPr>
              <w:spacing w:after="0" w:line="240" w:lineRule="auto"/>
            </w:pPr>
            <w:r>
              <w:rPr>
                <w:rFonts w:ascii="Microsoft YaHei" w:hAnsi="Microsoft YaHei" w:eastAsia="Microsoft YaHei"/>
                <w:b w:val="0"/>
                <w:color w:val="19212A"/>
                <w:sz w:val="10"/>
              </w:rPr>
              <w:t>15.7%</w:t>
            </w:r>
          </w:p>
        </w:tc>
        <w:tc>
          <w:tcPr>
            <w:tcW w:type="dxa" w:w="969"/>
            <w:vAlign w:val="center"/>
          </w:tcPr>
          <w:p>
            <w:pPr>
              <w:spacing w:after="0" w:line="240" w:lineRule="auto"/>
            </w:pPr>
            <w:r>
              <w:rPr>
                <w:rFonts w:ascii="Microsoft YaHei" w:hAnsi="Microsoft YaHei" w:eastAsia="Microsoft YaHei"/>
                <w:b w:val="0"/>
                <w:color w:val="19212A"/>
                <w:sz w:val="10"/>
              </w:rPr>
              <w:t>32.1</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77,249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RANGE_MIDDLE</w:t>
            </w:r>
          </w:p>
        </w:tc>
        <w:tc>
          <w:tcPr>
            <w:tcW w:type="dxa" w:w="969"/>
            <w:vAlign w:val="center"/>
            <w:shd w:fill="EAF2F8"/>
          </w:tcPr>
          <w:p>
            <w:pPr>
              <w:spacing w:after="0" w:line="240" w:lineRule="auto"/>
            </w:pPr>
            <w:r>
              <w:rPr>
                <w:rFonts w:ascii="Microsoft YaHei" w:hAnsi="Microsoft YaHei" w:eastAsia="Microsoft YaHei"/>
                <w:b w:val="0"/>
                <w:color w:val="19212A"/>
                <w:sz w:val="10"/>
              </w:rPr>
              <w:t>73,532-81,234</w:t>
            </w:r>
          </w:p>
        </w:tc>
        <w:tc>
          <w:tcPr>
            <w:tcW w:type="dxa" w:w="969"/>
            <w:vAlign w:val="center"/>
            <w:shd w:fill="EAF2F8"/>
          </w:tcPr>
          <w:p>
            <w:pPr>
              <w:spacing w:after="0" w:line="240" w:lineRule="auto"/>
            </w:pPr>
            <w:r>
              <w:rPr>
                <w:rFonts w:ascii="Microsoft YaHei" w:hAnsi="Microsoft YaHei" w:eastAsia="Microsoft YaHei"/>
                <w:b w:val="0"/>
                <w:color w:val="19212A"/>
                <w:sz w:val="10"/>
              </w:rPr>
              <w:t>71,103-75,732</w:t>
            </w:r>
          </w:p>
        </w:tc>
        <w:tc>
          <w:tcPr>
            <w:tcW w:type="dxa" w:w="969"/>
            <w:vAlign w:val="center"/>
            <w:shd w:fill="EAF2F8"/>
          </w:tcPr>
          <w:p>
            <w:pPr>
              <w:spacing w:after="0" w:line="240" w:lineRule="auto"/>
            </w:pPr>
            <w:r>
              <w:rPr>
                <w:rFonts w:ascii="Microsoft YaHei" w:hAnsi="Microsoft YaHei" w:eastAsia="Microsoft YaHei"/>
                <w:b w:val="0"/>
                <w:color w:val="19212A"/>
                <w:sz w:val="10"/>
              </w:rPr>
              <w:t>79,178-80,543</w:t>
            </w:r>
          </w:p>
        </w:tc>
        <w:tc>
          <w:tcPr>
            <w:tcW w:type="dxa" w:w="969"/>
            <w:vAlign w:val="center"/>
            <w:shd w:fill="EAF2F8"/>
          </w:tcPr>
          <w:p>
            <w:pPr>
              <w:spacing w:after="0" w:line="240" w:lineRule="auto"/>
            </w:pPr>
            <w:r>
              <w:rPr>
                <w:rFonts w:ascii="Microsoft YaHei" w:hAnsi="Microsoft YaHei" w:eastAsia="Microsoft YaHei"/>
                <w:b w:val="0"/>
                <w:color w:val="19212A"/>
                <w:sz w:val="10"/>
              </w:rPr>
              <w:t>42.2% / 48.3% / 9.5%</w:t>
            </w:r>
          </w:p>
        </w:tc>
        <w:tc>
          <w:tcPr>
            <w:tcW w:type="dxa" w:w="969"/>
            <w:vAlign w:val="center"/>
            <w:shd w:fill="EAF2F8"/>
          </w:tcPr>
          <w:p>
            <w:pPr>
              <w:spacing w:after="0" w:line="240" w:lineRule="auto"/>
            </w:pPr>
            <w:r>
              <w:rPr>
                <w:rFonts w:ascii="Microsoft YaHei" w:hAnsi="Microsoft YaHei" w:eastAsia="Microsoft YaHei"/>
                <w:b w:val="0"/>
                <w:color w:val="19212A"/>
                <w:sz w:val="10"/>
              </w:rPr>
              <w:t>46.5%</w:t>
            </w:r>
          </w:p>
        </w:tc>
        <w:tc>
          <w:tcPr>
            <w:tcW w:type="dxa" w:w="969"/>
            <w:vAlign w:val="center"/>
            <w:shd w:fill="EAF2F8"/>
          </w:tcPr>
          <w:p>
            <w:pPr>
              <w:spacing w:after="0" w:line="240" w:lineRule="auto"/>
            </w:pPr>
            <w:r>
              <w:rPr>
                <w:rFonts w:ascii="Microsoft YaHei" w:hAnsi="Microsoft YaHei" w:eastAsia="Microsoft YaHei"/>
                <w:b w:val="0"/>
                <w:color w:val="19212A"/>
                <w:sz w:val="10"/>
              </w:rPr>
              <w:t>20.9</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77,249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RANGE_MIDDLE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BREAKOUT</w:t>
            </w:r>
          </w:p>
        </w:tc>
        <w:tc>
          <w:tcPr>
            <w:tcW w:type="dxa" w:w="969"/>
            <w:vAlign w:val="center"/>
            <w:shd w:fill="EAF2F8"/>
          </w:tcPr>
          <w:p>
            <w:pPr>
              <w:spacing w:after="0" w:line="240" w:lineRule="auto"/>
            </w:pPr>
            <w:r>
              <w:rPr>
                <w:rFonts w:ascii="Microsoft YaHei" w:hAnsi="Microsoft YaHei" w:eastAsia="Microsoft YaHei"/>
                <w:b w:val="0"/>
                <w:color w:val="19212A"/>
                <w:sz w:val="10"/>
              </w:rPr>
              <w:t>2,178-2,311</w:t>
            </w:r>
          </w:p>
        </w:tc>
        <w:tc>
          <w:tcPr>
            <w:tcW w:type="dxa" w:w="969"/>
            <w:vAlign w:val="center"/>
            <w:shd w:fill="EAF2F8"/>
          </w:tcPr>
          <w:p>
            <w:pPr>
              <w:spacing w:after="0" w:line="240" w:lineRule="auto"/>
            </w:pPr>
            <w:r>
              <w:rPr>
                <w:rFonts w:ascii="Microsoft YaHei" w:hAnsi="Microsoft YaHei" w:eastAsia="Microsoft YaHei"/>
                <w:b w:val="0"/>
                <w:color w:val="19212A"/>
                <w:sz w:val="10"/>
              </w:rPr>
              <w:t>2,136-2,210</w:t>
            </w:r>
          </w:p>
        </w:tc>
        <w:tc>
          <w:tcPr>
            <w:tcW w:type="dxa" w:w="969"/>
            <w:vAlign w:val="center"/>
            <w:shd w:fill="EAF2F8"/>
          </w:tcPr>
          <w:p>
            <w:pPr>
              <w:spacing w:after="0" w:line="240" w:lineRule="auto"/>
            </w:pPr>
            <w:r>
              <w:rPr>
                <w:rFonts w:ascii="Microsoft YaHei" w:hAnsi="Microsoft YaHei" w:eastAsia="Microsoft YaHei"/>
                <w:b w:val="0"/>
                <w:color w:val="19212A"/>
                <w:sz w:val="10"/>
              </w:rPr>
              <w:t>2,264-2,308</w:t>
            </w:r>
          </w:p>
        </w:tc>
        <w:tc>
          <w:tcPr>
            <w:tcW w:type="dxa" w:w="969"/>
            <w:vAlign w:val="center"/>
            <w:shd w:fill="EAF2F8"/>
          </w:tcPr>
          <w:p>
            <w:pPr>
              <w:spacing w:after="0" w:line="240" w:lineRule="auto"/>
            </w:pPr>
            <w:r>
              <w:rPr>
                <w:rFonts w:ascii="Microsoft YaHei" w:hAnsi="Microsoft YaHei" w:eastAsia="Microsoft YaHei"/>
                <w:b w:val="0"/>
                <w:color w:val="19212A"/>
                <w:sz w:val="10"/>
              </w:rPr>
              <w:t>36.5% / 38.9% / 24.6%</w:t>
            </w:r>
          </w:p>
        </w:tc>
        <w:tc>
          <w:tcPr>
            <w:tcW w:type="dxa" w:w="969"/>
            <w:vAlign w:val="center"/>
            <w:shd w:fill="EAF2F8"/>
          </w:tcPr>
          <w:p>
            <w:pPr>
              <w:spacing w:after="0" w:line="240" w:lineRule="auto"/>
            </w:pPr>
            <w:r>
              <w:rPr>
                <w:rFonts w:ascii="Microsoft YaHei" w:hAnsi="Microsoft YaHei" w:eastAsia="Microsoft YaHei"/>
                <w:b w:val="0"/>
                <w:color w:val="19212A"/>
                <w:sz w:val="10"/>
              </w:rPr>
              <w:t>17.4%</w:t>
            </w:r>
          </w:p>
        </w:tc>
        <w:tc>
          <w:tcPr>
            <w:tcW w:type="dxa" w:w="969"/>
            <w:vAlign w:val="center"/>
            <w:shd w:fill="EAF2F8"/>
          </w:tcPr>
          <w:p>
            <w:pPr>
              <w:spacing w:after="0" w:line="240" w:lineRule="auto"/>
            </w:pPr>
            <w:r>
              <w:rPr>
                <w:rFonts w:ascii="Microsoft YaHei" w:hAnsi="Microsoft YaHei" w:eastAsia="Microsoft YaHei"/>
                <w:b w:val="0"/>
                <w:color w:val="19212A"/>
                <w:sz w:val="10"/>
              </w:rPr>
              <w:t>30.9</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2,244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BREAKOUT</w:t>
            </w:r>
          </w:p>
        </w:tc>
        <w:tc>
          <w:tcPr>
            <w:tcW w:type="dxa" w:w="969"/>
            <w:vAlign w:val="center"/>
          </w:tcPr>
          <w:p>
            <w:pPr>
              <w:spacing w:after="0" w:line="240" w:lineRule="auto"/>
            </w:pPr>
            <w:r>
              <w:rPr>
                <w:rFonts w:ascii="Microsoft YaHei" w:hAnsi="Microsoft YaHei" w:eastAsia="Microsoft YaHei"/>
                <w:b w:val="0"/>
                <w:color w:val="19212A"/>
                <w:sz w:val="10"/>
              </w:rPr>
              <w:t>2,131-2,362</w:t>
            </w:r>
          </w:p>
        </w:tc>
        <w:tc>
          <w:tcPr>
            <w:tcW w:type="dxa" w:w="969"/>
            <w:vAlign w:val="center"/>
          </w:tcPr>
          <w:p>
            <w:pPr>
              <w:spacing w:after="0" w:line="240" w:lineRule="auto"/>
            </w:pPr>
            <w:r>
              <w:rPr>
                <w:rFonts w:ascii="Microsoft YaHei" w:hAnsi="Microsoft YaHei" w:eastAsia="Microsoft YaHei"/>
                <w:b w:val="0"/>
                <w:color w:val="19212A"/>
                <w:sz w:val="10"/>
              </w:rPr>
              <w:t>2,021-2,189</w:t>
            </w:r>
          </w:p>
        </w:tc>
        <w:tc>
          <w:tcPr>
            <w:tcW w:type="dxa" w:w="969"/>
            <w:vAlign w:val="center"/>
          </w:tcPr>
          <w:p>
            <w:pPr>
              <w:spacing w:after="0" w:line="240" w:lineRule="auto"/>
            </w:pPr>
            <w:r>
              <w:rPr>
                <w:rFonts w:ascii="Microsoft YaHei" w:hAnsi="Microsoft YaHei" w:eastAsia="Microsoft YaHei"/>
                <w:b w:val="0"/>
                <w:color w:val="19212A"/>
                <w:sz w:val="10"/>
              </w:rPr>
              <w:t>2,298-2,344</w:t>
            </w:r>
          </w:p>
        </w:tc>
        <w:tc>
          <w:tcPr>
            <w:tcW w:type="dxa" w:w="969"/>
            <w:vAlign w:val="center"/>
          </w:tcPr>
          <w:p>
            <w:pPr>
              <w:spacing w:after="0" w:line="240" w:lineRule="auto"/>
            </w:pPr>
            <w:r>
              <w:rPr>
                <w:rFonts w:ascii="Microsoft YaHei" w:hAnsi="Microsoft YaHei" w:eastAsia="Microsoft YaHei"/>
                <w:b w:val="0"/>
                <w:color w:val="19212A"/>
                <w:sz w:val="10"/>
              </w:rPr>
              <w:t>37.5% / 52.9% / 9.6%</w:t>
            </w:r>
          </w:p>
        </w:tc>
        <w:tc>
          <w:tcPr>
            <w:tcW w:type="dxa" w:w="969"/>
            <w:vAlign w:val="center"/>
          </w:tcPr>
          <w:p>
            <w:pPr>
              <w:spacing w:after="0" w:line="240" w:lineRule="auto"/>
            </w:pPr>
            <w:r>
              <w:rPr>
                <w:rFonts w:ascii="Microsoft YaHei" w:hAnsi="Microsoft YaHei" w:eastAsia="Microsoft YaHei"/>
                <w:b w:val="0"/>
                <w:color w:val="19212A"/>
                <w:sz w:val="10"/>
              </w:rPr>
              <w:t>51.6%</w:t>
            </w:r>
          </w:p>
        </w:tc>
        <w:tc>
          <w:tcPr>
            <w:tcW w:type="dxa" w:w="969"/>
            <w:vAlign w:val="center"/>
          </w:tcPr>
          <w:p>
            <w:pPr>
              <w:spacing w:after="0" w:line="240" w:lineRule="auto"/>
            </w:pPr>
            <w:r>
              <w:rPr>
                <w:rFonts w:ascii="Microsoft YaHei" w:hAnsi="Microsoft YaHei" w:eastAsia="Microsoft YaHei"/>
                <w:b w:val="0"/>
                <w:color w:val="19212A"/>
                <w:sz w:val="10"/>
              </w:rPr>
              <w:t>20.7</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2,244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BREAKOUT</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92.33-100.38</w:t>
            </w:r>
          </w:p>
        </w:tc>
        <w:tc>
          <w:tcPr>
            <w:tcW w:type="dxa" w:w="969"/>
            <w:vAlign w:val="center"/>
          </w:tcPr>
          <w:p>
            <w:pPr>
              <w:spacing w:after="0" w:line="240" w:lineRule="auto"/>
            </w:pPr>
            <w:r>
              <w:rPr>
                <w:rFonts w:ascii="Microsoft YaHei" w:hAnsi="Microsoft YaHei" w:eastAsia="Microsoft YaHei"/>
                <w:b w:val="0"/>
                <w:color w:val="19212A"/>
                <w:sz w:val="10"/>
              </w:rPr>
              <w:t>89.56-94.38</w:t>
            </w:r>
          </w:p>
        </w:tc>
        <w:tc>
          <w:tcPr>
            <w:tcW w:type="dxa" w:w="969"/>
            <w:vAlign w:val="center"/>
          </w:tcPr>
          <w:p>
            <w:pPr>
              <w:spacing w:after="0" w:line="240" w:lineRule="auto"/>
            </w:pPr>
            <w:r>
              <w:rPr>
                <w:rFonts w:ascii="Microsoft YaHei" w:hAnsi="Microsoft YaHei" w:eastAsia="Microsoft YaHei"/>
                <w:b w:val="0"/>
                <w:color w:val="19212A"/>
                <w:sz w:val="10"/>
              </w:rPr>
              <w:t>97.71-100.83</w:t>
            </w:r>
          </w:p>
        </w:tc>
        <w:tc>
          <w:tcPr>
            <w:tcW w:type="dxa" w:w="969"/>
            <w:vAlign w:val="center"/>
          </w:tcPr>
          <w:p>
            <w:pPr>
              <w:spacing w:after="0" w:line="240" w:lineRule="auto"/>
            </w:pPr>
            <w:r>
              <w:rPr>
                <w:rFonts w:ascii="Microsoft YaHei" w:hAnsi="Microsoft YaHei" w:eastAsia="Microsoft YaHei"/>
                <w:b w:val="0"/>
                <w:color w:val="19212A"/>
                <w:sz w:val="10"/>
              </w:rPr>
              <w:t>40.1% / 38.0% / 21.9%</w:t>
            </w:r>
          </w:p>
        </w:tc>
        <w:tc>
          <w:tcPr>
            <w:tcW w:type="dxa" w:w="969"/>
            <w:vAlign w:val="center"/>
          </w:tcPr>
          <w:p>
            <w:pPr>
              <w:spacing w:after="0" w:line="240" w:lineRule="auto"/>
            </w:pPr>
            <w:r>
              <w:rPr>
                <w:rFonts w:ascii="Microsoft YaHei" w:hAnsi="Microsoft YaHei" w:eastAsia="Microsoft YaHei"/>
                <w:b w:val="0"/>
                <w:color w:val="19212A"/>
                <w:sz w:val="10"/>
              </w:rPr>
              <w:t>21.3%</w:t>
            </w:r>
          </w:p>
        </w:tc>
        <w:tc>
          <w:tcPr>
            <w:tcW w:type="dxa" w:w="969"/>
            <w:vAlign w:val="center"/>
          </w:tcPr>
          <w:p>
            <w:pPr>
              <w:spacing w:after="0" w:line="240" w:lineRule="auto"/>
            </w:pPr>
            <w:r>
              <w:rPr>
                <w:rFonts w:ascii="Microsoft YaHei" w:hAnsi="Microsoft YaHei" w:eastAsia="Microsoft YaHei"/>
                <w:b w:val="0"/>
                <w:color w:val="19212A"/>
                <w:sz w:val="10"/>
              </w:rPr>
              <w:t>32.4</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96.18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89.55-103.49</w:t>
            </w:r>
          </w:p>
        </w:tc>
        <w:tc>
          <w:tcPr>
            <w:tcW w:type="dxa" w:w="969"/>
            <w:vAlign w:val="center"/>
            <w:shd w:fill="EAF2F8"/>
          </w:tcPr>
          <w:p>
            <w:pPr>
              <w:spacing w:after="0" w:line="240" w:lineRule="auto"/>
            </w:pPr>
            <w:r>
              <w:rPr>
                <w:rFonts w:ascii="Microsoft YaHei" w:hAnsi="Microsoft YaHei" w:eastAsia="Microsoft YaHei"/>
                <w:b w:val="0"/>
                <w:color w:val="19212A"/>
                <w:sz w:val="10"/>
              </w:rPr>
              <w:t>82.40-92.59</w:t>
            </w:r>
          </w:p>
        </w:tc>
        <w:tc>
          <w:tcPr>
            <w:tcW w:type="dxa" w:w="969"/>
            <w:vAlign w:val="center"/>
            <w:shd w:fill="EAF2F8"/>
          </w:tcPr>
          <w:p>
            <w:pPr>
              <w:spacing w:after="0" w:line="240" w:lineRule="auto"/>
            </w:pPr>
            <w:r>
              <w:rPr>
                <w:rFonts w:ascii="Microsoft YaHei" w:hAnsi="Microsoft YaHei" w:eastAsia="Microsoft YaHei"/>
                <w:b w:val="0"/>
                <w:color w:val="19212A"/>
                <w:sz w:val="10"/>
              </w:rPr>
              <w:t>99.42-101.50</w:t>
            </w:r>
          </w:p>
        </w:tc>
        <w:tc>
          <w:tcPr>
            <w:tcW w:type="dxa" w:w="969"/>
            <w:vAlign w:val="center"/>
            <w:shd w:fill="EAF2F8"/>
          </w:tcPr>
          <w:p>
            <w:pPr>
              <w:spacing w:after="0" w:line="240" w:lineRule="auto"/>
            </w:pPr>
            <w:r>
              <w:rPr>
                <w:rFonts w:ascii="Microsoft YaHei" w:hAnsi="Microsoft YaHei" w:eastAsia="Microsoft YaHei"/>
                <w:b w:val="0"/>
                <w:color w:val="19212A"/>
                <w:sz w:val="10"/>
              </w:rPr>
              <w:t>47.3% / 47.7% / 5.0%</w:t>
            </w:r>
          </w:p>
        </w:tc>
        <w:tc>
          <w:tcPr>
            <w:tcW w:type="dxa" w:w="969"/>
            <w:vAlign w:val="center"/>
            <w:shd w:fill="EAF2F8"/>
          </w:tcPr>
          <w:p>
            <w:pPr>
              <w:spacing w:after="0" w:line="240" w:lineRule="auto"/>
            </w:pPr>
            <w:r>
              <w:rPr>
                <w:rFonts w:ascii="Microsoft YaHei" w:hAnsi="Microsoft YaHei" w:eastAsia="Microsoft YaHei"/>
                <w:b w:val="0"/>
                <w:color w:val="19212A"/>
                <w:sz w:val="10"/>
              </w:rPr>
              <w:t>56.9%</w:t>
            </w:r>
          </w:p>
        </w:tc>
        <w:tc>
          <w:tcPr>
            <w:tcW w:type="dxa" w:w="969"/>
            <w:vAlign w:val="center"/>
            <w:shd w:fill="EAF2F8"/>
          </w:tcPr>
          <w:p>
            <w:pPr>
              <w:spacing w:after="0" w:line="240" w:lineRule="auto"/>
            </w:pPr>
            <w:r>
              <w:rPr>
                <w:rFonts w:ascii="Microsoft YaHei" w:hAnsi="Microsoft YaHei" w:eastAsia="Microsoft YaHei"/>
                <w:b w:val="0"/>
                <w:color w:val="19212A"/>
                <w:sz w:val="10"/>
              </w:rPr>
              <w:t>21.0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96.18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77,249，独立使用自身的24h/72h/7d区间；ETH 当前 2,244，独立使用自身的24h/72h/7d区间；SOL 当前 96.18，独立使用自身的24h/72h/7d区间。BTC今天仍要等BTC 下沿是否扫过 VAL 78,247 后收回形成 HL，以及上沿 81,491-81,671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78,247 / POC 80,952 / VAH 81,591</w:t>
            </w:r>
          </w:p>
        </w:tc>
        <w:tc>
          <w:tcPr>
            <w:tcW w:type="dxa" w:w="2131"/>
            <w:vAlign w:val="center"/>
          </w:tcPr>
          <w:p>
            <w:pPr>
              <w:spacing w:after="0" w:line="240" w:lineRule="auto"/>
            </w:pPr>
            <w:r>
              <w:rPr>
                <w:rFonts w:ascii="Microsoft YaHei" w:hAnsi="Microsoft YaHei" w:eastAsia="Microsoft YaHei"/>
                <w:b w:val="0"/>
                <w:color w:val="19212A"/>
                <w:sz w:val="14"/>
              </w:rPr>
              <w:t>HTF_RANGE + RANGE_MIDDLE</w:t>
            </w:r>
          </w:p>
        </w:tc>
        <w:tc>
          <w:tcPr>
            <w:tcW w:type="dxa" w:w="2131"/>
            <w:vAlign w:val="center"/>
          </w:tcPr>
          <w:p>
            <w:pPr>
              <w:spacing w:after="0" w:line="240" w:lineRule="auto"/>
            </w:pPr>
            <w:r>
              <w:rPr>
                <w:rFonts w:ascii="Microsoft YaHei" w:hAnsi="Microsoft YaHei" w:eastAsia="Microsoft YaHei"/>
                <w:b w:val="0"/>
                <w:color w:val="19212A"/>
                <w:sz w:val="14"/>
              </w:rPr>
              <w:t>低于正常震荡区下沿 VAL 78,247不追单；下沿等S5 下沿均值回归多；上沿等S5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2,257 / POC 2,273 / VAH 2,373</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VAL 96.49 / POC 96.94 / VAH 102.62</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+3.92%；DOGE +3.84%；AVAX +5.88%</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80,952 是最近五天成交最密集的价格，可理解为短期筹码最拥挤的‘价格磁铁’；VAL 78,247 是正常震荡区下沿，VAH 81,591 是正常震荡区上沿。BTC 当前低于正常震荡区下沿 VAL 78,247，仍未进入执行带，不是自动做多或做空；下沿等扫低收回、上沿等冲高失败。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78,247后快速收回，卖压减弱并形成HL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RANGE_MIDDLE，S5不作为主执行；上沿路径按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低于正常震荡区下沿 VAL 78,247，不能把反弹强度当成追多信号。下沿多头只等扫过 VAL 78,247 后收回形成 HL，空头只等上沿 81,491-81,671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上沿受阻空；S5 下沿均值回归多</w:t>
            </w:r>
          </w:p>
        </w:tc>
        <w:tc>
          <w:tcPr>
            <w:tcW w:type="dxa" w:w="710"/>
            <w:vAlign w:val="center"/>
          </w:tcPr>
          <w:p>
            <w:pPr>
              <w:spacing w:after="0" w:line="240" w:lineRule="auto"/>
            </w:pPr>
            <w:r>
              <w:rPr>
                <w:rFonts w:ascii="Microsoft YaHei" w:hAnsi="Microsoft YaHei" w:eastAsia="Microsoft YaHei"/>
                <w:b w:val="0"/>
                <w:color w:val="19212A"/>
                <w:sz w:val="11"/>
              </w:rPr>
              <w:t>HTF_RANGE + RANGE_MIDDLE</w:t>
            </w:r>
          </w:p>
        </w:tc>
        <w:tc>
          <w:tcPr>
            <w:tcW w:type="dxa" w:w="710"/>
            <w:vAlign w:val="center"/>
          </w:tcPr>
          <w:p>
            <w:pPr>
              <w:spacing w:after="0" w:line="240" w:lineRule="auto"/>
            </w:pPr>
            <w:r>
              <w:rPr>
                <w:rFonts w:ascii="Microsoft YaHei" w:hAnsi="Microsoft YaHei" w:eastAsia="Microsoft YaHei"/>
                <w:b w:val="0"/>
                <w:color w:val="19212A"/>
                <w:sz w:val="11"/>
              </w:rPr>
              <w:t>现价低于正常震荡区下沿 VAL 78,247；两端都有结构位置，现价不在执行区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81,591 后跌回；多：扫过 VAL 78,247 后收回；现价 77,249</w:t>
            </w:r>
          </w:p>
        </w:tc>
        <w:tc>
          <w:tcPr>
            <w:tcW w:type="dxa" w:w="710"/>
            <w:vAlign w:val="center"/>
          </w:tcPr>
          <w:p>
            <w:pPr>
              <w:spacing w:after="0" w:line="240" w:lineRule="auto"/>
            </w:pPr>
            <w:r>
              <w:rPr>
                <w:rFonts w:ascii="Microsoft YaHei" w:hAnsi="Microsoft YaHei" w:eastAsia="Microsoft YaHei"/>
                <w:b w:val="0"/>
                <w:color w:val="19212A"/>
                <w:sz w:val="11"/>
              </w:rPr>
              <w:t>空 81,611 / 多 78,227</w:t>
            </w:r>
          </w:p>
        </w:tc>
        <w:tc>
          <w:tcPr>
            <w:tcW w:type="dxa" w:w="710"/>
            <w:vAlign w:val="center"/>
          </w:tcPr>
          <w:p>
            <w:pPr>
              <w:spacing w:after="0" w:line="240" w:lineRule="auto"/>
            </w:pPr>
            <w:r>
              <w:rPr>
                <w:rFonts w:ascii="Microsoft YaHei" w:hAnsi="Microsoft YaHei" w:eastAsia="Microsoft YaHei"/>
                <w:b w:val="0"/>
                <w:color w:val="19212A"/>
                <w:sz w:val="11"/>
              </w:rPr>
              <w:t>空 81,671 / 多 78,297</w:t>
            </w:r>
          </w:p>
        </w:tc>
        <w:tc>
          <w:tcPr>
            <w:tcW w:type="dxa" w:w="710"/>
            <w:vAlign w:val="center"/>
          </w:tcPr>
          <w:p>
            <w:pPr>
              <w:spacing w:after="0" w:line="240" w:lineRule="auto"/>
            </w:pPr>
            <w:r>
              <w:rPr>
                <w:rFonts w:ascii="Microsoft YaHei" w:hAnsi="Microsoft YaHei" w:eastAsia="Microsoft YaHei"/>
                <w:b w:val="0"/>
                <w:color w:val="19212A"/>
                <w:sz w:val="11"/>
              </w:rPr>
              <w:t>空 82,091 / 多 77,747</w:t>
            </w:r>
          </w:p>
        </w:tc>
        <w:tc>
          <w:tcPr>
            <w:tcW w:type="dxa" w:w="710"/>
            <w:vAlign w:val="center"/>
          </w:tcPr>
          <w:p>
            <w:pPr>
              <w:spacing w:after="0" w:line="240" w:lineRule="auto"/>
            </w:pPr>
            <w:r>
              <w:rPr>
                <w:rFonts w:ascii="Microsoft YaHei" w:hAnsi="Microsoft YaHei" w:eastAsia="Microsoft YaHei"/>
                <w:b w:val="0"/>
                <w:color w:val="19212A"/>
                <w:sz w:val="11"/>
              </w:rPr>
              <w:t>空看 POC 80,952 / 多看 POC 80,952</w:t>
            </w:r>
          </w:p>
        </w:tc>
        <w:tc>
          <w:tcPr>
            <w:tcW w:type="dxa" w:w="710"/>
            <w:vAlign w:val="center"/>
          </w:tcPr>
          <w:p>
            <w:pPr>
              <w:spacing w:after="0" w:line="240" w:lineRule="auto"/>
            </w:pPr>
            <w:r>
              <w:rPr>
                <w:rFonts w:ascii="Microsoft YaHei" w:hAnsi="Microsoft YaHei" w:eastAsia="Microsoft YaHei"/>
                <w:b w:val="0"/>
                <w:color w:val="19212A"/>
                <w:sz w:val="11"/>
              </w:rPr>
              <w:t>空看 VAL 78,247 / 多看 VAH 81,591</w:t>
            </w:r>
          </w:p>
        </w:tc>
        <w:tc>
          <w:tcPr>
            <w:tcW w:type="dxa" w:w="710"/>
            <w:vAlign w:val="center"/>
          </w:tcPr>
          <w:p>
            <w:pPr>
              <w:spacing w:after="0" w:line="240" w:lineRule="auto"/>
            </w:pPr>
            <w:r>
              <w:rPr>
                <w:rFonts w:ascii="Microsoft YaHei" w:hAnsi="Microsoft YaHei" w:eastAsia="Microsoft YaHei"/>
                <w:b w:val="0"/>
                <w:color w:val="19212A"/>
                <w:sz w:val="11"/>
              </w:rPr>
              <w:t>空 1:4.33 / 多 1:4.57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空头出现LH且流量不恶化；多头出现HL且流量不恶化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78,247 再收回形成 HL，上沿要进入 81,491-81,671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S5 下沿均值回归多 与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S5/S5</w:t>
            </w:r>
          </w:p>
        </w:tc>
        <w:tc>
          <w:tcPr>
            <w:tcW w:type="dxa" w:w="888"/>
            <w:vAlign w:val="center"/>
          </w:tcPr>
          <w:p>
            <w:pPr>
              <w:spacing w:after="0" w:line="240" w:lineRule="auto"/>
            </w:pPr>
            <w:r>
              <w:rPr>
                <w:rFonts w:ascii="Microsoft YaHei" w:hAnsi="Microsoft YaHei" w:eastAsia="Microsoft YaHei"/>
                <w:b w:val="0"/>
                <w:color w:val="19212A"/>
                <w:sz w:val="13"/>
              </w:rPr>
              <w:t>HTF_RANGE + RANGE_MIDDLE</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19.4%</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9.7%-19.4%</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 / S5 下沿均值回归多</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78,247 / POC 80,952 / VAH 81,591，两端条件卡均保留，现价不在执行区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78,247、POC 80,952、VAH 81,591，当前 Regime 为 HTF_RANGE + RANGE_MIDDLE，价格低于正常震荡区下沿 VAL 78,247；两端条件卡均保留，现价不在执行区。这是按新快照和新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77,249.30 / +0.06%</w:t>
            </w:r>
          </w:p>
        </w:tc>
        <w:tc>
          <w:tcPr>
            <w:tcW w:type="dxa" w:w="1776"/>
            <w:vAlign w:val="center"/>
          </w:tcPr>
          <w:p>
            <w:pPr>
              <w:spacing w:after="0" w:line="240" w:lineRule="auto"/>
            </w:pPr>
            <w:r>
              <w:rPr>
                <w:rFonts w:ascii="Microsoft YaHei" w:hAnsi="Microsoft YaHei" w:eastAsia="Microsoft YaHei"/>
                <w:b w:val="0"/>
                <w:color w:val="19212A"/>
                <w:sz w:val="14"/>
              </w:rPr>
              <w:t>78,246.53 / 80,951.67 / 81,591.07</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$2.70bn / +0.00%</w:t>
            </w:r>
          </w:p>
        </w:tc>
        <w:tc>
          <w:tcPr>
            <w:tcW w:type="dxa" w:w="1776"/>
            <w:vAlign w:val="center"/>
          </w:tcPr>
          <w:p>
            <w:pPr>
              <w:spacing w:after="0" w:line="240" w:lineRule="auto"/>
            </w:pPr>
            <w:r>
              <w:rPr>
                <w:rFonts w:ascii="Microsoft YaHei" w:hAnsi="Microsoft YaHei" w:eastAsia="Microsoft YaHei"/>
                <w:b w:val="0"/>
                <w:color w:val="19212A"/>
                <w:sz w:val="14"/>
              </w:rPr>
              <w:t>0.013 / 0.013 / 0.013</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2,244.30 / +1.56%</w:t>
            </w:r>
          </w:p>
        </w:tc>
        <w:tc>
          <w:tcPr>
            <w:tcW w:type="dxa" w:w="1776"/>
            <w:vAlign w:val="center"/>
            <w:shd w:fill="EAF2F8"/>
          </w:tcPr>
          <w:p>
            <w:pPr>
              <w:spacing w:after="0" w:line="240" w:lineRule="auto"/>
            </w:pPr>
            <w:r>
              <w:rPr>
                <w:rFonts w:ascii="Microsoft YaHei" w:hAnsi="Microsoft YaHei" w:eastAsia="Microsoft YaHei"/>
                <w:b w:val="0"/>
                <w:color w:val="19212A"/>
                <w:sz w:val="14"/>
              </w:rPr>
              <w:t>2,257.38 / 2,273.13 / 2,372.86</w:t>
            </w:r>
          </w:p>
        </w:tc>
        <w:tc>
          <w:tcPr>
            <w:tcW w:type="dxa" w:w="1776"/>
            <w:vAlign w:val="center"/>
            <w:shd w:fill="EAF2F8"/>
          </w:tcPr>
          <w:p>
            <w:pPr>
              <w:spacing w:after="0" w:line="240" w:lineRule="auto"/>
            </w:pPr>
            <w:r>
              <w:rPr>
                <w:rFonts w:ascii="Microsoft YaHei" w:hAnsi="Microsoft YaHei" w:eastAsia="Microsoft YaHei"/>
                <w:b w:val="0"/>
                <w:color w:val="19212A"/>
                <w:sz w:val="14"/>
              </w:rPr>
              <w:t>-0.0078%</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0.767 / 0.767 / 0.767</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96.18 / +3.06%</w:t>
            </w:r>
          </w:p>
        </w:tc>
        <w:tc>
          <w:tcPr>
            <w:tcW w:type="dxa" w:w="1776"/>
            <w:vAlign w:val="center"/>
          </w:tcPr>
          <w:p>
            <w:pPr>
              <w:spacing w:after="0" w:line="240" w:lineRule="auto"/>
            </w:pPr>
            <w:r>
              <w:rPr>
                <w:rFonts w:ascii="Microsoft YaHei" w:hAnsi="Microsoft YaHei" w:eastAsia="Microsoft YaHei"/>
                <w:b w:val="0"/>
                <w:color w:val="19212A"/>
                <w:sz w:val="14"/>
              </w:rPr>
              <w:t>96.49 / 96.94 / 102.62</w:t>
            </w:r>
          </w:p>
        </w:tc>
        <w:tc>
          <w:tcPr>
            <w:tcW w:type="dxa" w:w="1776"/>
            <w:vAlign w:val="center"/>
          </w:tcPr>
          <w:p>
            <w:pPr>
              <w:spacing w:after="0" w:line="240" w:lineRule="auto"/>
            </w:pPr>
            <w:r>
              <w:rPr>
                <w:rFonts w:ascii="Microsoft YaHei" w:hAnsi="Microsoft YaHei" w:eastAsia="Microsoft YaHei"/>
                <w:b w:val="0"/>
                <w:color w:val="19212A"/>
                <w:sz w:val="14"/>
              </w:rPr>
              <w:t>-0.0080%</w:t>
            </w:r>
          </w:p>
        </w:tc>
        <w:tc>
          <w:tcPr>
            <w:tcW w:type="dxa" w:w="1776"/>
            <w:vAlign w:val="center"/>
          </w:tcPr>
          <w:p>
            <w:pPr>
              <w:spacing w:after="0" w:line="240" w:lineRule="auto"/>
            </w:pPr>
            <w:r>
              <w:rPr>
                <w:rFonts w:ascii="Microsoft YaHei" w:hAnsi="Microsoft YaHei" w:eastAsia="Microsoft YaHei"/>
                <w:b w:val="0"/>
                <w:color w:val="19212A"/>
                <w:sz w:val="14"/>
              </w:rPr>
              <w:t>$0.33bn / +0.00%</w:t>
            </w:r>
          </w:p>
        </w:tc>
        <w:tc>
          <w:tcPr>
            <w:tcW w:type="dxa" w:w="1776"/>
            <w:vAlign w:val="center"/>
          </w:tcPr>
          <w:p>
            <w:pPr>
              <w:spacing w:after="0" w:line="240" w:lineRule="auto"/>
            </w:pPr>
            <w:r>
              <w:rPr>
                <w:rFonts w:ascii="Microsoft YaHei" w:hAnsi="Microsoft YaHei" w:eastAsia="Microsoft YaHei"/>
                <w:b w:val="0"/>
                <w:color w:val="19212A"/>
                <w:sz w:val="14"/>
              </w:rPr>
              <w:t>0.217 / 0.217 / 0.217</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0.013，下沿多头要等扫过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7,580.07</w:t>
            </w:r>
          </w:p>
        </w:tc>
        <w:tc>
          <w:tcPr>
            <w:tcW w:type="dxa" w:w="2664"/>
            <w:vAlign w:val="center"/>
            <w:shd w:fill="EAF2F8"/>
          </w:tcPr>
          <w:p>
            <w:pPr>
              <w:spacing w:after="0" w:line="240" w:lineRule="auto"/>
            </w:pPr>
            <w:r>
              <w:rPr>
                <w:rFonts w:ascii="Microsoft YaHei" w:hAnsi="Microsoft YaHei" w:eastAsia="Microsoft YaHei"/>
                <w:b w:val="0"/>
                <w:color w:val="19212A"/>
                <w:sz w:val="14"/>
              </w:rPr>
              <w:t>-1.82%</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25,437.00</w:t>
            </w:r>
          </w:p>
        </w:tc>
        <w:tc>
          <w:tcPr>
            <w:tcW w:type="dxa" w:w="2664"/>
            <w:vAlign w:val="center"/>
          </w:tcPr>
          <w:p>
            <w:pPr>
              <w:spacing w:after="0" w:line="240" w:lineRule="auto"/>
            </w:pPr>
            <w:r>
              <w:rPr>
                <w:rFonts w:ascii="Microsoft YaHei" w:hAnsi="Microsoft YaHei" w:eastAsia="Microsoft YaHei"/>
                <w:b w:val="0"/>
                <w:color w:val="19212A"/>
                <w:sz w:val="14"/>
              </w:rPr>
              <w:t>-2.86%</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101.96</w:t>
            </w:r>
          </w:p>
        </w:tc>
        <w:tc>
          <w:tcPr>
            <w:tcW w:type="dxa" w:w="2664"/>
            <w:vAlign w:val="center"/>
            <w:shd w:fill="EAF2F8"/>
          </w:tcPr>
          <w:p>
            <w:pPr>
              <w:spacing w:after="0" w:line="240" w:lineRule="auto"/>
            </w:pPr>
            <w:r>
              <w:rPr>
                <w:rFonts w:ascii="Microsoft YaHei" w:hAnsi="Microsoft YaHei" w:eastAsia="Microsoft YaHei"/>
                <w:b w:val="0"/>
                <w:color w:val="19212A"/>
                <w:sz w:val="14"/>
              </w:rPr>
              <w:t>-0.07%</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4.93</w:t>
            </w:r>
          </w:p>
        </w:tc>
        <w:tc>
          <w:tcPr>
            <w:tcW w:type="dxa" w:w="2664"/>
            <w:vAlign w:val="center"/>
          </w:tcPr>
          <w:p>
            <w:pPr>
              <w:spacing w:after="0" w:line="240" w:lineRule="auto"/>
            </w:pPr>
            <w:r>
              <w:rPr>
                <w:rFonts w:ascii="Microsoft YaHei" w:hAnsi="Microsoft YaHei" w:eastAsia="Microsoft YaHei"/>
                <w:b w:val="0"/>
                <w:color w:val="19212A"/>
                <w:sz w:val="14"/>
              </w:rPr>
              <w:t>-1.20%</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3,884.90</w:t>
            </w:r>
          </w:p>
        </w:tc>
        <w:tc>
          <w:tcPr>
            <w:tcW w:type="dxa" w:w="2664"/>
            <w:vAlign w:val="center"/>
            <w:shd w:fill="EAF2F8"/>
          </w:tcPr>
          <w:p>
            <w:pPr>
              <w:spacing w:after="0" w:line="240" w:lineRule="auto"/>
            </w:pPr>
            <w:r>
              <w:rPr>
                <w:rFonts w:ascii="Microsoft YaHei" w:hAnsi="Microsoft YaHei" w:eastAsia="Microsoft YaHei"/>
                <w:b w:val="0"/>
                <w:color w:val="19212A"/>
                <w:sz w:val="14"/>
              </w:rPr>
              <w:t>-3.63%</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102.95</w:t>
            </w:r>
          </w:p>
        </w:tc>
        <w:tc>
          <w:tcPr>
            <w:tcW w:type="dxa" w:w="2664"/>
            <w:vAlign w:val="center"/>
          </w:tcPr>
          <w:p>
            <w:pPr>
              <w:spacing w:after="0" w:line="240" w:lineRule="auto"/>
            </w:pPr>
            <w:r>
              <w:rPr>
                <w:rFonts w:ascii="Microsoft YaHei" w:hAnsi="Microsoft YaHei" w:eastAsia="Microsoft YaHei"/>
                <w:b w:val="0"/>
                <w:color w:val="19212A"/>
                <w:sz w:val="14"/>
              </w:rPr>
              <w:t>+0.93%</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-1.82%、纳指 -2.86%，风险偏好偏弱；DXY -0.07%、10年期收益率 -1.20%，美元与利率仍有压制，黄金 -3.63% 则保留避险/通胀对冲需求。宏观没有给出可以覆盖技术结构的单边优势，因此不在 BTC 低于正常震荡区下沿 VAL 78,247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$300.2bn，提供中期流动性底座，但不能证明今天正在主动买币。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201s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55.1%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215s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56.0%</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430s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50.5%</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$4.78m</w:t>
            </w:r>
          </w:p>
        </w:tc>
        <w:tc>
          <w:tcPr>
            <w:tcW w:type="dxa" w:w="2131"/>
            <w:vAlign w:val="center"/>
          </w:tcPr>
          <w:p>
            <w:pPr>
              <w:spacing w:after="0" w:line="240" w:lineRule="auto"/>
            </w:pPr>
            <w:r>
              <w:rPr>
                <w:rFonts w:ascii="Microsoft YaHei" w:hAnsi="Microsoft YaHei" w:eastAsia="Microsoft YaHei"/>
                <w:b w:val="0"/>
                <w:color w:val="19212A"/>
                <w:sz w:val="14"/>
              </w:rPr>
              <w:t>$5.73m</w:t>
            </w:r>
          </w:p>
        </w:tc>
        <w:tc>
          <w:tcPr>
            <w:tcW w:type="dxa" w:w="2131"/>
            <w:vAlign w:val="center"/>
          </w:tcPr>
          <w:p>
            <w:pPr>
              <w:spacing w:after="0" w:line="240" w:lineRule="auto"/>
            </w:pPr>
            <w:r>
              <w:rPr>
                <w:rFonts w:ascii="Microsoft YaHei" w:hAnsi="Microsoft YaHei" w:eastAsia="Microsoft YaHei"/>
                <w:b w:val="0"/>
                <w:color w:val="19212A"/>
                <w:sz w:val="14"/>
              </w:rPr>
              <w:t>-9.0%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$4.78m</w:t>
            </w:r>
          </w:p>
        </w:tc>
        <w:tc>
          <w:tcPr>
            <w:tcW w:type="dxa" w:w="2131"/>
            <w:vAlign w:val="center"/>
            <w:shd w:fill="EAF2F8"/>
          </w:tcPr>
          <w:p>
            <w:pPr>
              <w:spacing w:after="0" w:line="240" w:lineRule="auto"/>
            </w:pPr>
            <w:r>
              <w:rPr>
                <w:rFonts w:ascii="Microsoft YaHei" w:hAnsi="Microsoft YaHei" w:eastAsia="Microsoft YaHei"/>
                <w:b w:val="0"/>
                <w:color w:val="19212A"/>
                <w:sz w:val="14"/>
              </w:rPr>
              <w:t>$3.89m</w:t>
            </w:r>
          </w:p>
        </w:tc>
        <w:tc>
          <w:tcPr>
            <w:tcW w:type="dxa" w:w="2131"/>
            <w:vAlign w:val="center"/>
            <w:shd w:fill="EAF2F8"/>
          </w:tcPr>
          <w:p>
            <w:pPr>
              <w:spacing w:after="0" w:line="240" w:lineRule="auto"/>
            </w:pPr>
            <w:r>
              <w:rPr>
                <w:rFonts w:ascii="Microsoft YaHei" w:hAnsi="Microsoft YaHei" w:eastAsia="Microsoft YaHei"/>
                <w:b w:val="0"/>
                <w:color w:val="19212A"/>
                <w:sz w:val="14"/>
              </w:rPr>
              <w:t>+10.3%</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$1.14m</w:t>
            </w:r>
          </w:p>
        </w:tc>
        <w:tc>
          <w:tcPr>
            <w:tcW w:type="dxa" w:w="2131"/>
            <w:vAlign w:val="center"/>
          </w:tcPr>
          <w:p>
            <w:pPr>
              <w:spacing w:after="0" w:line="240" w:lineRule="auto"/>
            </w:pPr>
            <w:r>
              <w:rPr>
                <w:rFonts w:ascii="Microsoft YaHei" w:hAnsi="Microsoft YaHei" w:eastAsia="Microsoft YaHei"/>
                <w:b w:val="0"/>
                <w:color w:val="19212A"/>
                <w:sz w:val="14"/>
              </w:rPr>
              <w:t>$1.11m</w:t>
            </w:r>
          </w:p>
        </w:tc>
        <w:tc>
          <w:tcPr>
            <w:tcW w:type="dxa" w:w="2131"/>
            <w:vAlign w:val="center"/>
          </w:tcPr>
          <w:p>
            <w:pPr>
              <w:spacing w:after="0" w:line="240" w:lineRule="auto"/>
            </w:pPr>
            <w:r>
              <w:rPr>
                <w:rFonts w:ascii="Microsoft YaHei" w:hAnsi="Microsoft YaHei" w:eastAsia="Microsoft YaHei"/>
                <w:b w:val="0"/>
                <w:color w:val="19212A"/>
                <w:sz w:val="14"/>
              </w:rPr>
              <w:t>+1.3%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241.27 BTC</w:t>
            </w:r>
          </w:p>
        </w:tc>
        <w:tc>
          <w:tcPr>
            <w:tcW w:type="dxa" w:w="2664"/>
            <w:vAlign w:val="center"/>
          </w:tcPr>
          <w:p>
            <w:pPr>
              <w:spacing w:after="0" w:line="240" w:lineRule="auto"/>
            </w:pPr>
            <w:r>
              <w:rPr>
                <w:rFonts w:ascii="Microsoft YaHei" w:hAnsi="Microsoft YaHei" w:eastAsia="Microsoft YaHei"/>
                <w:b w:val="0"/>
                <w:color w:val="19212A"/>
                <w:sz w:val="14"/>
              </w:rPr>
              <w:t>$18.64m</w:t>
            </w:r>
          </w:p>
        </w:tc>
        <w:tc>
          <w:tcPr>
            <w:tcW w:type="dxa" w:w="2664"/>
            <w:vAlign w:val="center"/>
          </w:tcPr>
          <w:p>
            <w:pPr>
              <w:spacing w:after="0" w:line="240" w:lineRule="auto"/>
            </w:pPr>
            <w:r>
              <w:rPr>
                <w:rFonts w:ascii="Microsoft YaHei" w:hAnsi="Microsoft YaHei" w:eastAsia="Microsoft YaHei"/>
                <w:b w:val="0"/>
                <w:color w:val="19212A"/>
                <w:sz w:val="14"/>
              </w:rPr>
              <w:t>e2dffce435e9...</w:t>
            </w:r>
          </w:p>
        </w:tc>
        <w:tc>
          <w:tcPr>
            <w:tcW w:type="dxa" w:w="2664"/>
            <w:vAlign w:val="center"/>
          </w:tcPr>
          <w:p>
            <w:pPr>
              <w:spacing w:after="0" w:line="240" w:lineRule="auto"/>
            </w:pPr>
            <w:r>
              <w:rPr>
                <w:rFonts w:ascii="Microsoft YaHei" w:hAnsi="Microsoft YaHei" w:eastAsia="Microsoft YaHei"/>
                <w:b w:val="0"/>
                <w:color w:val="19212A"/>
                <w:sz w:val="14"/>
              </w:rPr>
              <w:t>PROXY / 地址未标注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+0.06%</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$2.70bn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0.013/0.013/0.013</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+1.56%</w:t>
            </w:r>
          </w:p>
        </w:tc>
        <w:tc>
          <w:tcPr>
            <w:tcW w:type="dxa" w:w="1522"/>
            <w:vAlign w:val="center"/>
            <w:shd w:fill="EAF2F8"/>
          </w:tcPr>
          <w:p>
            <w:pPr>
              <w:spacing w:after="0" w:line="240" w:lineRule="auto"/>
            </w:pPr>
            <w:r>
              <w:rPr>
                <w:rFonts w:ascii="Microsoft YaHei" w:hAnsi="Microsoft YaHei" w:eastAsia="Microsoft YaHei"/>
                <w:b w:val="0"/>
                <w:color w:val="19212A"/>
                <w:sz w:val="13"/>
              </w:rPr>
              <w:t>-0.0078%</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0.767/0.767/0.767</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+3.06%</w:t>
            </w:r>
          </w:p>
        </w:tc>
        <w:tc>
          <w:tcPr>
            <w:tcW w:type="dxa" w:w="1522"/>
            <w:vAlign w:val="center"/>
          </w:tcPr>
          <w:p>
            <w:pPr>
              <w:spacing w:after="0" w:line="240" w:lineRule="auto"/>
            </w:pPr>
            <w:r>
              <w:rPr>
                <w:rFonts w:ascii="Microsoft YaHei" w:hAnsi="Microsoft YaHei" w:eastAsia="Microsoft YaHei"/>
                <w:b w:val="0"/>
                <w:color w:val="19212A"/>
                <w:sz w:val="13"/>
              </w:rPr>
              <w:t>-0.0080%</w:t>
            </w:r>
          </w:p>
        </w:tc>
        <w:tc>
          <w:tcPr>
            <w:tcW w:type="dxa" w:w="1522"/>
            <w:vAlign w:val="center"/>
          </w:tcPr>
          <w:p>
            <w:pPr>
              <w:spacing w:after="0" w:line="240" w:lineRule="auto"/>
            </w:pPr>
            <w:r>
              <w:rPr>
                <w:rFonts w:ascii="Microsoft YaHei" w:hAnsi="Microsoft YaHei" w:eastAsia="Microsoft YaHei"/>
                <w:b w:val="0"/>
                <w:color w:val="19212A"/>
                <w:sz w:val="13"/>
              </w:rPr>
              <w:t>$0.33bn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0.217/0.217/0.217</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0.06%、OI 增加 0.00%，最近三小时 Taker 为 0.013、0.013、0.013：价格与OI同步增加更像反弹中的杠杆回补，但末端 Taker 尚未稳定站上1.10，不能直接当成趋势反转。ETH 24小时上涨 1.56%、OI 增加 0.00%；SOL 24小时上涨 3.06%、OI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0.67</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1.83</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0.55</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4.29</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0.67、近月 1.83；ETH 全期限 0.55、近月 4.29。本轮只取得期权持仓结构，没有稳定的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78,247</w:t>
            </w:r>
          </w:p>
        </w:tc>
        <w:tc>
          <w:tcPr>
            <w:tcW w:type="dxa" w:w="1522"/>
            <w:vAlign w:val="center"/>
          </w:tcPr>
          <w:p>
            <w:pPr>
              <w:spacing w:after="0" w:line="240" w:lineRule="auto"/>
            </w:pPr>
            <w:r>
              <w:rPr>
                <w:rFonts w:ascii="Microsoft YaHei" w:hAnsi="Microsoft YaHei" w:eastAsia="Microsoft YaHei"/>
                <w:b w:val="0"/>
                <w:color w:val="19212A"/>
                <w:sz w:val="12"/>
              </w:rPr>
              <w:t>80,952</w:t>
            </w:r>
          </w:p>
        </w:tc>
        <w:tc>
          <w:tcPr>
            <w:tcW w:type="dxa" w:w="1522"/>
            <w:vAlign w:val="center"/>
          </w:tcPr>
          <w:p>
            <w:pPr>
              <w:spacing w:after="0" w:line="240" w:lineRule="auto"/>
            </w:pPr>
            <w:r>
              <w:rPr>
                <w:rFonts w:ascii="Microsoft YaHei" w:hAnsi="Microsoft YaHei" w:eastAsia="Microsoft YaHei"/>
                <w:b w:val="0"/>
                <w:color w:val="19212A"/>
                <w:sz w:val="12"/>
              </w:rPr>
              <w:t>81,591</w:t>
            </w:r>
          </w:p>
        </w:tc>
        <w:tc>
          <w:tcPr>
            <w:tcW w:type="dxa" w:w="1522"/>
            <w:vAlign w:val="center"/>
          </w:tcPr>
          <w:p>
            <w:pPr>
              <w:spacing w:after="0" w:line="240" w:lineRule="auto"/>
            </w:pPr>
            <w:r>
              <w:rPr>
                <w:rFonts w:ascii="Microsoft YaHei" w:hAnsi="Microsoft YaHei" w:eastAsia="Microsoft YaHei"/>
                <w:b w:val="0"/>
                <w:color w:val="19212A"/>
                <w:sz w:val="12"/>
              </w:rPr>
              <w:t>78,247 / 77,747 / 78,247</w:t>
            </w:r>
          </w:p>
        </w:tc>
        <w:tc>
          <w:tcPr>
            <w:tcW w:type="dxa" w:w="1522"/>
            <w:vAlign w:val="center"/>
          </w:tcPr>
          <w:p>
            <w:pPr>
              <w:spacing w:after="0" w:line="240" w:lineRule="auto"/>
            </w:pPr>
            <w:r>
              <w:rPr>
                <w:rFonts w:ascii="Microsoft YaHei" w:hAnsi="Microsoft YaHei" w:eastAsia="Microsoft YaHei"/>
                <w:b w:val="0"/>
                <w:color w:val="19212A"/>
                <w:sz w:val="12"/>
              </w:rPr>
              <w:t>81,591 / 82,091 / 81,591</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2,257</w:t>
            </w:r>
          </w:p>
        </w:tc>
        <w:tc>
          <w:tcPr>
            <w:tcW w:type="dxa" w:w="1522"/>
            <w:vAlign w:val="center"/>
            <w:shd w:fill="EAF2F8"/>
          </w:tcPr>
          <w:p>
            <w:pPr>
              <w:spacing w:after="0" w:line="240" w:lineRule="auto"/>
            </w:pPr>
            <w:r>
              <w:rPr>
                <w:rFonts w:ascii="Microsoft YaHei" w:hAnsi="Microsoft YaHei" w:eastAsia="Microsoft YaHei"/>
                <w:b w:val="0"/>
                <w:color w:val="19212A"/>
                <w:sz w:val="12"/>
              </w:rPr>
              <w:t>2,273</w:t>
            </w:r>
          </w:p>
        </w:tc>
        <w:tc>
          <w:tcPr>
            <w:tcW w:type="dxa" w:w="1522"/>
            <w:vAlign w:val="center"/>
            <w:shd w:fill="EAF2F8"/>
          </w:tcPr>
          <w:p>
            <w:pPr>
              <w:spacing w:after="0" w:line="240" w:lineRule="auto"/>
            </w:pPr>
            <w:r>
              <w:rPr>
                <w:rFonts w:ascii="Microsoft YaHei" w:hAnsi="Microsoft YaHei" w:eastAsia="Microsoft YaHei"/>
                <w:b w:val="0"/>
                <w:color w:val="19212A"/>
                <w:sz w:val="12"/>
              </w:rPr>
              <w:t>2,373</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96.49</w:t>
            </w:r>
          </w:p>
        </w:tc>
        <w:tc>
          <w:tcPr>
            <w:tcW w:type="dxa" w:w="1522"/>
            <w:vAlign w:val="center"/>
          </w:tcPr>
          <w:p>
            <w:pPr>
              <w:spacing w:after="0" w:line="240" w:lineRule="auto"/>
            </w:pPr>
            <w:r>
              <w:rPr>
                <w:rFonts w:ascii="Microsoft YaHei" w:hAnsi="Microsoft YaHei" w:eastAsia="Microsoft YaHei"/>
                <w:b w:val="0"/>
                <w:color w:val="19212A"/>
                <w:sz w:val="12"/>
              </w:rPr>
              <w:t>96.94</w:t>
            </w:r>
          </w:p>
        </w:tc>
        <w:tc>
          <w:tcPr>
            <w:tcW w:type="dxa" w:w="1522"/>
            <w:vAlign w:val="center"/>
          </w:tcPr>
          <w:p>
            <w:pPr>
              <w:spacing w:after="0" w:line="240" w:lineRule="auto"/>
            </w:pPr>
            <w:r>
              <w:rPr>
                <w:rFonts w:ascii="Microsoft YaHei" w:hAnsi="Microsoft YaHei" w:eastAsia="Microsoft YaHei"/>
                <w:b w:val="0"/>
                <w:color w:val="19212A"/>
                <w:sz w:val="12"/>
              </w:rPr>
              <w:t>102.62</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8.4459</w:t>
            </w:r>
          </w:p>
        </w:tc>
        <w:tc>
          <w:tcPr>
            <w:tcW w:type="dxa" w:w="1522"/>
            <w:vAlign w:val="center"/>
            <w:shd w:fill="EAF2F8"/>
          </w:tcPr>
          <w:p>
            <w:pPr>
              <w:spacing w:after="0" w:line="240" w:lineRule="auto"/>
            </w:pPr>
            <w:r>
              <w:rPr>
                <w:rFonts w:ascii="Microsoft YaHei" w:hAnsi="Microsoft YaHei" w:eastAsia="Microsoft YaHei"/>
                <w:b w:val="0"/>
                <w:color w:val="19212A"/>
                <w:sz w:val="12"/>
              </w:rPr>
              <w:t>8.4897</w:t>
            </w:r>
          </w:p>
        </w:tc>
        <w:tc>
          <w:tcPr>
            <w:tcW w:type="dxa" w:w="1522"/>
            <w:vAlign w:val="center"/>
            <w:shd w:fill="EAF2F8"/>
          </w:tcPr>
          <w:p>
            <w:pPr>
              <w:spacing w:after="0" w:line="240" w:lineRule="auto"/>
            </w:pPr>
            <w:r>
              <w:rPr>
                <w:rFonts w:ascii="Microsoft YaHei" w:hAnsi="Microsoft YaHei" w:eastAsia="Microsoft YaHei"/>
                <w:b w:val="0"/>
                <w:color w:val="19212A"/>
                <w:sz w:val="12"/>
              </w:rPr>
              <w:t>9.0420</w:t>
            </w:r>
          </w:p>
        </w:tc>
        <w:tc>
          <w:tcPr>
            <w:tcW w:type="dxa" w:w="1522"/>
            <w:vAlign w:val="center"/>
            <w:shd w:fill="EAF2F8"/>
          </w:tcPr>
          <w:p>
            <w:pPr>
              <w:spacing w:after="0" w:line="240" w:lineRule="auto"/>
            </w:pPr>
            <w:r>
              <w:rPr>
                <w:rFonts w:ascii="Microsoft YaHei" w:hAnsi="Microsoft YaHei" w:eastAsia="Microsoft YaHei"/>
                <w:b w:val="0"/>
                <w:color w:val="19212A"/>
                <w:sz w:val="12"/>
              </w:rPr>
              <w:t>8.0910 / 8.4459</w:t>
            </w:r>
          </w:p>
        </w:tc>
        <w:tc>
          <w:tcPr>
            <w:tcW w:type="dxa" w:w="1522"/>
            <w:vAlign w:val="center"/>
            <w:shd w:fill="EAF2F8"/>
          </w:tcPr>
          <w:p>
            <w:pPr>
              <w:spacing w:after="0" w:line="240" w:lineRule="auto"/>
            </w:pPr>
            <w:r>
              <w:rPr>
                <w:rFonts w:ascii="Microsoft YaHei" w:hAnsi="Microsoft YaHei" w:eastAsia="Microsoft YaHei"/>
                <w:b w:val="0"/>
                <w:color w:val="19212A"/>
                <w:sz w:val="12"/>
              </w:rPr>
              <w:t>9.0420 / 8.6750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1.2441</w:t>
            </w:r>
          </w:p>
        </w:tc>
        <w:tc>
          <w:tcPr>
            <w:tcW w:type="dxa" w:w="1522"/>
            <w:vAlign w:val="center"/>
          </w:tcPr>
          <w:p>
            <w:pPr>
              <w:spacing w:after="0" w:line="240" w:lineRule="auto"/>
            </w:pPr>
            <w:r>
              <w:rPr>
                <w:rFonts w:ascii="Microsoft YaHei" w:hAnsi="Microsoft YaHei" w:eastAsia="Microsoft YaHei"/>
                <w:b w:val="0"/>
                <w:color w:val="19212A"/>
                <w:sz w:val="12"/>
              </w:rPr>
              <w:t>1.2479</w:t>
            </w:r>
          </w:p>
        </w:tc>
        <w:tc>
          <w:tcPr>
            <w:tcW w:type="dxa" w:w="1522"/>
            <w:vAlign w:val="center"/>
          </w:tcPr>
          <w:p>
            <w:pPr>
              <w:spacing w:after="0" w:line="240" w:lineRule="auto"/>
            </w:pPr>
            <w:r>
              <w:rPr>
                <w:rFonts w:ascii="Microsoft YaHei" w:hAnsi="Microsoft YaHei" w:eastAsia="Microsoft YaHei"/>
                <w:b w:val="0"/>
                <w:color w:val="19212A"/>
                <w:sz w:val="12"/>
              </w:rPr>
              <w:t>1.3251</w:t>
            </w:r>
          </w:p>
        </w:tc>
        <w:tc>
          <w:tcPr>
            <w:tcW w:type="dxa" w:w="1522"/>
            <w:vAlign w:val="center"/>
          </w:tcPr>
          <w:p>
            <w:pPr>
              <w:spacing w:after="0" w:line="240" w:lineRule="auto"/>
            </w:pPr>
            <w:r>
              <w:rPr>
                <w:rFonts w:ascii="Microsoft YaHei" w:hAnsi="Microsoft YaHei" w:eastAsia="Microsoft YaHei"/>
                <w:b w:val="0"/>
                <w:color w:val="19212A"/>
                <w:sz w:val="12"/>
              </w:rPr>
              <w:t>1.1987 / 1.2441</w:t>
            </w:r>
          </w:p>
        </w:tc>
        <w:tc>
          <w:tcPr>
            <w:tcW w:type="dxa" w:w="1522"/>
            <w:vAlign w:val="center"/>
          </w:tcPr>
          <w:p>
            <w:pPr>
              <w:spacing w:after="0" w:line="240" w:lineRule="auto"/>
            </w:pPr>
            <w:r>
              <w:rPr>
                <w:rFonts w:ascii="Microsoft YaHei" w:hAnsi="Microsoft YaHei" w:eastAsia="Microsoft YaHei"/>
                <w:b w:val="0"/>
                <w:color w:val="19212A"/>
                <w:sz w:val="12"/>
              </w:rPr>
              <w:t>1.3251 / 1.2736</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78,247 与 VAH 81,591 之间、靠近 POC 80,952，说明价格在正常成交区中部，不自动等于多头或空头；下沿扫低收回才有多头条件，上沿 81,491-81,671 失败才有空头条件。AVAX 的 POC 约 8.4897、XRP 的 POC 约 1.2479，只代表这五天成交最密集处。真实全网清算热力图本轮未取得，图中上下方数字只是止损/流动性代理，不代表真实清算金额。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+0.06%</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+1.56%</w:t>
            </w:r>
          </w:p>
        </w:tc>
        <w:tc>
          <w:tcPr>
            <w:tcW w:type="dxa" w:w="2131"/>
            <w:vAlign w:val="center"/>
            <w:shd w:fill="EAF2F8"/>
          </w:tcPr>
          <w:p>
            <w:pPr>
              <w:spacing w:after="0" w:line="240" w:lineRule="auto"/>
            </w:pPr>
            <w:r>
              <w:rPr>
                <w:rFonts w:ascii="Microsoft YaHei" w:hAnsi="Microsoft YaHei" w:eastAsia="Microsoft YaHei"/>
                <w:b w:val="0"/>
                <w:color w:val="19212A"/>
                <w:sz w:val="14"/>
              </w:rPr>
              <w:t>ETH/BTC +0.99%</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+3.06% / +5.88% / +3.92%</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+12.33% / +3.92% / +3.84%</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+5.82pp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+5.88%；OI +0.00%；Funding +0.0022%；Taker 0.044</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+3.86pp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+3.92%；OI +0.00%；Funding -0.0045%；Taker 0.157</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+5.82pp</w:t>
            </w:r>
          </w:p>
        </w:tc>
        <w:tc>
          <w:tcPr>
            <w:tcW w:type="dxa" w:w="2664"/>
            <w:vAlign w:val="center"/>
          </w:tcPr>
          <w:p>
            <w:pPr>
              <w:spacing w:after="0" w:line="240" w:lineRule="auto"/>
            </w:pPr>
            <w:r>
              <w:rPr>
                <w:rFonts w:ascii="Microsoft YaHei" w:hAnsi="Microsoft YaHei" w:eastAsia="Microsoft YaHei"/>
                <w:b w:val="0"/>
                <w:color w:val="19212A"/>
                <w:sz w:val="14"/>
              </w:rPr>
              <w:t>+3.86pp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0.044</w:t>
            </w:r>
          </w:p>
        </w:tc>
        <w:tc>
          <w:tcPr>
            <w:tcW w:type="dxa" w:w="2664"/>
            <w:vAlign w:val="center"/>
          </w:tcPr>
          <w:p>
            <w:pPr>
              <w:spacing w:after="0" w:line="240" w:lineRule="auto"/>
            </w:pPr>
            <w:r>
              <w:rPr>
                <w:rFonts w:ascii="Microsoft YaHei" w:hAnsi="Microsoft YaHei" w:eastAsia="Microsoft YaHei"/>
                <w:b w:val="0"/>
                <w:color w:val="19212A"/>
                <w:sz w:val="14"/>
              </w:rPr>
              <w:t>OI +0.00%，Taker 0.157</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暂无已核验的未来节点。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81,491-81,671是否触达；15m/30m能否冲高失败、跌回VAH 81,591下方并形成LH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81,491-81,671是否触达；反弹后能否重新跌回VAL下方并形成LH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OI增加后是否继续；Taker能否从0.013回落并再次转弱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78,247 后收回形成 HL，或上沿 81,491-81,671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2026-10-31T08:35:36.683709+08:00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2026-10-31T08:35:36.683709+08:00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2026-10-31 08:35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2026-10-31T08:35:36.683709+08:00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2026-10-31T08:35:36.683709+08:00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2026-10-31T08:35:36.683709+08:00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2026-10-31T08:35:36.683709+08:00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2026-10-31</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2026-10-31T08:35:36.683709+08:00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2026-10-31</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2026-10-31</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2026-10-31T08:35:36.683709+08:00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2026-10-31</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- 2026-10-31</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