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 - 2026-10-25 07:02 BJT</w:t>
      </w:r>
    </w:p>
    <w:p>
      <w:pPr>
        <w:spacing w:after="160"/>
        <w:jc w:val="center"/>
      </w:pPr>
      <w:r>
        <w:rPr>
          <w:rFonts w:ascii="Microsoft YaHei" w:hAnsi="Microsoft YaHei" w:eastAsia="Microsoft YaHei"/>
          <w:b w:val="0"/>
          <w:color w:val="5A5A5A"/>
          <w:sz w:val="16"/>
        </w:rPr>
        <w:t>2026-10-25 | 市场快照 07:02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2026-10-25T07:02:03.542743+08:00 的 BTC/ETH/SOL 行情与 OKX 永续合约备选源（Binance/Bybit 本轮不可用）、Deribit 期权、Binance/OKX 现货成交带与盘口快照；ETF 数据以本次输入中最新可核验公开值为准，ETH/SOL 当日值可能不完整，宏观、催化剂与大佬观点核验截止 2026-10-25 07:02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80,570低于正常震荡区下沿 VAL 81,214，现价不直接追单；下沿多头本轮因 TP1 净R:R不足而淘汰，不做多；上沿只有进入 84,432-84,612 后冲高失败才做空。上沿一条条件卡有效至 2026-10-25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HTF_TREND_DOWN + PULLBACK / 低于正常震荡区下沿 VAL 81,214</w:t>
            </w:r>
          </w:p>
        </w:tc>
        <w:tc>
          <w:tcPr>
            <w:tcW w:type="dxa" w:w="2131"/>
            <w:vAlign w:val="center"/>
          </w:tcPr>
          <w:p>
            <w:pPr>
              <w:spacing w:after="0" w:line="240" w:lineRule="auto"/>
            </w:pPr>
            <w:r>
              <w:rPr>
                <w:rFonts w:ascii="Microsoft YaHei" w:hAnsi="Microsoft YaHei" w:eastAsia="Microsoft YaHei"/>
                <w:b w:val="0"/>
                <w:color w:val="19212A"/>
                <w:sz w:val="14"/>
              </w:rPr>
              <w:t>下沿多头本轮无合格预案；上沿等S2c 趋势回踩空 84,432-84,612</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81,214-84,532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中线偏空</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2,362 收回与 EMA20 2,388，无独立交易卡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2,388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103.28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EMA20 103.28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HTF_TREND_DOWN + PULLBACK，ETH/SOL处于过渡，因此当前更准确的描述是‘中线震荡、短线偏弱’，还不是确认的大级别牛市或熊市。今天只允许上沿回踩受阻空，现价附近不交易。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多（无合格预案）</w:t>
            </w:r>
          </w:p>
        </w:tc>
        <w:tc>
          <w:tcPr>
            <w:tcW w:type="dxa" w:w="1332"/>
            <w:vAlign w:val="center"/>
          </w:tcPr>
          <w:p>
            <w:pPr>
              <w:spacing w:after="0" w:line="240" w:lineRule="auto"/>
            </w:pPr>
            <w:r>
              <w:rPr>
                <w:rFonts w:ascii="Microsoft YaHei" w:hAnsi="Microsoft YaHei" w:eastAsia="Microsoft YaHei"/>
                <w:b w:val="0"/>
                <w:color w:val="19212A"/>
                <w:sz w:val="12"/>
              </w:rPr>
              <w:t>下沿 81,114-81,264 未通过本轮 R:R/结构闸门</w:t>
            </w:r>
          </w:p>
        </w:tc>
        <w:tc>
          <w:tcPr>
            <w:tcW w:type="dxa" w:w="1332"/>
            <w:vAlign w:val="center"/>
          </w:tcPr>
          <w:p>
            <w:pPr>
              <w:spacing w:after="0" w:line="240" w:lineRule="auto"/>
            </w:pPr>
            <w:r>
              <w:rPr>
                <w:rFonts w:ascii="Microsoft YaHei" w:hAnsi="Microsoft YaHei" w:eastAsia="Microsoft YaHei"/>
                <w:b w:val="0"/>
                <w:color w:val="19212A"/>
                <w:sz w:val="12"/>
              </w:rPr>
              <w:t>81,114-81,264 / 81,264</w:t>
            </w:r>
          </w:p>
        </w:tc>
        <w:tc>
          <w:tcPr>
            <w:tcW w:type="dxa" w:w="1332"/>
            <w:vAlign w:val="center"/>
          </w:tcPr>
          <w:p>
            <w:pPr>
              <w:spacing w:after="0" w:line="240" w:lineRule="auto"/>
            </w:pPr>
            <w:r>
              <w:rPr>
                <w:rFonts w:ascii="Microsoft YaHei" w:hAnsi="Microsoft YaHei" w:eastAsia="Microsoft YaHei"/>
                <w:b w:val="0"/>
                <w:color w:val="19212A"/>
                <w:sz w:val="12"/>
              </w:rPr>
              <w:t>80,714</w:t>
            </w:r>
          </w:p>
        </w:tc>
        <w:tc>
          <w:tcPr>
            <w:tcW w:type="dxa" w:w="1332"/>
            <w:vAlign w:val="center"/>
          </w:tcPr>
          <w:p>
            <w:pPr>
              <w:spacing w:after="0" w:line="240" w:lineRule="auto"/>
            </w:pPr>
            <w:r>
              <w:rPr>
                <w:rFonts w:ascii="Microsoft YaHei" w:hAnsi="Microsoft YaHei" w:eastAsia="Microsoft YaHei"/>
                <w:b w:val="0"/>
                <w:color w:val="19212A"/>
                <w:sz w:val="12"/>
              </w:rPr>
              <w:t>81,666 / 84,532</w:t>
            </w:r>
          </w:p>
        </w:tc>
        <w:tc>
          <w:tcPr>
            <w:tcW w:type="dxa" w:w="1332"/>
            <w:vAlign w:val="center"/>
          </w:tcPr>
          <w:p>
            <w:pPr>
              <w:spacing w:after="0" w:line="240" w:lineRule="auto"/>
            </w:pPr>
            <w:r>
              <w:rPr>
                <w:rFonts w:ascii="Microsoft YaHei" w:hAnsi="Microsoft YaHei" w:eastAsia="Microsoft YaHei"/>
                <w:b w:val="0"/>
                <w:color w:val="19212A"/>
                <w:sz w:val="12"/>
              </w:rPr>
              <w:t>TP1 1:0.47；加权 1:3.13</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空（S2c 趋势回踩空）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84,432-84,612，15m/30m出现冲高失败、LH并重新跌回 VAH 84,532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84,432-84,612 / 84,612</w:t>
            </w:r>
          </w:p>
        </w:tc>
        <w:tc>
          <w:tcPr>
            <w:tcW w:type="dxa" w:w="1332"/>
            <w:vAlign w:val="center"/>
            <w:shd w:fill="EAF2F8"/>
          </w:tcPr>
          <w:p>
            <w:pPr>
              <w:spacing w:after="0" w:line="240" w:lineRule="auto"/>
            </w:pPr>
            <w:r>
              <w:rPr>
                <w:rFonts w:ascii="Microsoft YaHei" w:hAnsi="Microsoft YaHei" w:eastAsia="Microsoft YaHei"/>
                <w:b w:val="0"/>
                <w:color w:val="19212A"/>
                <w:sz w:val="12"/>
              </w:rPr>
              <w:t>85,032</w:t>
            </w:r>
          </w:p>
        </w:tc>
        <w:tc>
          <w:tcPr>
            <w:tcW w:type="dxa" w:w="1332"/>
            <w:vAlign w:val="center"/>
            <w:shd w:fill="EAF2F8"/>
          </w:tcPr>
          <w:p>
            <w:pPr>
              <w:spacing w:after="0" w:line="240" w:lineRule="auto"/>
            </w:pPr>
            <w:r>
              <w:rPr>
                <w:rFonts w:ascii="Microsoft YaHei" w:hAnsi="Microsoft YaHei" w:eastAsia="Microsoft YaHei"/>
                <w:b w:val="0"/>
                <w:color w:val="19212A"/>
                <w:sz w:val="12"/>
              </w:rPr>
              <w:t>81,666 / 81,214</w:t>
            </w:r>
          </w:p>
        </w:tc>
        <w:tc>
          <w:tcPr>
            <w:tcW w:type="dxa" w:w="1332"/>
            <w:vAlign w:val="center"/>
            <w:shd w:fill="EAF2F8"/>
          </w:tcPr>
          <w:p>
            <w:pPr>
              <w:spacing w:after="0" w:line="240" w:lineRule="auto"/>
            </w:pPr>
            <w:r>
              <w:rPr>
                <w:rFonts w:ascii="Microsoft YaHei" w:hAnsi="Microsoft YaHei" w:eastAsia="Microsoft YaHei"/>
                <w:b w:val="0"/>
                <w:color w:val="19212A"/>
                <w:sz w:val="12"/>
              </w:rPr>
              <w:t>TP1 1:5.45；加权 1:5.97</w:t>
            </w:r>
          </w:p>
        </w:tc>
        <w:tc>
          <w:tcPr>
            <w:tcW w:type="dxa" w:w="1332"/>
            <w:vAlign w:val="center"/>
            <w:shd w:fill="EAF2F8"/>
          </w:tcPr>
          <w:p>
            <w:pPr>
              <w:spacing w:after="0" w:line="240" w:lineRule="auto"/>
            </w:pPr>
            <w:r>
              <w:rPr>
                <w:rFonts w:ascii="Microsoft YaHei" w:hAnsi="Microsoft YaHei" w:eastAsia="Microsoft YaHei"/>
                <w:b w:val="0"/>
                <w:color w:val="19212A"/>
                <w:sz w:val="12"/>
              </w:rPr>
              <w:t>2026-10-25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当前低于正常震荡区下沿 VAL 81,214；POC 81,666 可以理解为最近成交最拥挤的中轴，不是追单位置。下沿多头本轮因 TP1 净R:R不足而取消；上沿空头必须先进入 84,432-84,612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rPr>
          <w:tblHeader w:val="true"/>
        </w:trPr>
        <w:tc>
          <w:tcPr>
            <w:tcW w:type="dxa" w:w="969"/>
            <w:shd w:fill="1F4E78"/>
          </w:tcPr>
          <w:p>
            <w:r>
              <w:rPr>
                <w:rFonts w:ascii="Microsoft YaHei" w:hAnsi="Microsoft YaHei" w:eastAsia="Microsoft YaHei"/>
                <w:b/>
                <w:color w:val="FFFFFF"/>
                <w:sz w:val="10"/>
              </w:rPr>
              <w:t>资产</w:t>
            </w:r>
          </w:p>
        </w:tc>
        <w:tc>
          <w:tcPr>
            <w:tcW w:type="dxa" w:w="969"/>
            <w:shd w:fill="1F4E78"/>
          </w:tcPr>
          <w:p>
            <w:r>
              <w:rPr>
                <w:rFonts w:ascii="Microsoft YaHei" w:hAnsi="Microsoft YaHei" w:eastAsia="Microsoft YaHei"/>
                <w:b/>
                <w:color w:val="FFFFFF"/>
                <w:sz w:val="10"/>
              </w:rPr>
              <w:t>窗口</w:t>
            </w:r>
          </w:p>
        </w:tc>
        <w:tc>
          <w:tcPr>
            <w:tcW w:type="dxa" w:w="969"/>
            <w:shd w:fill="1F4E78"/>
          </w:tcPr>
          <w:p>
            <w:r>
              <w:rPr>
                <w:rFonts w:ascii="Microsoft YaHei" w:hAnsi="Microsoft YaHei" w:eastAsia="Microsoft YaHei"/>
                <w:b/>
                <w:color w:val="FFFFFF"/>
                <w:sz w:val="10"/>
              </w:rPr>
              <w:t>趋势Regime</w:t>
            </w:r>
          </w:p>
        </w:tc>
        <w:tc>
          <w:tcPr>
            <w:tcW w:type="dxa" w:w="969"/>
            <w:shd w:fill="1F4E78"/>
          </w:tcPr>
          <w:p>
            <w:r>
              <w:rPr>
                <w:rFonts w:ascii="Microsoft YaHei" w:hAnsi="Microsoft YaHei" w:eastAsia="Microsoft YaHei"/>
                <w:b/>
                <w:color w:val="FFFFFF"/>
                <w:sz w:val="10"/>
              </w:rPr>
              <w:t>统计±1σ</w:t>
            </w:r>
          </w:p>
        </w:tc>
        <w:tc>
          <w:tcPr>
            <w:tcW w:type="dxa" w:w="969"/>
            <w:shd w:fill="1F4E78"/>
          </w:tcPr>
          <w:p>
            <w:r>
              <w:rPr>
                <w:rFonts w:ascii="Microsoft YaHei" w:hAnsi="Microsoft YaHei" w:eastAsia="Microsoft YaHei"/>
                <w:b/>
                <w:color w:val="FFFFFF"/>
                <w:sz w:val="10"/>
              </w:rPr>
              <w:t>条件底带</w:t>
            </w:r>
          </w:p>
        </w:tc>
        <w:tc>
          <w:tcPr>
            <w:tcW w:type="dxa" w:w="969"/>
            <w:shd w:fill="1F4E78"/>
          </w:tcPr>
          <w:p>
            <w:r>
              <w:rPr>
                <w:rFonts w:ascii="Microsoft YaHei" w:hAnsi="Microsoft YaHei" w:eastAsia="Microsoft YaHei"/>
                <w:b/>
                <w:color w:val="FFFFFF"/>
                <w:sz w:val="10"/>
              </w:rPr>
              <w:t>条件顶带</w:t>
            </w:r>
          </w:p>
        </w:tc>
        <w:tc>
          <w:tcPr>
            <w:tcW w:type="dxa" w:w="969"/>
            <w:shd w:fill="1F4E78"/>
          </w:tcPr>
          <w:p>
            <w:r>
              <w:rPr>
                <w:rFonts w:ascii="Microsoft YaHei" w:hAnsi="Microsoft YaHei" w:eastAsia="Microsoft YaHei"/>
                <w:b/>
                <w:color w:val="FFFFFF"/>
                <w:sz w:val="10"/>
              </w:rPr>
              <w:t>历史近邻：底/顶/无</w:t>
            </w:r>
          </w:p>
        </w:tc>
        <w:tc>
          <w:tcPr>
            <w:tcW w:type="dxa" w:w="969"/>
            <w:shd w:fill="1F4E78"/>
          </w:tcPr>
          <w:p>
            <w:r>
              <w:rPr>
                <w:rFonts w:ascii="Microsoft YaHei" w:hAnsi="Microsoft YaHei" w:eastAsia="Microsoft YaHei"/>
                <w:b/>
                <w:color w:val="FFFFFF"/>
                <w:sz w:val="10"/>
              </w:rPr>
              <w:t>双向洗盘</w:t>
            </w:r>
          </w:p>
        </w:tc>
        <w:tc>
          <w:tcPr>
            <w:tcW w:type="dxa" w:w="969"/>
            <w:shd w:fill="1F4E78"/>
          </w:tcPr>
          <w:p>
            <w:r>
              <w:rPr>
                <w:rFonts w:ascii="Microsoft YaHei" w:hAnsi="Microsoft YaHei" w:eastAsia="Microsoft YaHei"/>
                <w:b/>
                <w:color w:val="FFFFFF"/>
                <w:sz w:val="10"/>
              </w:rPr>
              <w:t>有效N</w:t>
            </w:r>
          </w:p>
        </w:tc>
        <w:tc>
          <w:tcPr>
            <w:tcW w:type="dxa" w:w="969"/>
            <w:shd w:fill="1F4E78"/>
          </w:tcPr>
          <w:p>
            <w:r>
              <w:rPr>
                <w:rFonts w:ascii="Microsoft YaHei" w:hAnsi="Microsoft YaHei" w:eastAsia="Microsoft YaHei"/>
                <w:b/>
                <w:color w:val="FFFFFF"/>
                <w:sz w:val="10"/>
              </w:rPr>
              <w:t>状态</w:t>
            </w:r>
          </w:p>
        </w:tc>
        <w:tc>
          <w:tcPr>
            <w:tcW w:type="dxa" w:w="969"/>
            <w:shd w:fill="1F4E78"/>
          </w:tcPr>
          <w:p>
            <w:r>
              <w:rPr>
                <w:rFonts w:ascii="Microsoft YaHei" w:hAnsi="Microsoft YaHei" w:eastAsia="Microsoft YaHei"/>
                <w:b/>
                <w:color w:val="FFFFFF"/>
                <w:sz w:val="10"/>
              </w:rPr>
              <w:t>当前相对位置</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HTF_TREND_DOWN + PULLBACK</w:t>
            </w:r>
          </w:p>
        </w:tc>
        <w:tc>
          <w:tcPr>
            <w:tcW w:type="dxa" w:w="969"/>
            <w:vAlign w:val="center"/>
          </w:tcPr>
          <w:p>
            <w:pPr>
              <w:spacing w:after="0" w:line="240" w:lineRule="auto"/>
            </w:pPr>
            <w:r>
              <w:rPr>
                <w:rFonts w:ascii="Microsoft YaHei" w:hAnsi="Microsoft YaHei" w:eastAsia="Microsoft YaHei"/>
                <w:b w:val="0"/>
                <w:color w:val="19212A"/>
                <w:sz w:val="10"/>
              </w:rPr>
              <w:t>79,270-81,635</w:t>
            </w:r>
          </w:p>
        </w:tc>
        <w:tc>
          <w:tcPr>
            <w:tcW w:type="dxa" w:w="969"/>
            <w:vAlign w:val="center"/>
          </w:tcPr>
          <w:p>
            <w:pPr>
              <w:spacing w:after="0" w:line="240" w:lineRule="auto"/>
            </w:pPr>
            <w:r>
              <w:rPr>
                <w:rFonts w:ascii="Microsoft YaHei" w:hAnsi="Microsoft YaHei" w:eastAsia="Microsoft YaHei"/>
                <w:b w:val="0"/>
                <w:color w:val="19212A"/>
                <w:sz w:val="10"/>
              </w:rPr>
              <w:t>78,962-80,008</w:t>
            </w:r>
          </w:p>
        </w:tc>
        <w:tc>
          <w:tcPr>
            <w:tcW w:type="dxa" w:w="969"/>
            <w:vAlign w:val="center"/>
          </w:tcPr>
          <w:p>
            <w:pPr>
              <w:spacing w:after="0" w:line="240" w:lineRule="auto"/>
            </w:pPr>
            <w:r>
              <w:rPr>
                <w:rFonts w:ascii="Microsoft YaHei" w:hAnsi="Microsoft YaHei" w:eastAsia="Microsoft YaHei"/>
                <w:b w:val="0"/>
                <w:color w:val="19212A"/>
                <w:sz w:val="10"/>
              </w:rPr>
              <w:t>80,766-82,110</w:t>
            </w:r>
          </w:p>
        </w:tc>
        <w:tc>
          <w:tcPr>
            <w:tcW w:type="dxa" w:w="969"/>
            <w:vAlign w:val="center"/>
          </w:tcPr>
          <w:p>
            <w:pPr>
              <w:spacing w:after="0" w:line="240" w:lineRule="auto"/>
            </w:pPr>
            <w:r>
              <w:rPr>
                <w:rFonts w:ascii="Microsoft YaHei" w:hAnsi="Microsoft YaHei" w:eastAsia="Microsoft YaHei"/>
                <w:b w:val="0"/>
                <w:color w:val="19212A"/>
                <w:sz w:val="10"/>
              </w:rPr>
              <w:t>40.1% / 29.5% / 30.4%</w:t>
            </w:r>
          </w:p>
        </w:tc>
        <w:tc>
          <w:tcPr>
            <w:tcW w:type="dxa" w:w="969"/>
            <w:vAlign w:val="center"/>
          </w:tcPr>
          <w:p>
            <w:pPr>
              <w:spacing w:after="0" w:line="240" w:lineRule="auto"/>
            </w:pPr>
            <w:r>
              <w:rPr>
                <w:rFonts w:ascii="Microsoft YaHei" w:hAnsi="Microsoft YaHei" w:eastAsia="Microsoft YaHei"/>
                <w:b w:val="0"/>
                <w:color w:val="19212A"/>
                <w:sz w:val="10"/>
              </w:rPr>
              <w:t>16.5%</w:t>
            </w:r>
          </w:p>
        </w:tc>
        <w:tc>
          <w:tcPr>
            <w:tcW w:type="dxa" w:w="969"/>
            <w:vAlign w:val="center"/>
          </w:tcPr>
          <w:p>
            <w:pPr>
              <w:spacing w:after="0" w:line="240" w:lineRule="auto"/>
            </w:pPr>
            <w:r>
              <w:rPr>
                <w:rFonts w:ascii="Microsoft YaHei" w:hAnsi="Microsoft YaHei" w:eastAsia="Microsoft YaHei"/>
                <w:b w:val="0"/>
                <w:color w:val="19212A"/>
                <w:sz w:val="10"/>
              </w:rPr>
              <w:t>30.0</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80,570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BTC</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PULLBACK</w:t>
            </w:r>
          </w:p>
        </w:tc>
        <w:tc>
          <w:tcPr>
            <w:tcW w:type="dxa" w:w="969"/>
            <w:vAlign w:val="center"/>
            <w:shd w:fill="EAF2F8"/>
          </w:tcPr>
          <w:p>
            <w:pPr>
              <w:spacing w:after="0" w:line="240" w:lineRule="auto"/>
            </w:pPr>
            <w:r>
              <w:rPr>
                <w:rFonts w:ascii="Microsoft YaHei" w:hAnsi="Microsoft YaHei" w:eastAsia="Microsoft YaHei"/>
                <w:b w:val="0"/>
                <w:color w:val="19212A"/>
                <w:sz w:val="10"/>
              </w:rPr>
              <w:t>78,422-82,518</w:t>
            </w:r>
          </w:p>
        </w:tc>
        <w:tc>
          <w:tcPr>
            <w:tcW w:type="dxa" w:w="969"/>
            <w:vAlign w:val="center"/>
            <w:shd w:fill="EAF2F8"/>
          </w:tcPr>
          <w:p>
            <w:pPr>
              <w:spacing w:after="0" w:line="240" w:lineRule="auto"/>
            </w:pPr>
            <w:r>
              <w:rPr>
                <w:rFonts w:ascii="Microsoft YaHei" w:hAnsi="Microsoft YaHei" w:eastAsia="Microsoft YaHei"/>
                <w:b w:val="0"/>
                <w:color w:val="19212A"/>
                <w:sz w:val="10"/>
              </w:rPr>
              <w:t>78,646-79,662</w:t>
            </w:r>
          </w:p>
        </w:tc>
        <w:tc>
          <w:tcPr>
            <w:tcW w:type="dxa" w:w="969"/>
            <w:vAlign w:val="center"/>
            <w:shd w:fill="EAF2F8"/>
          </w:tcPr>
          <w:p>
            <w:pPr>
              <w:spacing w:after="0" w:line="240" w:lineRule="auto"/>
            </w:pPr>
            <w:r>
              <w:rPr>
                <w:rFonts w:ascii="Microsoft YaHei" w:hAnsi="Microsoft YaHei" w:eastAsia="Microsoft YaHei"/>
                <w:b w:val="0"/>
                <w:color w:val="19212A"/>
                <w:sz w:val="10"/>
              </w:rPr>
              <w:t>82,384-83,638</w:t>
            </w:r>
          </w:p>
        </w:tc>
        <w:tc>
          <w:tcPr>
            <w:tcW w:type="dxa" w:w="969"/>
            <w:vAlign w:val="center"/>
            <w:shd w:fill="EAF2F8"/>
          </w:tcPr>
          <w:p>
            <w:pPr>
              <w:spacing w:after="0" w:line="240" w:lineRule="auto"/>
            </w:pPr>
            <w:r>
              <w:rPr>
                <w:rFonts w:ascii="Microsoft YaHei" w:hAnsi="Microsoft YaHei" w:eastAsia="Microsoft YaHei"/>
                <w:b w:val="0"/>
                <w:color w:val="19212A"/>
                <w:sz w:val="10"/>
              </w:rPr>
              <w:t>28.9% / 51.8% / 19.3%</w:t>
            </w:r>
          </w:p>
        </w:tc>
        <w:tc>
          <w:tcPr>
            <w:tcW w:type="dxa" w:w="969"/>
            <w:vAlign w:val="center"/>
            <w:shd w:fill="EAF2F8"/>
          </w:tcPr>
          <w:p>
            <w:pPr>
              <w:spacing w:after="0" w:line="240" w:lineRule="auto"/>
            </w:pPr>
            <w:r>
              <w:rPr>
                <w:rFonts w:ascii="Microsoft YaHei" w:hAnsi="Microsoft YaHei" w:eastAsia="Microsoft YaHei"/>
                <w:b w:val="0"/>
                <w:color w:val="19212A"/>
                <w:sz w:val="10"/>
              </w:rPr>
              <w:t>46.7%</w:t>
            </w:r>
          </w:p>
        </w:tc>
        <w:tc>
          <w:tcPr>
            <w:tcW w:type="dxa" w:w="969"/>
            <w:vAlign w:val="center"/>
            <w:shd w:fill="EAF2F8"/>
          </w:tcPr>
          <w:p>
            <w:pPr>
              <w:spacing w:after="0" w:line="240" w:lineRule="auto"/>
            </w:pPr>
            <w:r>
              <w:rPr>
                <w:rFonts w:ascii="Microsoft YaHei" w:hAnsi="Microsoft YaHei" w:eastAsia="Microsoft YaHei"/>
                <w:b w:val="0"/>
                <w:color w:val="19212A"/>
                <w:sz w:val="10"/>
              </w:rPr>
              <w:t>19.5</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80,570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HTF_TREND_DOWN + PULLBACK</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24h</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PULLBACK</w:t>
            </w:r>
          </w:p>
        </w:tc>
        <w:tc>
          <w:tcPr>
            <w:tcW w:type="dxa" w:w="969"/>
            <w:vAlign w:val="center"/>
            <w:shd w:fill="EAF2F8"/>
          </w:tcPr>
          <w:p>
            <w:pPr>
              <w:spacing w:after="0" w:line="240" w:lineRule="auto"/>
            </w:pPr>
            <w:r>
              <w:rPr>
                <w:rFonts w:ascii="Microsoft YaHei" w:hAnsi="Microsoft YaHei" w:eastAsia="Microsoft YaHei"/>
                <w:b w:val="0"/>
                <w:color w:val="19212A"/>
                <w:sz w:val="10"/>
              </w:rPr>
              <w:t>2,285-2,393</w:t>
            </w:r>
          </w:p>
        </w:tc>
        <w:tc>
          <w:tcPr>
            <w:tcW w:type="dxa" w:w="969"/>
            <w:vAlign w:val="center"/>
            <w:shd w:fill="EAF2F8"/>
          </w:tcPr>
          <w:p>
            <w:pPr>
              <w:spacing w:after="0" w:line="240" w:lineRule="auto"/>
            </w:pPr>
            <w:r>
              <w:rPr>
                <w:rFonts w:ascii="Microsoft YaHei" w:hAnsi="Microsoft YaHei" w:eastAsia="Microsoft YaHei"/>
                <w:b w:val="0"/>
                <w:color w:val="19212A"/>
                <w:sz w:val="10"/>
              </w:rPr>
              <w:t>2,278-2,316</w:t>
            </w:r>
          </w:p>
        </w:tc>
        <w:tc>
          <w:tcPr>
            <w:tcW w:type="dxa" w:w="969"/>
            <w:vAlign w:val="center"/>
            <w:shd w:fill="EAF2F8"/>
          </w:tcPr>
          <w:p>
            <w:pPr>
              <w:spacing w:after="0" w:line="240" w:lineRule="auto"/>
            </w:pPr>
            <w:r>
              <w:rPr>
                <w:rFonts w:ascii="Microsoft YaHei" w:hAnsi="Microsoft YaHei" w:eastAsia="Microsoft YaHei"/>
                <w:b w:val="0"/>
                <w:color w:val="19212A"/>
                <w:sz w:val="10"/>
              </w:rPr>
              <w:t>2,354-2,411</w:t>
            </w:r>
          </w:p>
        </w:tc>
        <w:tc>
          <w:tcPr>
            <w:tcW w:type="dxa" w:w="969"/>
            <w:vAlign w:val="center"/>
            <w:shd w:fill="EAF2F8"/>
          </w:tcPr>
          <w:p>
            <w:pPr>
              <w:spacing w:after="0" w:line="240" w:lineRule="auto"/>
            </w:pPr>
            <w:r>
              <w:rPr>
                <w:rFonts w:ascii="Microsoft YaHei" w:hAnsi="Microsoft YaHei" w:eastAsia="Microsoft YaHei"/>
                <w:b w:val="0"/>
                <w:color w:val="19212A"/>
                <w:sz w:val="10"/>
              </w:rPr>
              <w:t>50.3% / 31.2% / 18.5%</w:t>
            </w:r>
          </w:p>
        </w:tc>
        <w:tc>
          <w:tcPr>
            <w:tcW w:type="dxa" w:w="969"/>
            <w:vAlign w:val="center"/>
            <w:shd w:fill="EAF2F8"/>
          </w:tcPr>
          <w:p>
            <w:pPr>
              <w:spacing w:after="0" w:line="240" w:lineRule="auto"/>
            </w:pPr>
            <w:r>
              <w:rPr>
                <w:rFonts w:ascii="Microsoft YaHei" w:hAnsi="Microsoft YaHei" w:eastAsia="Microsoft YaHei"/>
                <w:b w:val="0"/>
                <w:color w:val="19212A"/>
                <w:sz w:val="10"/>
              </w:rPr>
              <w:t>14.8%</w:t>
            </w:r>
          </w:p>
        </w:tc>
        <w:tc>
          <w:tcPr>
            <w:tcW w:type="dxa" w:w="969"/>
            <w:vAlign w:val="center"/>
            <w:shd w:fill="EAF2F8"/>
          </w:tcPr>
          <w:p>
            <w:pPr>
              <w:spacing w:after="0" w:line="240" w:lineRule="auto"/>
            </w:pPr>
            <w:r>
              <w:rPr>
                <w:rFonts w:ascii="Microsoft YaHei" w:hAnsi="Microsoft YaHei" w:eastAsia="Microsoft YaHei"/>
                <w:b w:val="0"/>
                <w:color w:val="19212A"/>
                <w:sz w:val="10"/>
              </w:rPr>
              <w:t>28.3</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2,345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ETH</w:t>
            </w:r>
          </w:p>
        </w:tc>
        <w:tc>
          <w:tcPr>
            <w:tcW w:type="dxa" w:w="969"/>
            <w:vAlign w:val="center"/>
          </w:tcPr>
          <w:p>
            <w:pPr>
              <w:spacing w:after="0" w:line="240" w:lineRule="auto"/>
            </w:pPr>
            <w:r>
              <w:rPr>
                <w:rFonts w:ascii="Microsoft YaHei" w:hAnsi="Microsoft YaHei" w:eastAsia="Microsoft YaHei"/>
                <w:b w:val="0"/>
                <w:color w:val="19212A"/>
                <w:sz w:val="10"/>
              </w:rPr>
              <w:t>72h</w:t>
            </w:r>
          </w:p>
        </w:tc>
        <w:tc>
          <w:tcPr>
            <w:tcW w:type="dxa" w:w="969"/>
            <w:vAlign w:val="center"/>
          </w:tcPr>
          <w:p>
            <w:pPr>
              <w:spacing w:after="0" w:line="240" w:lineRule="auto"/>
            </w:pPr>
            <w:r>
              <w:rPr>
                <w:rFonts w:ascii="Microsoft YaHei" w:hAnsi="Microsoft YaHei" w:eastAsia="Microsoft YaHei"/>
                <w:b w:val="0"/>
                <w:color w:val="19212A"/>
                <w:sz w:val="10"/>
              </w:rPr>
              <w:t>HTF_TREND_DOWN + PULLBACK</w:t>
            </w:r>
          </w:p>
        </w:tc>
        <w:tc>
          <w:tcPr>
            <w:tcW w:type="dxa" w:w="969"/>
            <w:vAlign w:val="center"/>
          </w:tcPr>
          <w:p>
            <w:pPr>
              <w:spacing w:after="0" w:line="240" w:lineRule="auto"/>
            </w:pPr>
            <w:r>
              <w:rPr>
                <w:rFonts w:ascii="Microsoft YaHei" w:hAnsi="Microsoft YaHei" w:eastAsia="Microsoft YaHei"/>
                <w:b w:val="0"/>
                <w:color w:val="19212A"/>
                <w:sz w:val="10"/>
              </w:rPr>
              <w:t>2,247-2,433</w:t>
            </w:r>
          </w:p>
        </w:tc>
        <w:tc>
          <w:tcPr>
            <w:tcW w:type="dxa" w:w="969"/>
            <w:vAlign w:val="center"/>
          </w:tcPr>
          <w:p>
            <w:pPr>
              <w:spacing w:after="0" w:line="240" w:lineRule="auto"/>
            </w:pPr>
            <w:r>
              <w:rPr>
                <w:rFonts w:ascii="Microsoft YaHei" w:hAnsi="Microsoft YaHei" w:eastAsia="Microsoft YaHei"/>
                <w:b w:val="0"/>
                <w:color w:val="19212A"/>
                <w:sz w:val="10"/>
              </w:rPr>
              <w:t>2,272-2,306</w:t>
            </w:r>
          </w:p>
        </w:tc>
        <w:tc>
          <w:tcPr>
            <w:tcW w:type="dxa" w:w="969"/>
            <w:vAlign w:val="center"/>
          </w:tcPr>
          <w:p>
            <w:pPr>
              <w:spacing w:after="0" w:line="240" w:lineRule="auto"/>
            </w:pPr>
            <w:r>
              <w:rPr>
                <w:rFonts w:ascii="Microsoft YaHei" w:hAnsi="Microsoft YaHei" w:eastAsia="Microsoft YaHei"/>
                <w:b w:val="0"/>
                <w:color w:val="19212A"/>
                <w:sz w:val="10"/>
              </w:rPr>
              <w:t>2,415-2,464</w:t>
            </w:r>
          </w:p>
        </w:tc>
        <w:tc>
          <w:tcPr>
            <w:tcW w:type="dxa" w:w="969"/>
            <w:vAlign w:val="center"/>
          </w:tcPr>
          <w:p>
            <w:pPr>
              <w:spacing w:after="0" w:line="240" w:lineRule="auto"/>
            </w:pPr>
            <w:r>
              <w:rPr>
                <w:rFonts w:ascii="Microsoft YaHei" w:hAnsi="Microsoft YaHei" w:eastAsia="Microsoft YaHei"/>
                <w:b w:val="0"/>
                <w:color w:val="19212A"/>
                <w:sz w:val="10"/>
              </w:rPr>
              <w:t>44.1% / 49.2% / 6.7%</w:t>
            </w:r>
          </w:p>
        </w:tc>
        <w:tc>
          <w:tcPr>
            <w:tcW w:type="dxa" w:w="969"/>
            <w:vAlign w:val="center"/>
          </w:tcPr>
          <w:p>
            <w:pPr>
              <w:spacing w:after="0" w:line="240" w:lineRule="auto"/>
            </w:pPr>
            <w:r>
              <w:rPr>
                <w:rFonts w:ascii="Microsoft YaHei" w:hAnsi="Microsoft YaHei" w:eastAsia="Microsoft YaHei"/>
                <w:b w:val="0"/>
                <w:color w:val="19212A"/>
                <w:sz w:val="10"/>
              </w:rPr>
              <w:t>63.8%</w:t>
            </w:r>
          </w:p>
        </w:tc>
        <w:tc>
          <w:tcPr>
            <w:tcW w:type="dxa" w:w="969"/>
            <w:vAlign w:val="center"/>
          </w:tcPr>
          <w:p>
            <w:pPr>
              <w:spacing w:after="0" w:line="240" w:lineRule="auto"/>
            </w:pPr>
            <w:r>
              <w:rPr>
                <w:rFonts w:ascii="Microsoft YaHei" w:hAnsi="Microsoft YaHei" w:eastAsia="Microsoft YaHei"/>
                <w:b w:val="0"/>
                <w:color w:val="19212A"/>
                <w:sz w:val="10"/>
              </w:rPr>
              <w:t>17.9</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2,345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7d</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PULLBACK</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HTF_TREND_DOWN + PULLBACK</w:t>
            </w:r>
          </w:p>
        </w:tc>
        <w:tc>
          <w:tcPr>
            <w:tcW w:type="dxa" w:w="969"/>
            <w:vAlign w:val="center"/>
          </w:tcPr>
          <w:p>
            <w:pPr>
              <w:spacing w:after="0" w:line="240" w:lineRule="auto"/>
            </w:pPr>
            <w:r>
              <w:rPr>
                <w:rFonts w:ascii="Microsoft YaHei" w:hAnsi="Microsoft YaHei" w:eastAsia="Microsoft YaHei"/>
                <w:b w:val="0"/>
                <w:color w:val="19212A"/>
                <w:sz w:val="10"/>
              </w:rPr>
              <w:t>98.99-103.25</w:t>
            </w:r>
          </w:p>
        </w:tc>
        <w:tc>
          <w:tcPr>
            <w:tcW w:type="dxa" w:w="969"/>
            <w:vAlign w:val="center"/>
          </w:tcPr>
          <w:p>
            <w:pPr>
              <w:spacing w:after="0" w:line="240" w:lineRule="auto"/>
            </w:pPr>
            <w:r>
              <w:rPr>
                <w:rFonts w:ascii="Microsoft YaHei" w:hAnsi="Microsoft YaHei" w:eastAsia="Microsoft YaHei"/>
                <w:b w:val="0"/>
                <w:color w:val="19212A"/>
                <w:sz w:val="10"/>
              </w:rPr>
              <w:t>98.58-100.55</w:t>
            </w:r>
          </w:p>
        </w:tc>
        <w:tc>
          <w:tcPr>
            <w:tcW w:type="dxa" w:w="969"/>
            <w:vAlign w:val="center"/>
          </w:tcPr>
          <w:p>
            <w:pPr>
              <w:spacing w:after="0" w:line="240" w:lineRule="auto"/>
            </w:pPr>
            <w:r>
              <w:rPr>
                <w:rFonts w:ascii="Microsoft YaHei" w:hAnsi="Microsoft YaHei" w:eastAsia="Microsoft YaHei"/>
                <w:b w:val="0"/>
                <w:color w:val="19212A"/>
                <w:sz w:val="10"/>
              </w:rPr>
              <w:t>101.83-103.61</w:t>
            </w:r>
          </w:p>
        </w:tc>
        <w:tc>
          <w:tcPr>
            <w:tcW w:type="dxa" w:w="969"/>
            <w:vAlign w:val="center"/>
          </w:tcPr>
          <w:p>
            <w:pPr>
              <w:spacing w:after="0" w:line="240" w:lineRule="auto"/>
            </w:pPr>
            <w:r>
              <w:rPr>
                <w:rFonts w:ascii="Microsoft YaHei" w:hAnsi="Microsoft YaHei" w:eastAsia="Microsoft YaHei"/>
                <w:b w:val="0"/>
                <w:color w:val="19212A"/>
                <w:sz w:val="10"/>
              </w:rPr>
              <w:t>36.0% / 32.5% / 31.5%</w:t>
            </w:r>
          </w:p>
        </w:tc>
        <w:tc>
          <w:tcPr>
            <w:tcW w:type="dxa" w:w="969"/>
            <w:vAlign w:val="center"/>
          </w:tcPr>
          <w:p>
            <w:pPr>
              <w:spacing w:after="0" w:line="240" w:lineRule="auto"/>
            </w:pPr>
            <w:r>
              <w:rPr>
                <w:rFonts w:ascii="Microsoft YaHei" w:hAnsi="Microsoft YaHei" w:eastAsia="Microsoft YaHei"/>
                <w:b w:val="0"/>
                <w:color w:val="19212A"/>
                <w:sz w:val="10"/>
              </w:rPr>
              <w:t>10.3%</w:t>
            </w:r>
          </w:p>
        </w:tc>
        <w:tc>
          <w:tcPr>
            <w:tcW w:type="dxa" w:w="969"/>
            <w:vAlign w:val="center"/>
          </w:tcPr>
          <w:p>
            <w:pPr>
              <w:spacing w:after="0" w:line="240" w:lineRule="auto"/>
            </w:pPr>
            <w:r>
              <w:rPr>
                <w:rFonts w:ascii="Microsoft YaHei" w:hAnsi="Microsoft YaHei" w:eastAsia="Microsoft YaHei"/>
                <w:b w:val="0"/>
                <w:color w:val="19212A"/>
                <w:sz w:val="10"/>
              </w:rPr>
              <w:t>29.6</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101.54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SOL</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PULLBACK</w:t>
            </w:r>
          </w:p>
        </w:tc>
        <w:tc>
          <w:tcPr>
            <w:tcW w:type="dxa" w:w="969"/>
            <w:vAlign w:val="center"/>
            <w:shd w:fill="EAF2F8"/>
          </w:tcPr>
          <w:p>
            <w:pPr>
              <w:spacing w:after="0" w:line="240" w:lineRule="auto"/>
            </w:pPr>
            <w:r>
              <w:rPr>
                <w:rFonts w:ascii="Microsoft YaHei" w:hAnsi="Microsoft YaHei" w:eastAsia="Microsoft YaHei"/>
                <w:b w:val="0"/>
                <w:color w:val="19212A"/>
                <w:sz w:val="10"/>
              </w:rPr>
              <w:t>97.48-104.86</w:t>
            </w:r>
          </w:p>
        </w:tc>
        <w:tc>
          <w:tcPr>
            <w:tcW w:type="dxa" w:w="969"/>
            <w:vAlign w:val="center"/>
            <w:shd w:fill="EAF2F8"/>
          </w:tcPr>
          <w:p>
            <w:pPr>
              <w:spacing w:after="0" w:line="240" w:lineRule="auto"/>
            </w:pPr>
            <w:r>
              <w:rPr>
                <w:rFonts w:ascii="Microsoft YaHei" w:hAnsi="Microsoft YaHei" w:eastAsia="Microsoft YaHei"/>
                <w:b w:val="0"/>
                <w:color w:val="19212A"/>
                <w:sz w:val="10"/>
              </w:rPr>
              <w:t>97.57-100.05</w:t>
            </w:r>
          </w:p>
        </w:tc>
        <w:tc>
          <w:tcPr>
            <w:tcW w:type="dxa" w:w="969"/>
            <w:vAlign w:val="center"/>
            <w:shd w:fill="EAF2F8"/>
          </w:tcPr>
          <w:p>
            <w:pPr>
              <w:spacing w:after="0" w:line="240" w:lineRule="auto"/>
            </w:pPr>
            <w:r>
              <w:rPr>
                <w:rFonts w:ascii="Microsoft YaHei" w:hAnsi="Microsoft YaHei" w:eastAsia="Microsoft YaHei"/>
                <w:b w:val="0"/>
                <w:color w:val="19212A"/>
                <w:sz w:val="10"/>
              </w:rPr>
              <w:t>103.70-105.36</w:t>
            </w:r>
          </w:p>
        </w:tc>
        <w:tc>
          <w:tcPr>
            <w:tcW w:type="dxa" w:w="969"/>
            <w:vAlign w:val="center"/>
            <w:shd w:fill="EAF2F8"/>
          </w:tcPr>
          <w:p>
            <w:pPr>
              <w:spacing w:after="0" w:line="240" w:lineRule="auto"/>
            </w:pPr>
            <w:r>
              <w:rPr>
                <w:rFonts w:ascii="Microsoft YaHei" w:hAnsi="Microsoft YaHei" w:eastAsia="Microsoft YaHei"/>
                <w:b w:val="0"/>
                <w:color w:val="19212A"/>
                <w:sz w:val="10"/>
              </w:rPr>
              <w:t>23.1% / 63.4% / 13.6%</w:t>
            </w:r>
          </w:p>
        </w:tc>
        <w:tc>
          <w:tcPr>
            <w:tcW w:type="dxa" w:w="969"/>
            <w:vAlign w:val="center"/>
            <w:shd w:fill="EAF2F8"/>
          </w:tcPr>
          <w:p>
            <w:pPr>
              <w:spacing w:after="0" w:line="240" w:lineRule="auto"/>
            </w:pPr>
            <w:r>
              <w:rPr>
                <w:rFonts w:ascii="Microsoft YaHei" w:hAnsi="Microsoft YaHei" w:eastAsia="Microsoft YaHei"/>
                <w:b w:val="0"/>
                <w:color w:val="19212A"/>
                <w:sz w:val="10"/>
              </w:rPr>
              <w:t>28.7%</w:t>
            </w:r>
          </w:p>
        </w:tc>
        <w:tc>
          <w:tcPr>
            <w:tcW w:type="dxa" w:w="969"/>
            <w:vAlign w:val="center"/>
            <w:shd w:fill="EAF2F8"/>
          </w:tcPr>
          <w:p>
            <w:pPr>
              <w:spacing w:after="0" w:line="240" w:lineRule="auto"/>
            </w:pPr>
            <w:r>
              <w:rPr>
                <w:rFonts w:ascii="Microsoft YaHei" w:hAnsi="Microsoft YaHei" w:eastAsia="Microsoft YaHei"/>
                <w:b w:val="0"/>
                <w:color w:val="19212A"/>
                <w:sz w:val="10"/>
              </w:rPr>
              <w:t>20.2</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101.54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HTF_TREND_DOWN + PULLBACK</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统计±1σ只是各资产自身的正常波动范围，条件顶带/底带是历史相似路径的候选反转区域；现价越过条件顶带时，只能标记为延伸段，不能单独做空，反之亦然。7d若有效N为0或状态未校准，不能用于预测。BTC 当前 80,570，独立使用自身的24h/72h/7d区间；ETH 当前 2,345，独立使用自身的24h/72h/7d区间；SOL 当前 101.54，独立使用自身的24h/72h/7d区间。BTC今天仍要等BTC 下沿是否扫过 VAL 81,214 后收回形成 HL，以及上沿 84,432-84,612 是否冲高失败形成 LH，ETH/SOL雷达只用于各自阶段判断，不自动生成交易卡。</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81,214 / POC 81,666 / VAH 84,532</w:t>
            </w:r>
          </w:p>
        </w:tc>
        <w:tc>
          <w:tcPr>
            <w:tcW w:type="dxa" w:w="2131"/>
            <w:vAlign w:val="center"/>
          </w:tcPr>
          <w:p>
            <w:pPr>
              <w:spacing w:after="0" w:line="240" w:lineRule="auto"/>
            </w:pPr>
            <w:r>
              <w:rPr>
                <w:rFonts w:ascii="Microsoft YaHei" w:hAnsi="Microsoft YaHei" w:eastAsia="Microsoft YaHei"/>
                <w:b w:val="0"/>
                <w:color w:val="19212A"/>
                <w:sz w:val="14"/>
              </w:rPr>
              <w:t>HTF_TREND_DOWN + PULLBACK</w:t>
            </w:r>
          </w:p>
        </w:tc>
        <w:tc>
          <w:tcPr>
            <w:tcW w:type="dxa" w:w="2131"/>
            <w:vAlign w:val="center"/>
          </w:tcPr>
          <w:p>
            <w:pPr>
              <w:spacing w:after="0" w:line="240" w:lineRule="auto"/>
            </w:pPr>
            <w:r>
              <w:rPr>
                <w:rFonts w:ascii="Microsoft YaHei" w:hAnsi="Microsoft YaHei" w:eastAsia="Microsoft YaHei"/>
                <w:b w:val="0"/>
                <w:color w:val="19212A"/>
                <w:sz w:val="14"/>
              </w:rPr>
              <w:t>低于正常震荡区下沿 VAL 81,214不追单；下沿多头本轮无合格预案；上沿等S2c 趋势回踩空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中线偏空</w:t>
            </w:r>
          </w:p>
        </w:tc>
        <w:tc>
          <w:tcPr>
            <w:tcW w:type="dxa" w:w="2131"/>
            <w:vAlign w:val="center"/>
            <w:shd w:fill="EAF2F8"/>
          </w:tcPr>
          <w:p>
            <w:pPr>
              <w:spacing w:after="0" w:line="240" w:lineRule="auto"/>
            </w:pPr>
            <w:r>
              <w:rPr>
                <w:rFonts w:ascii="Microsoft YaHei" w:hAnsi="Microsoft YaHei" w:eastAsia="Microsoft YaHei"/>
                <w:b w:val="0"/>
                <w:color w:val="19212A"/>
                <w:sz w:val="14"/>
              </w:rPr>
              <w:t>VAL 2,362 / POC 2,401 / VAH 2,476</w:t>
            </w:r>
          </w:p>
        </w:tc>
        <w:tc>
          <w:tcPr>
            <w:tcW w:type="dxa" w:w="2131"/>
            <w:vAlign w:val="center"/>
            <w:shd w:fill="EAF2F8"/>
          </w:tcPr>
          <w:p>
            <w:pPr>
              <w:spacing w:after="0" w:line="240" w:lineRule="auto"/>
            </w:pPr>
            <w:r>
              <w:rPr>
                <w:rFonts w:ascii="Microsoft YaHei" w:hAnsi="Microsoft YaHei" w:eastAsia="Microsoft YaHei"/>
                <w:b w:val="0"/>
                <w:color w:val="19212A"/>
                <w:sz w:val="14"/>
              </w:rPr>
              <w:t>HTF_TREND_DOWN + PULLBACK</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103.28 / POC 104.42 / VAH 108.40</w:t>
            </w:r>
          </w:p>
        </w:tc>
        <w:tc>
          <w:tcPr>
            <w:tcW w:type="dxa" w:w="2131"/>
            <w:vAlign w:val="center"/>
          </w:tcPr>
          <w:p>
            <w:pPr>
              <w:spacing w:after="0" w:line="240" w:lineRule="auto"/>
            </w:pPr>
            <w:r>
              <w:rPr>
                <w:rFonts w:ascii="Microsoft YaHei" w:hAnsi="Microsoft YaHei" w:eastAsia="Microsoft YaHei"/>
                <w:b w:val="0"/>
                <w:color w:val="19212A"/>
                <w:sz w:val="14"/>
              </w:rPr>
              <w:t>HTF_TREND_DOWN + PULLBACK</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+0.12%；DOGE -1.13%；AVAX -0.28%</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81,666 是最近五天成交最密集的价格，可理解为短期筹码最拥挤的‘价格磁铁’；VAL 81,214 是正常震荡区下沿，VAH 84,532 是正常震荡区上沿。BTC 当前低于正常震荡区下沿 VAL 81,214，仍未进入执行带，不是自动做多或做空；下沿多头本轮取消、只等上沿冲高失败。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81,214后快速收回，卖压减弱并形成HL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S1 流动性扫单反转多已扫描；本轮TP1净R:R不足，INVALID，不执行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S2c 趋势回踩空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HTF_TREND_DOWN + PULLBACK，S5不作为主执行；上沿路径按 S2c 趋势回踩空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低于正常震荡区下沿 VAL 81,214，不能把反弹强度当成追多信号。下沿多头本轮因R:R不足不执行，空头只等上沿 84,432-84,612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S2c 趋势回踩空；下沿多头 INVALID</w:t>
            </w:r>
          </w:p>
        </w:tc>
        <w:tc>
          <w:tcPr>
            <w:tcW w:type="dxa" w:w="710"/>
            <w:vAlign w:val="center"/>
          </w:tcPr>
          <w:p>
            <w:pPr>
              <w:spacing w:after="0" w:line="240" w:lineRule="auto"/>
            </w:pPr>
            <w:r>
              <w:rPr>
                <w:rFonts w:ascii="Microsoft YaHei" w:hAnsi="Microsoft YaHei" w:eastAsia="Microsoft YaHei"/>
                <w:b w:val="0"/>
                <w:color w:val="19212A"/>
                <w:sz w:val="11"/>
              </w:rPr>
              <w:t>HTF_TREND_DOWN + PULLBACK</w:t>
            </w:r>
          </w:p>
        </w:tc>
        <w:tc>
          <w:tcPr>
            <w:tcW w:type="dxa" w:w="710"/>
            <w:vAlign w:val="center"/>
          </w:tcPr>
          <w:p>
            <w:pPr>
              <w:spacing w:after="0" w:line="240" w:lineRule="auto"/>
            </w:pPr>
            <w:r>
              <w:rPr>
                <w:rFonts w:ascii="Microsoft YaHei" w:hAnsi="Microsoft YaHei" w:eastAsia="Microsoft YaHei"/>
                <w:b w:val="0"/>
                <w:color w:val="19212A"/>
                <w:sz w:val="11"/>
              </w:rPr>
              <w:t>现价低于正常震荡区下沿 VAL 81,214；只有上沿空头通过R:R闸门，现价不在执行区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84,532 后跌回；多：本轮取消；现价 80,570</w:t>
            </w:r>
          </w:p>
        </w:tc>
        <w:tc>
          <w:tcPr>
            <w:tcW w:type="dxa" w:w="710"/>
            <w:vAlign w:val="center"/>
          </w:tcPr>
          <w:p>
            <w:pPr>
              <w:spacing w:after="0" w:line="240" w:lineRule="auto"/>
            </w:pPr>
            <w:r>
              <w:rPr>
                <w:rFonts w:ascii="Microsoft YaHei" w:hAnsi="Microsoft YaHei" w:eastAsia="Microsoft YaHei"/>
                <w:b w:val="0"/>
                <w:color w:val="19212A"/>
                <w:sz w:val="11"/>
              </w:rPr>
              <w:t>空 84,552</w:t>
            </w:r>
          </w:p>
        </w:tc>
        <w:tc>
          <w:tcPr>
            <w:tcW w:type="dxa" w:w="710"/>
            <w:vAlign w:val="center"/>
          </w:tcPr>
          <w:p>
            <w:pPr>
              <w:spacing w:after="0" w:line="240" w:lineRule="auto"/>
            </w:pPr>
            <w:r>
              <w:rPr>
                <w:rFonts w:ascii="Microsoft YaHei" w:hAnsi="Microsoft YaHei" w:eastAsia="Microsoft YaHei"/>
                <w:b w:val="0"/>
                <w:color w:val="19212A"/>
                <w:sz w:val="11"/>
              </w:rPr>
              <w:t>空 84,612</w:t>
            </w:r>
          </w:p>
        </w:tc>
        <w:tc>
          <w:tcPr>
            <w:tcW w:type="dxa" w:w="710"/>
            <w:vAlign w:val="center"/>
          </w:tcPr>
          <w:p>
            <w:pPr>
              <w:spacing w:after="0" w:line="240" w:lineRule="auto"/>
            </w:pPr>
            <w:r>
              <w:rPr>
                <w:rFonts w:ascii="Microsoft YaHei" w:hAnsi="Microsoft YaHei" w:eastAsia="Microsoft YaHei"/>
                <w:b w:val="0"/>
                <w:color w:val="19212A"/>
                <w:sz w:val="11"/>
              </w:rPr>
              <w:t>空 85,032</w:t>
            </w:r>
          </w:p>
        </w:tc>
        <w:tc>
          <w:tcPr>
            <w:tcW w:type="dxa" w:w="710"/>
            <w:vAlign w:val="center"/>
          </w:tcPr>
          <w:p>
            <w:pPr>
              <w:spacing w:after="0" w:line="240" w:lineRule="auto"/>
            </w:pPr>
            <w:r>
              <w:rPr>
                <w:rFonts w:ascii="Microsoft YaHei" w:hAnsi="Microsoft YaHei" w:eastAsia="Microsoft YaHei"/>
                <w:b w:val="0"/>
                <w:color w:val="19212A"/>
                <w:sz w:val="11"/>
              </w:rPr>
              <w:t>空看 POC 81,666</w:t>
            </w:r>
          </w:p>
        </w:tc>
        <w:tc>
          <w:tcPr>
            <w:tcW w:type="dxa" w:w="710"/>
            <w:vAlign w:val="center"/>
          </w:tcPr>
          <w:p>
            <w:pPr>
              <w:spacing w:after="0" w:line="240" w:lineRule="auto"/>
            </w:pPr>
            <w:r>
              <w:rPr>
                <w:rFonts w:ascii="Microsoft YaHei" w:hAnsi="Microsoft YaHei" w:eastAsia="Microsoft YaHei"/>
                <w:b w:val="0"/>
                <w:color w:val="19212A"/>
                <w:sz w:val="11"/>
              </w:rPr>
              <w:t>空看 VAL 81,214</w:t>
            </w:r>
          </w:p>
        </w:tc>
        <w:tc>
          <w:tcPr>
            <w:tcW w:type="dxa" w:w="710"/>
            <w:vAlign w:val="center"/>
          </w:tcPr>
          <w:p>
            <w:pPr>
              <w:spacing w:after="0" w:line="240" w:lineRule="auto"/>
            </w:pPr>
            <w:r>
              <w:rPr>
                <w:rFonts w:ascii="Microsoft YaHei" w:hAnsi="Microsoft YaHei" w:eastAsia="Microsoft YaHei"/>
                <w:b w:val="0"/>
                <w:color w:val="19212A"/>
                <w:sz w:val="11"/>
              </w:rPr>
              <w:t>空 1:5.97</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空头出现LH且流量不恶化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仍在价值区下半部。下沿多头本轮无合格预案，上沿要进入 84,432-84,612 后受阻并跌回 VAH 下方形成 LH；空头触发后不能超过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S1/S2c</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BTC仅上沿1张条件卡；下沿多头淘汰</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扫描了13个流动标的，BTC只有上沿空头通过动态盈亏比检查；下沿多头因 TP1 净R:R不足淘汰。 S2c 趋势回踩空 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S2c</w:t>
            </w:r>
          </w:p>
        </w:tc>
        <w:tc>
          <w:tcPr>
            <w:tcW w:type="dxa" w:w="888"/>
            <w:vAlign w:val="center"/>
          </w:tcPr>
          <w:p>
            <w:pPr>
              <w:spacing w:after="0" w:line="240" w:lineRule="auto"/>
            </w:pPr>
            <w:r>
              <w:rPr>
                <w:rFonts w:ascii="Microsoft YaHei" w:hAnsi="Microsoft YaHei" w:eastAsia="Microsoft YaHei"/>
                <w:b w:val="0"/>
                <w:color w:val="19212A"/>
                <w:sz w:val="13"/>
              </w:rPr>
              <w:t>HTF_TREND_DOWN + PULLBACK</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S2c_TREND_PULLBACK</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0.50%</w:t>
            </w:r>
          </w:p>
        </w:tc>
        <w:tc>
          <w:tcPr>
            <w:tcW w:type="dxa" w:w="1332"/>
            <w:vAlign w:val="center"/>
          </w:tcPr>
          <w:p>
            <w:pPr>
              <w:spacing w:after="0" w:line="240" w:lineRule="auto"/>
            </w:pPr>
            <w:r>
              <w:rPr>
                <w:rFonts w:ascii="Microsoft YaHei" w:hAnsi="Microsoft YaHei" w:eastAsia="Microsoft YaHei"/>
                <w:b w:val="0"/>
                <w:color w:val="19212A"/>
                <w:sz w:val="13"/>
              </w:rPr>
              <w:t>20.1%</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10.1%-20.1%</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S2c 趋势回踩空；下沿多头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81,214 / POC 81,666 / VAH 84,532，仅上沿空头保留；下沿多头被R:R闸门淘汰，现价不在执行区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81,214、POC 81,666、VAH 84,532，当前 Regime 为 HTF_TREND_DOWN + PULLBACK，价格低于正常震荡区下沿 VAL 81,214；仅上沿空头通过闸门，下沿多头因第一目标净R:R不足淘汰，现价不在执行区。这是按新快照和新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80,570.40 / -0.35%</w:t>
            </w:r>
          </w:p>
        </w:tc>
        <w:tc>
          <w:tcPr>
            <w:tcW w:type="dxa" w:w="1776"/>
            <w:vAlign w:val="center"/>
          </w:tcPr>
          <w:p>
            <w:pPr>
              <w:spacing w:after="0" w:line="240" w:lineRule="auto"/>
            </w:pPr>
            <w:r>
              <w:rPr>
                <w:rFonts w:ascii="Microsoft YaHei" w:hAnsi="Microsoft YaHei" w:eastAsia="Microsoft YaHei"/>
                <w:b w:val="0"/>
                <w:color w:val="19212A"/>
                <w:sz w:val="14"/>
              </w:rPr>
              <w:t>81,213.95 / 81,666.39 / 84,531.82</w:t>
            </w:r>
          </w:p>
        </w:tc>
        <w:tc>
          <w:tcPr>
            <w:tcW w:type="dxa" w:w="1776"/>
            <w:vAlign w:val="center"/>
          </w:tcPr>
          <w:p>
            <w:pPr>
              <w:spacing w:after="0" w:line="240" w:lineRule="auto"/>
            </w:pPr>
            <w:r>
              <w:rPr>
                <w:rFonts w:ascii="Microsoft YaHei" w:hAnsi="Microsoft YaHei" w:eastAsia="Microsoft YaHei"/>
                <w:b w:val="0"/>
                <w:color w:val="19212A"/>
                <w:sz w:val="14"/>
              </w:rPr>
              <w:t>+0.0015%</w:t>
            </w:r>
          </w:p>
        </w:tc>
        <w:tc>
          <w:tcPr>
            <w:tcW w:type="dxa" w:w="1776"/>
            <w:vAlign w:val="center"/>
          </w:tcPr>
          <w:p>
            <w:pPr>
              <w:spacing w:after="0" w:line="240" w:lineRule="auto"/>
            </w:pPr>
            <w:r>
              <w:rPr>
                <w:rFonts w:ascii="Microsoft YaHei" w:hAnsi="Microsoft YaHei" w:eastAsia="Microsoft YaHei"/>
                <w:b w:val="0"/>
                <w:color w:val="19212A"/>
                <w:sz w:val="14"/>
              </w:rPr>
              <w:t>$2.45bn / +0.00%</w:t>
            </w:r>
          </w:p>
        </w:tc>
        <w:tc>
          <w:tcPr>
            <w:tcW w:type="dxa" w:w="1776"/>
            <w:vAlign w:val="center"/>
          </w:tcPr>
          <w:p>
            <w:pPr>
              <w:spacing w:after="0" w:line="240" w:lineRule="auto"/>
            </w:pPr>
            <w:r>
              <w:rPr>
                <w:rFonts w:ascii="Microsoft YaHei" w:hAnsi="Microsoft YaHei" w:eastAsia="Microsoft YaHei"/>
                <w:b w:val="0"/>
                <w:color w:val="19212A"/>
                <w:sz w:val="14"/>
              </w:rPr>
              <w:t>0.146 / 0.146 / 0.146</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2,345.41 / -1.05%</w:t>
            </w:r>
          </w:p>
        </w:tc>
        <w:tc>
          <w:tcPr>
            <w:tcW w:type="dxa" w:w="1776"/>
            <w:vAlign w:val="center"/>
            <w:shd w:fill="EAF2F8"/>
          </w:tcPr>
          <w:p>
            <w:pPr>
              <w:spacing w:after="0" w:line="240" w:lineRule="auto"/>
            </w:pPr>
            <w:r>
              <w:rPr>
                <w:rFonts w:ascii="Microsoft YaHei" w:hAnsi="Microsoft YaHei" w:eastAsia="Microsoft YaHei"/>
                <w:b w:val="0"/>
                <w:color w:val="19212A"/>
                <w:sz w:val="14"/>
              </w:rPr>
              <w:t>2,362.30 / 2,400.97 / 2,476.27</w:t>
            </w:r>
          </w:p>
        </w:tc>
        <w:tc>
          <w:tcPr>
            <w:tcW w:type="dxa" w:w="1776"/>
            <w:vAlign w:val="center"/>
            <w:shd w:fill="EAF2F8"/>
          </w:tcPr>
          <w:p>
            <w:pPr>
              <w:spacing w:after="0" w:line="240" w:lineRule="auto"/>
            </w:pPr>
            <w:r>
              <w:rPr>
                <w:rFonts w:ascii="Microsoft YaHei" w:hAnsi="Microsoft YaHei" w:eastAsia="Microsoft YaHei"/>
                <w:b w:val="0"/>
                <w:color w:val="19212A"/>
                <w:sz w:val="14"/>
              </w:rPr>
              <w:t>+0.0006%</w:t>
            </w:r>
          </w:p>
        </w:tc>
        <w:tc>
          <w:tcPr>
            <w:tcW w:type="dxa" w:w="1776"/>
            <w:vAlign w:val="center"/>
            <w:shd w:fill="EAF2F8"/>
          </w:tcPr>
          <w:p>
            <w:pPr>
              <w:spacing w:after="0" w:line="240" w:lineRule="auto"/>
            </w:pPr>
            <w:r>
              <w:rPr>
                <w:rFonts w:ascii="Microsoft YaHei" w:hAnsi="Microsoft YaHei" w:eastAsia="Microsoft YaHei"/>
                <w:b w:val="0"/>
                <w:color w:val="19212A"/>
                <w:sz w:val="14"/>
              </w:rPr>
              <w:t>$1.44bn / +0.00%</w:t>
            </w:r>
          </w:p>
        </w:tc>
        <w:tc>
          <w:tcPr>
            <w:tcW w:type="dxa" w:w="1776"/>
            <w:vAlign w:val="center"/>
            <w:shd w:fill="EAF2F8"/>
          </w:tcPr>
          <w:p>
            <w:pPr>
              <w:spacing w:after="0" w:line="240" w:lineRule="auto"/>
            </w:pPr>
            <w:r>
              <w:rPr>
                <w:rFonts w:ascii="Microsoft YaHei" w:hAnsi="Microsoft YaHei" w:eastAsia="Microsoft YaHei"/>
                <w:b w:val="0"/>
                <w:color w:val="19212A"/>
                <w:sz w:val="14"/>
              </w:rPr>
              <w:t>0.153 / 0.153 / 0.153</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101.54 / -0.86%</w:t>
            </w:r>
          </w:p>
        </w:tc>
        <w:tc>
          <w:tcPr>
            <w:tcW w:type="dxa" w:w="1776"/>
            <w:vAlign w:val="center"/>
          </w:tcPr>
          <w:p>
            <w:pPr>
              <w:spacing w:after="0" w:line="240" w:lineRule="auto"/>
            </w:pPr>
            <w:r>
              <w:rPr>
                <w:rFonts w:ascii="Microsoft YaHei" w:hAnsi="Microsoft YaHei" w:eastAsia="Microsoft YaHei"/>
                <w:b w:val="0"/>
                <w:color w:val="19212A"/>
                <w:sz w:val="14"/>
              </w:rPr>
              <w:t>103.28 / 104.42 / 108.40</w:t>
            </w:r>
          </w:p>
        </w:tc>
        <w:tc>
          <w:tcPr>
            <w:tcW w:type="dxa" w:w="1776"/>
            <w:vAlign w:val="center"/>
          </w:tcPr>
          <w:p>
            <w:pPr>
              <w:spacing w:after="0" w:line="240" w:lineRule="auto"/>
            </w:pPr>
            <w:r>
              <w:rPr>
                <w:rFonts w:ascii="Microsoft YaHei" w:hAnsi="Microsoft YaHei" w:eastAsia="Microsoft YaHei"/>
                <w:b w:val="0"/>
                <w:color w:val="19212A"/>
                <w:sz w:val="14"/>
              </w:rPr>
              <w:t>+0.0058%</w:t>
            </w:r>
          </w:p>
        </w:tc>
        <w:tc>
          <w:tcPr>
            <w:tcW w:type="dxa" w:w="1776"/>
            <w:vAlign w:val="center"/>
          </w:tcPr>
          <w:p>
            <w:pPr>
              <w:spacing w:after="0" w:line="240" w:lineRule="auto"/>
            </w:pPr>
            <w:r>
              <w:rPr>
                <w:rFonts w:ascii="Microsoft YaHei" w:hAnsi="Microsoft YaHei" w:eastAsia="Microsoft YaHei"/>
                <w:b w:val="0"/>
                <w:color w:val="19212A"/>
                <w:sz w:val="14"/>
              </w:rPr>
              <w:t>$0.32bn / +0.00%</w:t>
            </w:r>
          </w:p>
        </w:tc>
        <w:tc>
          <w:tcPr>
            <w:tcW w:type="dxa" w:w="1776"/>
            <w:vAlign w:val="center"/>
          </w:tcPr>
          <w:p>
            <w:pPr>
              <w:spacing w:after="0" w:line="240" w:lineRule="auto"/>
            </w:pPr>
            <w:r>
              <w:rPr>
                <w:rFonts w:ascii="Microsoft YaHei" w:hAnsi="Microsoft YaHei" w:eastAsia="Microsoft YaHei"/>
                <w:b w:val="0"/>
                <w:color w:val="19212A"/>
                <w:sz w:val="14"/>
              </w:rPr>
              <w:t>0.549 / 0.549 / 0.549</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0.146，下沿多头本轮不执行，上沿空头要等冲高失败形成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7,623.68</w:t>
            </w:r>
          </w:p>
        </w:tc>
        <w:tc>
          <w:tcPr>
            <w:tcW w:type="dxa" w:w="2664"/>
            <w:vAlign w:val="center"/>
            <w:shd w:fill="EAF2F8"/>
          </w:tcPr>
          <w:p>
            <w:pPr>
              <w:spacing w:after="0" w:line="240" w:lineRule="auto"/>
            </w:pPr>
            <w:r>
              <w:rPr>
                <w:rFonts w:ascii="Microsoft YaHei" w:hAnsi="Microsoft YaHei" w:eastAsia="Microsoft YaHei"/>
                <w:b w:val="0"/>
                <w:color w:val="19212A"/>
                <w:sz w:val="14"/>
              </w:rPr>
              <w:t>-0.52%</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25,955.34</w:t>
            </w:r>
          </w:p>
        </w:tc>
        <w:tc>
          <w:tcPr>
            <w:tcW w:type="dxa" w:w="2664"/>
            <w:vAlign w:val="center"/>
          </w:tcPr>
          <w:p>
            <w:pPr>
              <w:spacing w:after="0" w:line="240" w:lineRule="auto"/>
            </w:pPr>
            <w:r>
              <w:rPr>
                <w:rFonts w:ascii="Microsoft YaHei" w:hAnsi="Microsoft YaHei" w:eastAsia="Microsoft YaHei"/>
                <w:b w:val="0"/>
                <w:color w:val="19212A"/>
                <w:sz w:val="14"/>
              </w:rPr>
              <w:t>-0.21%</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101.81</w:t>
            </w:r>
          </w:p>
        </w:tc>
        <w:tc>
          <w:tcPr>
            <w:tcW w:type="dxa" w:w="2664"/>
            <w:vAlign w:val="center"/>
            <w:shd w:fill="EAF2F8"/>
          </w:tcPr>
          <w:p>
            <w:pPr>
              <w:spacing w:after="0" w:line="240" w:lineRule="auto"/>
            </w:pPr>
            <w:r>
              <w:rPr>
                <w:rFonts w:ascii="Microsoft YaHei" w:hAnsi="Microsoft YaHei" w:eastAsia="Microsoft YaHei"/>
                <w:b w:val="0"/>
                <w:color w:val="19212A"/>
                <w:sz w:val="14"/>
              </w:rPr>
              <w:t>+0.20%</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4.99</w:t>
            </w:r>
          </w:p>
        </w:tc>
        <w:tc>
          <w:tcPr>
            <w:tcW w:type="dxa" w:w="2664"/>
            <w:vAlign w:val="center"/>
          </w:tcPr>
          <w:p>
            <w:pPr>
              <w:spacing w:after="0" w:line="240" w:lineRule="auto"/>
            </w:pPr>
            <w:r>
              <w:rPr>
                <w:rFonts w:ascii="Microsoft YaHei" w:hAnsi="Microsoft YaHei" w:eastAsia="Microsoft YaHei"/>
                <w:b w:val="0"/>
                <w:color w:val="19212A"/>
                <w:sz w:val="14"/>
              </w:rPr>
              <w:t>+0.71%</w:t>
            </w:r>
          </w:p>
        </w:tc>
        <w:tc>
          <w:tcPr>
            <w:tcW w:type="dxa" w:w="2664"/>
            <w:vAlign w:val="center"/>
          </w:tcPr>
          <w:p>
            <w:pPr>
              <w:spacing w:after="0" w:line="240" w:lineRule="auto"/>
            </w:pPr>
            <w:r>
              <w:rPr>
                <w:rFonts w:ascii="Microsoft YaHei" w:hAnsi="Microsoft YaHei" w:eastAsia="Microsoft YaHei"/>
                <w:b w:val="0"/>
                <w:color w:val="19212A"/>
                <w:sz w:val="14"/>
              </w:rPr>
              <w:t>收益率上行形成压制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4,007.90</w:t>
            </w:r>
          </w:p>
        </w:tc>
        <w:tc>
          <w:tcPr>
            <w:tcW w:type="dxa" w:w="2664"/>
            <w:vAlign w:val="center"/>
            <w:shd w:fill="EAF2F8"/>
          </w:tcPr>
          <w:p>
            <w:pPr>
              <w:spacing w:after="0" w:line="240" w:lineRule="auto"/>
            </w:pPr>
            <w:r>
              <w:rPr>
                <w:rFonts w:ascii="Microsoft YaHei" w:hAnsi="Microsoft YaHei" w:eastAsia="Microsoft YaHei"/>
                <w:b w:val="0"/>
                <w:color w:val="19212A"/>
                <w:sz w:val="14"/>
              </w:rPr>
              <w:t>-1.29%</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103.27</w:t>
            </w:r>
          </w:p>
        </w:tc>
        <w:tc>
          <w:tcPr>
            <w:tcW w:type="dxa" w:w="2664"/>
            <w:vAlign w:val="center"/>
          </w:tcPr>
          <w:p>
            <w:pPr>
              <w:spacing w:after="0" w:line="240" w:lineRule="auto"/>
            </w:pPr>
            <w:r>
              <w:rPr>
                <w:rFonts w:ascii="Microsoft YaHei" w:hAnsi="Microsoft YaHei" w:eastAsia="Microsoft YaHei"/>
                <w:b w:val="0"/>
                <w:color w:val="19212A"/>
                <w:sz w:val="14"/>
              </w:rPr>
              <w:t>+3.82%</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 -0.52%、纳指 -0.21%，风险偏好偏弱；DXY +0.20%、10年期收益率 +0.71%，美元与利率仍有压制，黄金 -1.29% 则保留避险/通胀对冲需求。宏观没有给出可以覆盖技术结构的单边优势，因此不在 BTC 低于正常震荡区下沿 VAL 81,214 猜方向，只执行上沿受阻空；下沿多头因第一目标净R:R不足不执行。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条候选标题；监控状态为 NO_MATERIAL_CHANGE。候选标题只能作为线索，未完成主来源确认的内容不升级为新的大佬立场，也不直接改变交易方向。</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10-09</w:t>
            </w:r>
          </w:p>
        </w:tc>
        <w:tc>
          <w:tcPr>
            <w:tcW w:type="dxa" w:w="2664"/>
            <w:vAlign w:val="center"/>
          </w:tcPr>
          <w:p>
            <w:pPr>
              <w:spacing w:after="0" w:line="240" w:lineRule="auto"/>
            </w:pPr>
            <w:r>
              <w:rPr>
                <w:rFonts w:ascii="Microsoft YaHei" w:hAnsi="Microsoft YaHei" w:eastAsia="Microsoft YaHei"/>
                <w:b w:val="0"/>
                <w:color w:val="19212A"/>
                <w:sz w:val="14"/>
              </w:rPr>
              <w:t>+21.1m</w:t>
            </w:r>
          </w:p>
        </w:tc>
        <w:tc>
          <w:tcPr>
            <w:tcW w:type="dxa" w:w="2664"/>
            <w:vAlign w:val="center"/>
          </w:tcPr>
          <w:p>
            <w:pPr>
              <w:spacing w:after="0" w:line="240" w:lineRule="auto"/>
            </w:pPr>
            <w:r>
              <w:rPr>
                <w:rFonts w:ascii="Microsoft YaHei" w:hAnsi="Microsoft YaHei" w:eastAsia="Microsoft YaHei"/>
                <w:b w:val="0"/>
                <w:color w:val="19212A"/>
                <w:sz w:val="14"/>
              </w:rPr>
              <w:t>-56.1m</w:t>
            </w:r>
          </w:p>
        </w:tc>
        <w:tc>
          <w:tcPr>
            <w:tcW w:type="dxa" w:w="2664"/>
            <w:vAlign w:val="center"/>
          </w:tcPr>
          <w:p>
            <w:pPr>
              <w:spacing w:after="0" w:line="240" w:lineRule="auto"/>
            </w:pPr>
            <w:r>
              <w:rPr>
                <w:rFonts w:ascii="Microsoft YaHei" w:hAnsi="Microsoft YaHei" w:eastAsia="Microsoft YaHei"/>
                <w:b w:val="0"/>
                <w:color w:val="19212A"/>
                <w:sz w:val="14"/>
              </w:rPr>
              <w:t>-3.8m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10-12</w:t>
            </w:r>
          </w:p>
        </w:tc>
        <w:tc>
          <w:tcPr>
            <w:tcW w:type="dxa" w:w="2664"/>
            <w:vAlign w:val="center"/>
            <w:shd w:fill="EAF2F8"/>
          </w:tcPr>
          <w:p>
            <w:pPr>
              <w:spacing w:after="0" w:line="240" w:lineRule="auto"/>
            </w:pPr>
            <w:r>
              <w:rPr>
                <w:rFonts w:ascii="Microsoft YaHei" w:hAnsi="Microsoft YaHei" w:eastAsia="Microsoft YaHei"/>
                <w:b w:val="0"/>
                <w:color w:val="19212A"/>
                <w:sz w:val="14"/>
              </w:rPr>
              <w:t>-65.4m</w:t>
            </w:r>
          </w:p>
        </w:tc>
        <w:tc>
          <w:tcPr>
            <w:tcW w:type="dxa" w:w="2664"/>
            <w:vAlign w:val="center"/>
            <w:shd w:fill="EAF2F8"/>
          </w:tcPr>
          <w:p>
            <w:pPr>
              <w:spacing w:after="0" w:line="240" w:lineRule="auto"/>
            </w:pPr>
            <w:r>
              <w:rPr>
                <w:rFonts w:ascii="Microsoft YaHei" w:hAnsi="Microsoft YaHei" w:eastAsia="Microsoft YaHei"/>
                <w:b w:val="0"/>
                <w:color w:val="19212A"/>
                <w:sz w:val="14"/>
              </w:rPr>
              <w:t>-85.4m</w:t>
            </w:r>
          </w:p>
        </w:tc>
        <w:tc>
          <w:tcPr>
            <w:tcW w:type="dxa" w:w="2664"/>
            <w:vAlign w:val="center"/>
            <w:shd w:fill="EAF2F8"/>
          </w:tcPr>
          <w:p>
            <w:pPr>
              <w:spacing w:after="0" w:line="240" w:lineRule="auto"/>
            </w:pPr>
            <w:r>
              <w:rPr>
                <w:rFonts w:ascii="Microsoft YaHei" w:hAnsi="Microsoft YaHei" w:eastAsia="Microsoft YaHei"/>
                <w:b w:val="0"/>
                <w:color w:val="19212A"/>
                <w:sz w:val="14"/>
              </w:rPr>
              <w:t>-0.7m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10-13</w:t>
            </w:r>
          </w:p>
        </w:tc>
        <w:tc>
          <w:tcPr>
            <w:tcW w:type="dxa" w:w="2664"/>
            <w:vAlign w:val="center"/>
          </w:tcPr>
          <w:p>
            <w:pPr>
              <w:spacing w:after="0" w:line="240" w:lineRule="auto"/>
            </w:pPr>
            <w:r>
              <w:rPr>
                <w:rFonts w:ascii="Microsoft YaHei" w:hAnsi="Microsoft YaHei" w:eastAsia="Microsoft YaHei"/>
                <w:b w:val="0"/>
                <w:color w:val="19212A"/>
                <w:sz w:val="14"/>
              </w:rPr>
              <w:t>+175.7m</w:t>
            </w:r>
          </w:p>
        </w:tc>
        <w:tc>
          <w:tcPr>
            <w:tcW w:type="dxa" w:w="2664"/>
            <w:vAlign w:val="center"/>
          </w:tcPr>
          <w:p>
            <w:pPr>
              <w:spacing w:after="0" w:line="240" w:lineRule="auto"/>
            </w:pPr>
            <w:r>
              <w:rPr>
                <w:rFonts w:ascii="Microsoft YaHei" w:hAnsi="Microsoft YaHei" w:eastAsia="Microsoft YaHei"/>
                <w:b w:val="0"/>
                <w:color w:val="19212A"/>
                <w:sz w:val="14"/>
              </w:rPr>
              <w:t>+24.8m</w:t>
            </w:r>
          </w:p>
        </w:tc>
        <w:tc>
          <w:tcPr>
            <w:tcW w:type="dxa" w:w="2664"/>
            <w:vAlign w:val="center"/>
          </w:tcPr>
          <w:p>
            <w:pPr>
              <w:spacing w:after="0" w:line="240" w:lineRule="auto"/>
            </w:pPr>
            <w:r>
              <w:rPr>
                <w:rFonts w:ascii="Microsoft YaHei" w:hAnsi="Microsoft YaHei" w:eastAsia="Microsoft YaHei"/>
                <w:b w:val="0"/>
                <w:color w:val="19212A"/>
                <w:sz w:val="14"/>
              </w:rPr>
              <w:t>-1.0m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10-14</w:t>
            </w:r>
          </w:p>
        </w:tc>
        <w:tc>
          <w:tcPr>
            <w:tcW w:type="dxa" w:w="2664"/>
            <w:vAlign w:val="center"/>
            <w:shd w:fill="EAF2F8"/>
          </w:tcPr>
          <w:p>
            <w:pPr>
              <w:spacing w:after="0" w:line="240" w:lineRule="auto"/>
            </w:pPr>
            <w:r>
              <w:rPr>
                <w:rFonts w:ascii="Microsoft YaHei" w:hAnsi="Microsoft YaHei" w:eastAsia="Microsoft YaHei"/>
                <w:b w:val="0"/>
                <w:color w:val="19212A"/>
                <w:sz w:val="14"/>
              </w:rPr>
              <w:t>-261.4m</w:t>
            </w:r>
          </w:p>
        </w:tc>
        <w:tc>
          <w:tcPr>
            <w:tcW w:type="dxa" w:w="2664"/>
            <w:vAlign w:val="center"/>
            <w:shd w:fill="EAF2F8"/>
          </w:tcPr>
          <w:p>
            <w:pPr>
              <w:spacing w:after="0" w:line="240" w:lineRule="auto"/>
            </w:pPr>
            <w:r>
              <w:rPr>
                <w:rFonts w:ascii="Microsoft YaHei" w:hAnsi="Microsoft YaHei" w:eastAsia="Microsoft YaHei"/>
                <w:b w:val="0"/>
                <w:color w:val="19212A"/>
                <w:sz w:val="14"/>
              </w:rPr>
              <w:t>-129.5m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10-15</w:t>
            </w:r>
          </w:p>
        </w:tc>
        <w:tc>
          <w:tcPr>
            <w:tcW w:type="dxa" w:w="2664"/>
            <w:vAlign w:val="center"/>
          </w:tcPr>
          <w:p>
            <w:pPr>
              <w:spacing w:after="0" w:line="240" w:lineRule="auto"/>
            </w:pPr>
            <w:r>
              <w:rPr>
                <w:rFonts w:ascii="Microsoft YaHei" w:hAnsi="Microsoft YaHei" w:eastAsia="Microsoft YaHei"/>
                <w:b w:val="0"/>
                <w:color w:val="19212A"/>
                <w:sz w:val="14"/>
              </w:rPr>
              <w:t>+5.1m</w:t>
            </w:r>
          </w:p>
        </w:tc>
        <w:tc>
          <w:tcPr>
            <w:tcW w:type="dxa" w:w="2664"/>
            <w:vAlign w:val="center"/>
          </w:tcPr>
          <w:p>
            <w:pPr>
              <w:spacing w:after="0" w:line="240" w:lineRule="auto"/>
            </w:pPr>
            <w:r>
              <w:rPr>
                <w:rFonts w:ascii="Microsoft YaHei" w:hAnsi="Microsoft YaHei" w:eastAsia="Microsoft YaHei"/>
                <w:b w:val="0"/>
                <w:color w:val="19212A"/>
                <w:sz w:val="14"/>
              </w:rPr>
              <w:t>-60.3m</w:t>
            </w:r>
          </w:p>
        </w:tc>
        <w:tc>
          <w:tcPr>
            <w:tcW w:type="dxa" w:w="2664"/>
            <w:vAlign w:val="center"/>
          </w:tcPr>
          <w:p>
            <w:pPr>
              <w:spacing w:after="0" w:line="240" w:lineRule="auto"/>
            </w:pPr>
            <w:r>
              <w:rPr>
                <w:rFonts w:ascii="Microsoft YaHei" w:hAnsi="Microsoft YaHei" w:eastAsia="Microsoft YaHei"/>
                <w:b w:val="0"/>
                <w:color w:val="19212A"/>
                <w:sz w:val="14"/>
              </w:rPr>
              <w:t>-9.8m</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已取得的最近完整发布日里，BTC ETF合计 -124.9m 美元；ETH -306.5m、SOL -16.6m。周末前最新完整美国交易日为 10月15日，10月16日数据尚未完整确认，不能把未公布值当成零流量。稳定币总供应约 $304.1bn，提供中期流动性底座，但不能证明今天正在主动买币。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个完整发布日净流，最新完整交易日为 10 月 15 日；数据来源：Farside Investors，ETH/SOL 使用公开表格交叉核验。</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211s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35.9%</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123s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79.2%</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681s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40.7%</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$6.56m</w:t>
            </w:r>
          </w:p>
        </w:tc>
        <w:tc>
          <w:tcPr>
            <w:tcW w:type="dxa" w:w="2131"/>
            <w:vAlign w:val="center"/>
          </w:tcPr>
          <w:p>
            <w:pPr>
              <w:spacing w:after="0" w:line="240" w:lineRule="auto"/>
            </w:pPr>
            <w:r>
              <w:rPr>
                <w:rFonts w:ascii="Microsoft YaHei" w:hAnsi="Microsoft YaHei" w:eastAsia="Microsoft YaHei"/>
                <w:b w:val="0"/>
                <w:color w:val="19212A"/>
                <w:sz w:val="14"/>
              </w:rPr>
              <w:t>$2.36m</w:t>
            </w:r>
          </w:p>
        </w:tc>
        <w:tc>
          <w:tcPr>
            <w:tcW w:type="dxa" w:w="2131"/>
            <w:vAlign w:val="center"/>
          </w:tcPr>
          <w:p>
            <w:pPr>
              <w:spacing w:after="0" w:line="240" w:lineRule="auto"/>
            </w:pPr>
            <w:r>
              <w:rPr>
                <w:rFonts w:ascii="Microsoft YaHei" w:hAnsi="Microsoft YaHei" w:eastAsia="Microsoft YaHei"/>
                <w:b w:val="0"/>
                <w:color w:val="19212A"/>
                <w:sz w:val="14"/>
              </w:rPr>
              <w:t>+47.2%</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$4.92m</w:t>
            </w:r>
          </w:p>
        </w:tc>
        <w:tc>
          <w:tcPr>
            <w:tcW w:type="dxa" w:w="2131"/>
            <w:vAlign w:val="center"/>
            <w:shd w:fill="EAF2F8"/>
          </w:tcPr>
          <w:p>
            <w:pPr>
              <w:spacing w:after="0" w:line="240" w:lineRule="auto"/>
            </w:pPr>
            <w:r>
              <w:rPr>
                <w:rFonts w:ascii="Microsoft YaHei" w:hAnsi="Microsoft YaHei" w:eastAsia="Microsoft YaHei"/>
                <w:b w:val="0"/>
                <w:color w:val="19212A"/>
                <w:sz w:val="14"/>
              </w:rPr>
              <w:t>$3.68m</w:t>
            </w:r>
          </w:p>
        </w:tc>
        <w:tc>
          <w:tcPr>
            <w:tcW w:type="dxa" w:w="2131"/>
            <w:vAlign w:val="center"/>
            <w:shd w:fill="EAF2F8"/>
          </w:tcPr>
          <w:p>
            <w:pPr>
              <w:spacing w:after="0" w:line="240" w:lineRule="auto"/>
            </w:pPr>
            <w:r>
              <w:rPr>
                <w:rFonts w:ascii="Microsoft YaHei" w:hAnsi="Microsoft YaHei" w:eastAsia="Microsoft YaHei"/>
                <w:b w:val="0"/>
                <w:color w:val="19212A"/>
                <w:sz w:val="14"/>
              </w:rPr>
              <w:t>+14.4%</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$1.46m</w:t>
            </w:r>
          </w:p>
        </w:tc>
        <w:tc>
          <w:tcPr>
            <w:tcW w:type="dxa" w:w="2131"/>
            <w:vAlign w:val="center"/>
          </w:tcPr>
          <w:p>
            <w:pPr>
              <w:spacing w:after="0" w:line="240" w:lineRule="auto"/>
            </w:pPr>
            <w:r>
              <w:rPr>
                <w:rFonts w:ascii="Microsoft YaHei" w:hAnsi="Microsoft YaHei" w:eastAsia="Microsoft YaHei"/>
                <w:b w:val="0"/>
                <w:color w:val="19212A"/>
                <w:sz w:val="14"/>
              </w:rPr>
              <w:t>$1.41m</w:t>
            </w:r>
          </w:p>
        </w:tc>
        <w:tc>
          <w:tcPr>
            <w:tcW w:type="dxa" w:w="2131"/>
            <w:vAlign w:val="center"/>
          </w:tcPr>
          <w:p>
            <w:pPr>
              <w:spacing w:after="0" w:line="240" w:lineRule="auto"/>
            </w:pPr>
            <w:r>
              <w:rPr>
                <w:rFonts w:ascii="Microsoft YaHei" w:hAnsi="Microsoft YaHei" w:eastAsia="Microsoft YaHei"/>
                <w:b w:val="0"/>
                <w:color w:val="19212A"/>
                <w:sz w:val="14"/>
              </w:rPr>
              <w:t>+1.6%</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267 BTC @ $82,900</w:t>
            </w:r>
          </w:p>
        </w:tc>
        <w:tc>
          <w:tcPr>
            <w:tcW w:type="dxa" w:w="2131"/>
            <w:vAlign w:val="center"/>
          </w:tcPr>
          <w:p>
            <w:pPr>
              <w:spacing w:after="0" w:line="240" w:lineRule="auto"/>
            </w:pPr>
            <w:r>
              <w:rPr>
                <w:rFonts w:ascii="Microsoft YaHei" w:hAnsi="Microsoft YaHei" w:eastAsia="Microsoft YaHei"/>
                <w:b w:val="0"/>
                <w:color w:val="19212A"/>
                <w:sz w:val="14"/>
              </w:rPr>
              <w:t>848,517 BTC</w:t>
            </w:r>
          </w:p>
        </w:tc>
        <w:tc>
          <w:tcPr>
            <w:tcW w:type="dxa" w:w="2131"/>
            <w:vAlign w:val="center"/>
          </w:tcPr>
          <w:p>
            <w:pPr>
              <w:spacing w:after="0" w:line="240" w:lineRule="auto"/>
            </w:pPr>
            <w:r>
              <w:rPr>
                <w:rFonts w:ascii="Microsoft YaHei" w:hAnsi="Microsoft YaHei" w:eastAsia="Microsoft YaHei"/>
                <w:b w:val="0"/>
                <w:color w:val="19212A"/>
                <w:sz w:val="14"/>
              </w:rPr>
              <w:t>$64.02bn / $75,446</w:t>
            </w:r>
          </w:p>
        </w:tc>
        <w:tc>
          <w:tcPr>
            <w:tcW w:type="dxa" w:w="2131"/>
            <w:vAlign w:val="center"/>
          </w:tcPr>
          <w:p>
            <w:pPr>
              <w:spacing w:after="0" w:line="240" w:lineRule="auto"/>
            </w:pPr>
            <w:r>
              <w:rPr>
                <w:rFonts w:ascii="Microsoft YaHei" w:hAnsi="Microsoft YaHei" w:eastAsia="Microsoft YaHei"/>
                <w:b w:val="0"/>
                <w:color w:val="19212A"/>
                <w:sz w:val="14"/>
              </w:rPr>
              <w:t>2026-10-19</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-0.35%</w:t>
            </w:r>
          </w:p>
        </w:tc>
        <w:tc>
          <w:tcPr>
            <w:tcW w:type="dxa" w:w="1522"/>
            <w:vAlign w:val="center"/>
          </w:tcPr>
          <w:p>
            <w:pPr>
              <w:spacing w:after="0" w:line="240" w:lineRule="auto"/>
            </w:pPr>
            <w:r>
              <w:rPr>
                <w:rFonts w:ascii="Microsoft YaHei" w:hAnsi="Microsoft YaHei" w:eastAsia="Microsoft YaHei"/>
                <w:b w:val="0"/>
                <w:color w:val="19212A"/>
                <w:sz w:val="13"/>
              </w:rPr>
              <w:t>+0.0015%</w:t>
            </w:r>
          </w:p>
        </w:tc>
        <w:tc>
          <w:tcPr>
            <w:tcW w:type="dxa" w:w="1522"/>
            <w:vAlign w:val="center"/>
          </w:tcPr>
          <w:p>
            <w:pPr>
              <w:spacing w:after="0" w:line="240" w:lineRule="auto"/>
            </w:pPr>
            <w:r>
              <w:rPr>
                <w:rFonts w:ascii="Microsoft YaHei" w:hAnsi="Microsoft YaHei" w:eastAsia="Microsoft YaHei"/>
                <w:b w:val="0"/>
                <w:color w:val="19212A"/>
                <w:sz w:val="13"/>
              </w:rPr>
              <w:t>$2.45bn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0.146/0.146/0.146</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-1.05%</w:t>
            </w:r>
          </w:p>
        </w:tc>
        <w:tc>
          <w:tcPr>
            <w:tcW w:type="dxa" w:w="1522"/>
            <w:vAlign w:val="center"/>
            <w:shd w:fill="EAF2F8"/>
          </w:tcPr>
          <w:p>
            <w:pPr>
              <w:spacing w:after="0" w:line="240" w:lineRule="auto"/>
            </w:pPr>
            <w:r>
              <w:rPr>
                <w:rFonts w:ascii="Microsoft YaHei" w:hAnsi="Microsoft YaHei" w:eastAsia="Microsoft YaHei"/>
                <w:b w:val="0"/>
                <w:color w:val="19212A"/>
                <w:sz w:val="13"/>
              </w:rPr>
              <w:t>+0.0006%</w:t>
            </w:r>
          </w:p>
        </w:tc>
        <w:tc>
          <w:tcPr>
            <w:tcW w:type="dxa" w:w="1522"/>
            <w:vAlign w:val="center"/>
            <w:shd w:fill="EAF2F8"/>
          </w:tcPr>
          <w:p>
            <w:pPr>
              <w:spacing w:after="0" w:line="240" w:lineRule="auto"/>
            </w:pPr>
            <w:r>
              <w:rPr>
                <w:rFonts w:ascii="Microsoft YaHei" w:hAnsi="Microsoft YaHei" w:eastAsia="Microsoft YaHei"/>
                <w:b w:val="0"/>
                <w:color w:val="19212A"/>
                <w:sz w:val="13"/>
              </w:rPr>
              <w:t>$1.44bn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0.153/0.153/0.153</w:t>
            </w:r>
          </w:p>
        </w:tc>
        <w:tc>
          <w:tcPr>
            <w:tcW w:type="dxa" w:w="1522"/>
            <w:vAlign w:val="center"/>
            <w:shd w:fill="EAF2F8"/>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-0.86%</w:t>
            </w:r>
          </w:p>
        </w:tc>
        <w:tc>
          <w:tcPr>
            <w:tcW w:type="dxa" w:w="1522"/>
            <w:vAlign w:val="center"/>
          </w:tcPr>
          <w:p>
            <w:pPr>
              <w:spacing w:after="0" w:line="240" w:lineRule="auto"/>
            </w:pPr>
            <w:r>
              <w:rPr>
                <w:rFonts w:ascii="Microsoft YaHei" w:hAnsi="Microsoft YaHei" w:eastAsia="Microsoft YaHei"/>
                <w:b w:val="0"/>
                <w:color w:val="19212A"/>
                <w:sz w:val="13"/>
              </w:rPr>
              <w:t>+0.0058%</w:t>
            </w:r>
          </w:p>
        </w:tc>
        <w:tc>
          <w:tcPr>
            <w:tcW w:type="dxa" w:w="1522"/>
            <w:vAlign w:val="center"/>
          </w:tcPr>
          <w:p>
            <w:pPr>
              <w:spacing w:after="0" w:line="240" w:lineRule="auto"/>
            </w:pPr>
            <w:r>
              <w:rPr>
                <w:rFonts w:ascii="Microsoft YaHei" w:hAnsi="Microsoft YaHei" w:eastAsia="Microsoft YaHei"/>
                <w:b w:val="0"/>
                <w:color w:val="19212A"/>
                <w:sz w:val="13"/>
              </w:rPr>
              <w:t>$0.32bn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0.549/0.549/0.549</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24小时下跌 0.35%、OI 增加 0.00%，最近三小时 Taker 为 0.146、0.146、0.146：价格与OI同步增加更像反弹中的杠杆回补，但末端 Taker 尚未稳定站上1.10，不能直接当成趋势反转。ETH 24小时下跌 1.05%、OI 增加 0.00%；SOL 24小时下跌 0.86%、OI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0.60</w:t>
            </w:r>
          </w:p>
        </w:tc>
        <w:tc>
          <w:tcPr>
            <w:tcW w:type="dxa" w:w="1776"/>
            <w:vAlign w:val="center"/>
          </w:tcPr>
          <w:p>
            <w:pPr>
              <w:spacing w:after="0" w:line="240" w:lineRule="auto"/>
            </w:pPr>
            <w:r>
              <w:rPr>
                <w:rFonts w:ascii="Microsoft YaHei" w:hAnsi="Microsoft YaHei" w:eastAsia="Microsoft YaHei"/>
                <w:b w:val="0"/>
                <w:color w:val="19212A"/>
                <w:sz w:val="14"/>
              </w:rPr>
              <w:t>13NOV26</w:t>
            </w:r>
          </w:p>
        </w:tc>
        <w:tc>
          <w:tcPr>
            <w:tcW w:type="dxa" w:w="1776"/>
            <w:vAlign w:val="center"/>
          </w:tcPr>
          <w:p>
            <w:pPr>
              <w:spacing w:after="0" w:line="240" w:lineRule="auto"/>
            </w:pPr>
            <w:r>
              <w:rPr>
                <w:rFonts w:ascii="Microsoft YaHei" w:hAnsi="Microsoft YaHei" w:eastAsia="Microsoft YaHei"/>
                <w:b w:val="0"/>
                <w:color w:val="19212A"/>
                <w:sz w:val="14"/>
              </w:rPr>
              <w:t>1.29</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0.51</w:t>
            </w:r>
          </w:p>
        </w:tc>
        <w:tc>
          <w:tcPr>
            <w:tcW w:type="dxa" w:w="1776"/>
            <w:vAlign w:val="center"/>
            <w:shd w:fill="EAF2F8"/>
          </w:tcPr>
          <w:p>
            <w:pPr>
              <w:spacing w:after="0" w:line="240" w:lineRule="auto"/>
            </w:pPr>
            <w:r>
              <w:rPr>
                <w:rFonts w:ascii="Microsoft YaHei" w:hAnsi="Microsoft YaHei" w:eastAsia="Microsoft YaHei"/>
                <w:b w:val="0"/>
                <w:color w:val="19212A"/>
                <w:sz w:val="14"/>
              </w:rPr>
              <w:t>13NOV26</w:t>
            </w:r>
          </w:p>
        </w:tc>
        <w:tc>
          <w:tcPr>
            <w:tcW w:type="dxa" w:w="1776"/>
            <w:vAlign w:val="center"/>
            <w:shd w:fill="EAF2F8"/>
          </w:tcPr>
          <w:p>
            <w:pPr>
              <w:spacing w:after="0" w:line="240" w:lineRule="auto"/>
            </w:pPr>
            <w:r>
              <w:rPr>
                <w:rFonts w:ascii="Microsoft YaHei" w:hAnsi="Microsoft YaHei" w:eastAsia="Microsoft YaHei"/>
                <w:b w:val="0"/>
                <w:color w:val="19212A"/>
                <w:sz w:val="14"/>
              </w:rPr>
              <w:t>0.57</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0.60、近月 1.29；ETH 全期限 0.51、近月 0.57。本轮只取得期权持仓结构，没有稳定的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81,214</w:t>
            </w:r>
          </w:p>
        </w:tc>
        <w:tc>
          <w:tcPr>
            <w:tcW w:type="dxa" w:w="1522"/>
            <w:vAlign w:val="center"/>
          </w:tcPr>
          <w:p>
            <w:pPr>
              <w:spacing w:after="0" w:line="240" w:lineRule="auto"/>
            </w:pPr>
            <w:r>
              <w:rPr>
                <w:rFonts w:ascii="Microsoft YaHei" w:hAnsi="Microsoft YaHei" w:eastAsia="Microsoft YaHei"/>
                <w:b w:val="0"/>
                <w:color w:val="19212A"/>
                <w:sz w:val="12"/>
              </w:rPr>
              <w:t>81,666</w:t>
            </w:r>
          </w:p>
        </w:tc>
        <w:tc>
          <w:tcPr>
            <w:tcW w:type="dxa" w:w="1522"/>
            <w:vAlign w:val="center"/>
          </w:tcPr>
          <w:p>
            <w:pPr>
              <w:spacing w:after="0" w:line="240" w:lineRule="auto"/>
            </w:pPr>
            <w:r>
              <w:rPr>
                <w:rFonts w:ascii="Microsoft YaHei" w:hAnsi="Microsoft YaHei" w:eastAsia="Microsoft YaHei"/>
                <w:b w:val="0"/>
                <w:color w:val="19212A"/>
                <w:sz w:val="12"/>
              </w:rPr>
              <w:t>84,532</w:t>
            </w:r>
          </w:p>
        </w:tc>
        <w:tc>
          <w:tcPr>
            <w:tcW w:type="dxa" w:w="1522"/>
            <w:vAlign w:val="center"/>
          </w:tcPr>
          <w:p>
            <w:pPr>
              <w:spacing w:after="0" w:line="240" w:lineRule="auto"/>
            </w:pPr>
            <w:r>
              <w:rPr>
                <w:rFonts w:ascii="Microsoft YaHei" w:hAnsi="Microsoft YaHei" w:eastAsia="Microsoft YaHei"/>
                <w:b w:val="0"/>
                <w:color w:val="19212A"/>
                <w:sz w:val="12"/>
              </w:rPr>
              <w:t>81,214 / 80,714 / 81,214</w:t>
            </w:r>
          </w:p>
        </w:tc>
        <w:tc>
          <w:tcPr>
            <w:tcW w:type="dxa" w:w="1522"/>
            <w:vAlign w:val="center"/>
          </w:tcPr>
          <w:p>
            <w:pPr>
              <w:spacing w:after="0" w:line="240" w:lineRule="auto"/>
            </w:pPr>
            <w:r>
              <w:rPr>
                <w:rFonts w:ascii="Microsoft YaHei" w:hAnsi="Microsoft YaHei" w:eastAsia="Microsoft YaHei"/>
                <w:b w:val="0"/>
                <w:color w:val="19212A"/>
                <w:sz w:val="12"/>
              </w:rPr>
              <w:t>84,532 / 85,032 / 84,733</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2,362</w:t>
            </w:r>
          </w:p>
        </w:tc>
        <w:tc>
          <w:tcPr>
            <w:tcW w:type="dxa" w:w="1522"/>
            <w:vAlign w:val="center"/>
            <w:shd w:fill="EAF2F8"/>
          </w:tcPr>
          <w:p>
            <w:pPr>
              <w:spacing w:after="0" w:line="240" w:lineRule="auto"/>
            </w:pPr>
            <w:r>
              <w:rPr>
                <w:rFonts w:ascii="Microsoft YaHei" w:hAnsi="Microsoft YaHei" w:eastAsia="Microsoft YaHei"/>
                <w:b w:val="0"/>
                <w:color w:val="19212A"/>
                <w:sz w:val="12"/>
              </w:rPr>
              <w:t>2,401</w:t>
            </w:r>
          </w:p>
        </w:tc>
        <w:tc>
          <w:tcPr>
            <w:tcW w:type="dxa" w:w="1522"/>
            <w:vAlign w:val="center"/>
            <w:shd w:fill="EAF2F8"/>
          </w:tcPr>
          <w:p>
            <w:pPr>
              <w:spacing w:after="0" w:line="240" w:lineRule="auto"/>
            </w:pPr>
            <w:r>
              <w:rPr>
                <w:rFonts w:ascii="Microsoft YaHei" w:hAnsi="Microsoft YaHei" w:eastAsia="Microsoft YaHei"/>
                <w:b w:val="0"/>
                <w:color w:val="19212A"/>
                <w:sz w:val="12"/>
              </w:rPr>
              <w:t>2,476</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103.28</w:t>
            </w:r>
          </w:p>
        </w:tc>
        <w:tc>
          <w:tcPr>
            <w:tcW w:type="dxa" w:w="1522"/>
            <w:vAlign w:val="center"/>
          </w:tcPr>
          <w:p>
            <w:pPr>
              <w:spacing w:after="0" w:line="240" w:lineRule="auto"/>
            </w:pPr>
            <w:r>
              <w:rPr>
                <w:rFonts w:ascii="Microsoft YaHei" w:hAnsi="Microsoft YaHei" w:eastAsia="Microsoft YaHei"/>
                <w:b w:val="0"/>
                <w:color w:val="19212A"/>
                <w:sz w:val="12"/>
              </w:rPr>
              <w:t>104.42</w:t>
            </w:r>
          </w:p>
        </w:tc>
        <w:tc>
          <w:tcPr>
            <w:tcW w:type="dxa" w:w="1522"/>
            <w:vAlign w:val="center"/>
          </w:tcPr>
          <w:p>
            <w:pPr>
              <w:spacing w:after="0" w:line="240" w:lineRule="auto"/>
            </w:pPr>
            <w:r>
              <w:rPr>
                <w:rFonts w:ascii="Microsoft YaHei" w:hAnsi="Microsoft YaHei" w:eastAsia="Microsoft YaHei"/>
                <w:b w:val="0"/>
                <w:color w:val="19212A"/>
                <w:sz w:val="12"/>
              </w:rPr>
              <w:t>108.40</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8.9714</w:t>
            </w:r>
          </w:p>
        </w:tc>
        <w:tc>
          <w:tcPr>
            <w:tcW w:type="dxa" w:w="1522"/>
            <w:vAlign w:val="center"/>
            <w:shd w:fill="EAF2F8"/>
          </w:tcPr>
          <w:p>
            <w:pPr>
              <w:spacing w:after="0" w:line="240" w:lineRule="auto"/>
            </w:pPr>
            <w:r>
              <w:rPr>
                <w:rFonts w:ascii="Microsoft YaHei" w:hAnsi="Microsoft YaHei" w:eastAsia="Microsoft YaHei"/>
                <w:b w:val="0"/>
                <w:color w:val="19212A"/>
                <w:sz w:val="12"/>
              </w:rPr>
              <w:t>9.1000</w:t>
            </w:r>
          </w:p>
        </w:tc>
        <w:tc>
          <w:tcPr>
            <w:tcW w:type="dxa" w:w="1522"/>
            <w:vAlign w:val="center"/>
            <w:shd w:fill="EAF2F8"/>
          </w:tcPr>
          <w:p>
            <w:pPr>
              <w:spacing w:after="0" w:line="240" w:lineRule="auto"/>
            </w:pPr>
            <w:r>
              <w:rPr>
                <w:rFonts w:ascii="Microsoft YaHei" w:hAnsi="Microsoft YaHei" w:eastAsia="Microsoft YaHei"/>
                <w:b w:val="0"/>
                <w:color w:val="19212A"/>
                <w:sz w:val="12"/>
              </w:rPr>
              <w:t>9.7430</w:t>
            </w:r>
          </w:p>
        </w:tc>
        <w:tc>
          <w:tcPr>
            <w:tcW w:type="dxa" w:w="1522"/>
            <w:vAlign w:val="center"/>
            <w:shd w:fill="EAF2F8"/>
          </w:tcPr>
          <w:p>
            <w:pPr>
              <w:spacing w:after="0" w:line="240" w:lineRule="auto"/>
            </w:pPr>
            <w:r>
              <w:rPr>
                <w:rFonts w:ascii="Microsoft YaHei" w:hAnsi="Microsoft YaHei" w:eastAsia="Microsoft YaHei"/>
                <w:b w:val="0"/>
                <w:color w:val="19212A"/>
                <w:sz w:val="12"/>
              </w:rPr>
              <w:t>8.6680 / 8.9714</w:t>
            </w:r>
          </w:p>
        </w:tc>
        <w:tc>
          <w:tcPr>
            <w:tcW w:type="dxa" w:w="1522"/>
            <w:vAlign w:val="center"/>
            <w:shd w:fill="EAF2F8"/>
          </w:tcPr>
          <w:p>
            <w:pPr>
              <w:spacing w:after="0" w:line="240" w:lineRule="auto"/>
            </w:pPr>
            <w:r>
              <w:rPr>
                <w:rFonts w:ascii="Microsoft YaHei" w:hAnsi="Microsoft YaHei" w:eastAsia="Microsoft YaHei"/>
                <w:b w:val="0"/>
                <w:color w:val="19212A"/>
                <w:sz w:val="12"/>
              </w:rPr>
              <w:t>9.7430 / 9.0880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1.3103</w:t>
            </w:r>
          </w:p>
        </w:tc>
        <w:tc>
          <w:tcPr>
            <w:tcW w:type="dxa" w:w="1522"/>
            <w:vAlign w:val="center"/>
          </w:tcPr>
          <w:p>
            <w:pPr>
              <w:spacing w:after="0" w:line="240" w:lineRule="auto"/>
            </w:pPr>
            <w:r>
              <w:rPr>
                <w:rFonts w:ascii="Microsoft YaHei" w:hAnsi="Microsoft YaHei" w:eastAsia="Microsoft YaHei"/>
                <w:b w:val="0"/>
                <w:color w:val="19212A"/>
                <w:sz w:val="12"/>
              </w:rPr>
              <w:t>1.3565</w:t>
            </w:r>
          </w:p>
        </w:tc>
        <w:tc>
          <w:tcPr>
            <w:tcW w:type="dxa" w:w="1522"/>
            <w:vAlign w:val="center"/>
          </w:tcPr>
          <w:p>
            <w:pPr>
              <w:spacing w:after="0" w:line="240" w:lineRule="auto"/>
            </w:pPr>
            <w:r>
              <w:rPr>
                <w:rFonts w:ascii="Microsoft YaHei" w:hAnsi="Microsoft YaHei" w:eastAsia="Microsoft YaHei"/>
                <w:b w:val="0"/>
                <w:color w:val="19212A"/>
                <w:sz w:val="12"/>
              </w:rPr>
              <w:t>1.3902</w:t>
            </w:r>
          </w:p>
        </w:tc>
        <w:tc>
          <w:tcPr>
            <w:tcW w:type="dxa" w:w="1522"/>
            <w:vAlign w:val="center"/>
          </w:tcPr>
          <w:p>
            <w:pPr>
              <w:spacing w:after="0" w:line="240" w:lineRule="auto"/>
            </w:pPr>
            <w:r>
              <w:rPr>
                <w:rFonts w:ascii="Microsoft YaHei" w:hAnsi="Microsoft YaHei" w:eastAsia="Microsoft YaHei"/>
                <w:b w:val="0"/>
                <w:color w:val="19212A"/>
                <w:sz w:val="12"/>
              </w:rPr>
              <w:t>1.2539 / 1.3103</w:t>
            </w:r>
          </w:p>
        </w:tc>
        <w:tc>
          <w:tcPr>
            <w:tcW w:type="dxa" w:w="1522"/>
            <w:vAlign w:val="center"/>
          </w:tcPr>
          <w:p>
            <w:pPr>
              <w:spacing w:after="0" w:line="240" w:lineRule="auto"/>
            </w:pPr>
            <w:r>
              <w:rPr>
                <w:rFonts w:ascii="Microsoft YaHei" w:hAnsi="Microsoft YaHei" w:eastAsia="Microsoft YaHei"/>
                <w:b w:val="0"/>
                <w:color w:val="19212A"/>
                <w:sz w:val="12"/>
              </w:rPr>
              <w:t>1.3902 / 1.2958</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81,214 与 VAH 84,532 之间、靠近 POC 81,666，说明价格在正常成交区中部，不自动等于多头或空头；下沿多头本轮未通过第一目标净R:R闸门，上沿 84,432-84,612 失败才有空头条件。AVAX 的 POC 约 9.1000、XRP 的 POC 约 1.3565，只代表这五天成交最密集处。真实全网清算热力图本轮未取得，图中上下方数字只是止损/流动性代理，不代表真实清算金额。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-0.35%</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-1.05%</w:t>
            </w:r>
          </w:p>
        </w:tc>
        <w:tc>
          <w:tcPr>
            <w:tcW w:type="dxa" w:w="2131"/>
            <w:vAlign w:val="center"/>
            <w:shd w:fill="EAF2F8"/>
          </w:tcPr>
          <w:p>
            <w:pPr>
              <w:spacing w:after="0" w:line="240" w:lineRule="auto"/>
            </w:pPr>
            <w:r>
              <w:rPr>
                <w:rFonts w:ascii="Microsoft YaHei" w:hAnsi="Microsoft YaHei" w:eastAsia="Microsoft YaHei"/>
                <w:b w:val="0"/>
                <w:color w:val="19212A"/>
                <w:sz w:val="14"/>
              </w:rPr>
              <w:t>ETH/BTC -1.02%</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-0.86% / -0.28% / +0.12%</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-1.54% / +0.12% / -1.13%</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+0.07pp</w:t>
            </w:r>
          </w:p>
        </w:tc>
        <w:tc>
          <w:tcPr>
            <w:tcW w:type="dxa" w:w="1776"/>
            <w:vAlign w:val="center"/>
          </w:tcPr>
          <w:p>
            <w:pPr>
              <w:spacing w:after="0" w:line="240" w:lineRule="auto"/>
            </w:pPr>
            <w:r>
              <w:rPr>
                <w:rFonts w:ascii="Microsoft YaHei" w:hAnsi="Microsoft YaHei" w:eastAsia="Microsoft YaHei"/>
                <w:b w:val="0"/>
                <w:color w:val="19212A"/>
                <w:sz w:val="13"/>
              </w:rPr>
              <w:t>TVL $600.4m；7d -38.58%；DEX量7d -38.58%；费用未取得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-0.28%；OI +0.00%；Funding +0.0038%；Taker 0.004</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+0.48pp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+0.12%；OI +0.00%；Funding +0.0032%；Taker 0.033</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+0.07pp</w:t>
            </w:r>
          </w:p>
        </w:tc>
        <w:tc>
          <w:tcPr>
            <w:tcW w:type="dxa" w:w="2664"/>
            <w:vAlign w:val="center"/>
          </w:tcPr>
          <w:p>
            <w:pPr>
              <w:spacing w:after="0" w:line="240" w:lineRule="auto"/>
            </w:pPr>
            <w:r>
              <w:rPr>
                <w:rFonts w:ascii="Microsoft YaHei" w:hAnsi="Microsoft YaHei" w:eastAsia="Microsoft YaHei"/>
                <w:b w:val="0"/>
                <w:color w:val="19212A"/>
                <w:sz w:val="14"/>
              </w:rPr>
              <w:t>+0.48pp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0.004</w:t>
            </w:r>
          </w:p>
        </w:tc>
        <w:tc>
          <w:tcPr>
            <w:tcW w:type="dxa" w:w="2664"/>
            <w:vAlign w:val="center"/>
          </w:tcPr>
          <w:p>
            <w:pPr>
              <w:spacing w:after="0" w:line="240" w:lineRule="auto"/>
            </w:pPr>
            <w:r>
              <w:rPr>
                <w:rFonts w:ascii="Microsoft YaHei" w:hAnsi="Microsoft YaHei" w:eastAsia="Microsoft YaHei"/>
                <w:b w:val="0"/>
                <w:color w:val="19212A"/>
                <w:sz w:val="14"/>
              </w:rPr>
              <w:t>OI +0.00%，Taker 0.033</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S1/S2c 条件卡没有可核验成交，所以没有模型交易，也不能计入 Kelly。今天上沿空头条件卡都只是触发后执行的预案；每张有效卡的最大风险预算仍是0.10%，不是要求必须用满的目标仓位。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2026-10-28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已确认：下一次会议为10月27-28日；声明与记者会仍是待公布结果</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2026-10-21</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AVAX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Tokenomics.com unlock schedule</w:t>
            </w:r>
          </w:p>
        </w:tc>
        <w:tc>
          <w:tcPr>
            <w:tcW w:type="dxa" w:w="1066"/>
            <w:vAlign w:val="center"/>
          </w:tcPr>
          <w:p>
            <w:pPr>
              <w:spacing w:after="0" w:line="240" w:lineRule="auto"/>
            </w:pPr>
            <w:r>
              <w:rPr>
                <w:rFonts w:ascii="Microsoft YaHei" w:hAnsi="Microsoft YaHei" w:eastAsia="Microsoft YaHei"/>
                <w:b w:val="0"/>
                <w:color w:val="19212A"/>
                <w:sz w:val="11"/>
              </w:rPr>
              <w:t>新增近7日供给风险：约3.584842m AVAX，约占总供应0.5%、市值0.7%</w:t>
            </w:r>
          </w:p>
        </w:tc>
        <w:tc>
          <w:tcPr>
            <w:tcW w:type="dxa" w:w="1066"/>
            <w:vAlign w:val="center"/>
          </w:tcPr>
          <w:p>
            <w:pPr>
              <w:spacing w:after="0" w:line="240" w:lineRule="auto"/>
            </w:pPr>
            <w:r>
              <w:rPr>
                <w:rFonts w:ascii="Microsoft YaHei" w:hAnsi="Microsoft YaHei" w:eastAsia="Microsoft YaHei"/>
                <w:b w:val="0"/>
                <w:color w:val="19212A"/>
                <w:sz w:val="11"/>
              </w:rPr>
              <w:t>AVAX / L1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BEA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2026-09-16 completed</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下一项待公布节点为 FOMC meeting and press conference（2026-10-28 02:00 BJT）。CLARITY投票没有新日期，只保留历史结果。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84,432-84,612是否触达；15m/30m能否冲高失败、跌回VAH 84,532下方并形成LH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84,432-84,612是否触达；反弹后能否重新跌回VAL下方并形成LH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OI增加后是否继续；Taker能否从0.146回落并再次转弱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81,214 后收回形成 HL，或上沿 84,432-84,612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2026-10-25T07:02:03.542743+08:00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2026-10-25T07:02:03.542743+08:00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2026-10-25 07:02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2026-10-25T07:02:03.542743+08:00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2026-10-19</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2026-10-25T07:02:03.542743+08:00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2026-10-25T07:02:03.542743+08:00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2026-10-25T07:02:03.542743+08:00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2026-10-25</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2026-10-25T07:02:03.542743+08:00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2026-10-25</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2026-10-25</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2026-10-25T07:02:03.542743+08:00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2026-10-25</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- 2026-10-25</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