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2026-10-13 | 市场快照 23:09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2026-10-13T23:09:28.147805+08:00 的 Binance 同轮行情、衍生品、Deribit 期权、Binance/OKX 现货成交带与盘口快照；ETF BTC 最新公开值到 2026-10-07，ETH/SOL 当日值未完整取得，宏观、催化剂与大佬观点核验截止 2026-10-13 23:09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83,525 位于 POC 83,632 上方、接近价值区上半部，不直接追多或追空；今天下沿多头路径因 POC 过近、TP1 净R:R不足而 INVALID，不执行。唯一保留的条件路径是上方 83,983-84,163 冲高受阻后做空。条件卡有效至 2026-10-13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83,983-84,163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82,755-84,083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2,483 收回与 EMA20 2,518，无独立交易卡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2,518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107.40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EMA20 109.53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82,655-82,805 即使扫低收回也不执行：POC 83,632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82,655-82,805 / 82,805</w:t>
            </w:r>
          </w:p>
        </w:tc>
        <w:tc>
          <w:tcPr>
            <w:tcW w:type="dxa" w:w="1332"/>
            <w:vAlign w:val="center"/>
          </w:tcPr>
          <w:p>
            <w:pPr>
              <w:spacing w:after="0" w:line="240" w:lineRule="auto"/>
            </w:pPr>
            <w:r>
              <w:rPr>
                <w:rFonts w:ascii="Microsoft YaHei" w:hAnsi="Microsoft YaHei" w:eastAsia="Microsoft YaHei"/>
                <w:b w:val="0"/>
                <w:color w:val="19212A"/>
                <w:sz w:val="12"/>
              </w:rPr>
              <w:t>82,255</w:t>
            </w:r>
          </w:p>
        </w:tc>
        <w:tc>
          <w:tcPr>
            <w:tcW w:type="dxa" w:w="1332"/>
            <w:vAlign w:val="center"/>
          </w:tcPr>
          <w:p>
            <w:pPr>
              <w:spacing w:after="0" w:line="240" w:lineRule="auto"/>
            </w:pPr>
            <w:r>
              <w:rPr>
                <w:rFonts w:ascii="Microsoft YaHei" w:hAnsi="Microsoft YaHei" w:eastAsia="Microsoft YaHei"/>
                <w:b w:val="0"/>
                <w:color w:val="19212A"/>
                <w:sz w:val="12"/>
              </w:rPr>
              <w:t>83,632 / 84,083</w:t>
            </w:r>
          </w:p>
        </w:tc>
        <w:tc>
          <w:tcPr>
            <w:tcW w:type="dxa" w:w="1332"/>
            <w:vAlign w:val="center"/>
          </w:tcPr>
          <w:p>
            <w:pPr>
              <w:spacing w:after="0" w:line="240" w:lineRule="auto"/>
            </w:pPr>
            <w:r>
              <w:rPr>
                <w:rFonts w:ascii="Microsoft YaHei" w:hAnsi="Microsoft YaHei" w:eastAsia="Microsoft YaHei"/>
                <w:b w:val="0"/>
                <w:color w:val="19212A"/>
                <w:sz w:val="12"/>
              </w:rPr>
              <w:t>TP1 1:1.12；加权 1:1.54</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83,983-84,163，15m/30m出现冲高失败、LH并重新跌回 VAH 84,083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83,983-84,163 / 84,163</w:t>
            </w:r>
          </w:p>
        </w:tc>
        <w:tc>
          <w:tcPr>
            <w:tcW w:type="dxa" w:w="1332"/>
            <w:vAlign w:val="center"/>
            <w:shd w:fill="EAF2F8"/>
          </w:tcPr>
          <w:p>
            <w:pPr>
              <w:spacing w:after="0" w:line="240" w:lineRule="auto"/>
            </w:pPr>
            <w:r>
              <w:rPr>
                <w:rFonts w:ascii="Microsoft YaHei" w:hAnsi="Microsoft YaHei" w:eastAsia="Microsoft YaHei"/>
                <w:b w:val="0"/>
                <w:color w:val="19212A"/>
                <w:sz w:val="12"/>
              </w:rPr>
              <w:t>84,583</w:t>
            </w:r>
          </w:p>
        </w:tc>
        <w:tc>
          <w:tcPr>
            <w:tcW w:type="dxa" w:w="1332"/>
            <w:vAlign w:val="center"/>
            <w:shd w:fill="EAF2F8"/>
          </w:tcPr>
          <w:p>
            <w:pPr>
              <w:spacing w:after="0" w:line="240" w:lineRule="auto"/>
            </w:pPr>
            <w:r>
              <w:rPr>
                <w:rFonts w:ascii="Microsoft YaHei" w:hAnsi="Microsoft YaHei" w:eastAsia="Microsoft YaHei"/>
                <w:b w:val="0"/>
                <w:color w:val="19212A"/>
                <w:sz w:val="12"/>
              </w:rPr>
              <w:t>83,632 / 82,755</w:t>
            </w:r>
          </w:p>
        </w:tc>
        <w:tc>
          <w:tcPr>
            <w:tcW w:type="dxa" w:w="1332"/>
            <w:vAlign w:val="center"/>
            <w:shd w:fill="EAF2F8"/>
          </w:tcPr>
          <w:p>
            <w:pPr>
              <w:spacing w:after="0" w:line="240" w:lineRule="auto"/>
            </w:pPr>
            <w:r>
              <w:rPr>
                <w:rFonts w:ascii="Microsoft YaHei" w:hAnsi="Microsoft YaHei" w:eastAsia="Microsoft YaHei"/>
                <w:b w:val="0"/>
                <w:color w:val="19212A"/>
                <w:sz w:val="12"/>
              </w:rPr>
              <w:t>TP1 1:0.83；加权 1:1.84</w:t>
            </w:r>
          </w:p>
        </w:tc>
        <w:tc>
          <w:tcPr>
            <w:tcW w:type="dxa" w:w="1332"/>
            <w:vAlign w:val="center"/>
            <w:shd w:fill="EAF2F8"/>
          </w:tcPr>
          <w:p>
            <w:pPr>
              <w:spacing w:after="0" w:line="240" w:lineRule="auto"/>
            </w:pPr>
            <w:r>
              <w:rPr>
                <w:rFonts w:ascii="Microsoft YaHei" w:hAnsi="Microsoft YaHei" w:eastAsia="Microsoft YaHei"/>
                <w:b w:val="0"/>
                <w:color w:val="19212A"/>
                <w:sz w:val="12"/>
              </w:rPr>
              <w:t>2026-10-13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83,632 附近，POC 可以理解为最近成交最拥挤的中轴，不是追单位置。今天下沿多头卡因第一阻力过近被取消；只有上方 83,983-84,163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82,005-84,670</w:t>
            </w:r>
          </w:p>
        </w:tc>
        <w:tc>
          <w:tcPr>
            <w:tcW w:type="dxa" w:w="1332"/>
            <w:vAlign w:val="center"/>
          </w:tcPr>
          <w:p>
            <w:pPr>
              <w:spacing w:after="0" w:line="240" w:lineRule="auto"/>
            </w:pPr>
            <w:r>
              <w:rPr>
                <w:rFonts w:ascii="Microsoft YaHei" w:hAnsi="Microsoft YaHei" w:eastAsia="Microsoft YaHei"/>
                <w:b w:val="0"/>
                <w:color w:val="19212A"/>
                <w:sz w:val="13"/>
              </w:rPr>
              <w:t>80,520-83,173</w:t>
            </w:r>
          </w:p>
        </w:tc>
        <w:tc>
          <w:tcPr>
            <w:tcW w:type="dxa" w:w="1332"/>
            <w:vAlign w:val="center"/>
          </w:tcPr>
          <w:p>
            <w:pPr>
              <w:spacing w:after="0" w:line="240" w:lineRule="auto"/>
            </w:pPr>
            <w:r>
              <w:rPr>
                <w:rFonts w:ascii="Microsoft YaHei" w:hAnsi="Microsoft YaHei" w:eastAsia="Microsoft YaHei"/>
                <w:b w:val="0"/>
                <w:color w:val="19212A"/>
                <w:sz w:val="13"/>
              </w:rPr>
              <w:t>83,568-84,831</w:t>
            </w:r>
          </w:p>
        </w:tc>
        <w:tc>
          <w:tcPr>
            <w:tcW w:type="dxa" w:w="1332"/>
            <w:vAlign w:val="center"/>
          </w:tcPr>
          <w:p>
            <w:pPr>
              <w:spacing w:after="0" w:line="240" w:lineRule="auto"/>
            </w:pPr>
            <w:r>
              <w:rPr>
                <w:rFonts w:ascii="Microsoft YaHei" w:hAnsi="Microsoft YaHei" w:eastAsia="Microsoft YaHei"/>
                <w:b w:val="0"/>
                <w:color w:val="19212A"/>
                <w:sz w:val="13"/>
              </w:rPr>
              <w:t>17.4% / 27.9% / 54.7%</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30.9</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81,050-85,668</w:t>
            </w:r>
          </w:p>
        </w:tc>
        <w:tc>
          <w:tcPr>
            <w:tcW w:type="dxa" w:w="1332"/>
            <w:vAlign w:val="center"/>
            <w:shd w:fill="EAF2F8"/>
          </w:tcPr>
          <w:p>
            <w:pPr>
              <w:spacing w:after="0" w:line="240" w:lineRule="auto"/>
            </w:pPr>
            <w:r>
              <w:rPr>
                <w:rFonts w:ascii="Microsoft YaHei" w:hAnsi="Microsoft YaHei" w:eastAsia="Microsoft YaHei"/>
                <w:b w:val="0"/>
                <w:color w:val="19212A"/>
                <w:sz w:val="13"/>
              </w:rPr>
              <w:t>79,958-82,581</w:t>
            </w:r>
          </w:p>
        </w:tc>
        <w:tc>
          <w:tcPr>
            <w:tcW w:type="dxa" w:w="1332"/>
            <w:vAlign w:val="center"/>
            <w:shd w:fill="EAF2F8"/>
          </w:tcPr>
          <w:p>
            <w:pPr>
              <w:spacing w:after="0" w:line="240" w:lineRule="auto"/>
            </w:pPr>
            <w:r>
              <w:rPr>
                <w:rFonts w:ascii="Microsoft YaHei" w:hAnsi="Microsoft YaHei" w:eastAsia="Microsoft YaHei"/>
                <w:b w:val="0"/>
                <w:color w:val="19212A"/>
                <w:sz w:val="13"/>
              </w:rPr>
              <w:t>83,550-85,068</w:t>
            </w:r>
          </w:p>
        </w:tc>
        <w:tc>
          <w:tcPr>
            <w:tcW w:type="dxa" w:w="1332"/>
            <w:vAlign w:val="center"/>
            <w:shd w:fill="EAF2F8"/>
          </w:tcPr>
          <w:p>
            <w:pPr>
              <w:spacing w:after="0" w:line="240" w:lineRule="auto"/>
            </w:pPr>
            <w:r>
              <w:rPr>
                <w:rFonts w:ascii="Microsoft YaHei" w:hAnsi="Microsoft YaHei" w:eastAsia="Microsoft YaHei"/>
                <w:b w:val="0"/>
                <w:color w:val="19212A"/>
                <w:sz w:val="13"/>
              </w:rPr>
              <w:t>52.3% / 38.8% / 8.9%</w:t>
            </w:r>
          </w:p>
        </w:tc>
        <w:tc>
          <w:tcPr>
            <w:tcW w:type="dxa" w:w="1332"/>
            <w:vAlign w:val="center"/>
            <w:shd w:fill="EAF2F8"/>
          </w:tcPr>
          <w:p>
            <w:pPr>
              <w:spacing w:after="0" w:line="240" w:lineRule="auto"/>
            </w:pPr>
            <w:r>
              <w:rPr>
                <w:rFonts w:ascii="Microsoft YaHei" w:hAnsi="Microsoft YaHei" w:eastAsia="Microsoft YaHei"/>
                <w:b w:val="0"/>
                <w:color w:val="19212A"/>
                <w:sz w:val="13"/>
              </w:rPr>
              <w:t>26.1%</w:t>
            </w:r>
          </w:p>
        </w:tc>
        <w:tc>
          <w:tcPr>
            <w:tcW w:type="dxa" w:w="1332"/>
            <w:vAlign w:val="center"/>
            <w:shd w:fill="EAF2F8"/>
          </w:tcPr>
          <w:p>
            <w:pPr>
              <w:spacing w:after="0" w:line="240" w:lineRule="auto"/>
            </w:pPr>
            <w:r>
              <w:rPr>
                <w:rFonts w:ascii="Microsoft YaHei" w:hAnsi="Microsoft YaHei" w:eastAsia="Microsoft YaHei"/>
                <w:b w:val="0"/>
                <w:color w:val="19212A"/>
                <w:sz w:val="13"/>
              </w:rPr>
              <w:t>19.5</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81,427-84,083</w:t>
            </w:r>
          </w:p>
        </w:tc>
        <w:tc>
          <w:tcPr>
            <w:tcW w:type="dxa" w:w="1332"/>
            <w:vAlign w:val="center"/>
          </w:tcPr>
          <w:p>
            <w:pPr>
              <w:spacing w:after="0" w:line="240" w:lineRule="auto"/>
            </w:pPr>
            <w:r>
              <w:rPr>
                <w:rFonts w:ascii="Microsoft YaHei" w:hAnsi="Microsoft YaHei" w:eastAsia="Microsoft YaHei"/>
                <w:b w:val="0"/>
                <w:color w:val="19212A"/>
                <w:sz w:val="13"/>
              </w:rPr>
              <w:t>82,755-83,632</w:t>
            </w:r>
          </w:p>
        </w:tc>
        <w:tc>
          <w:tcPr>
            <w:tcW w:type="dxa" w:w="1332"/>
            <w:vAlign w:val="center"/>
          </w:tcPr>
          <w:p>
            <w:pPr>
              <w:spacing w:after="0" w:line="240" w:lineRule="auto"/>
            </w:pPr>
            <w:r>
              <w:rPr>
                <w:rFonts w:ascii="Microsoft YaHei" w:hAnsi="Microsoft YaHei" w:eastAsia="Microsoft YaHei"/>
                <w:b w:val="0"/>
                <w:color w:val="19212A"/>
                <w:sz w:val="13"/>
              </w:rPr>
              <w:t>83,632-84,083</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83,983-84,163 是否冲高失败并形成LH；VAL 82,755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82,755 / POC 83,632 / VAH 84,083</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2,483 / POC 2,527 / VAH 2,545</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107.40 / POC 109.73 / VAH 112.80</w:t>
            </w:r>
          </w:p>
        </w:tc>
        <w:tc>
          <w:tcPr>
            <w:tcW w:type="dxa" w:w="2131"/>
            <w:vAlign w:val="center"/>
          </w:tcPr>
          <w:p>
            <w:pPr>
              <w:spacing w:after="0" w:line="240" w:lineRule="auto"/>
            </w:pPr>
            <w:r>
              <w:rPr>
                <w:rFonts w:ascii="Microsoft YaHei" w:hAnsi="Microsoft YaHei" w:eastAsia="Microsoft YaHei"/>
                <w:b w:val="0"/>
                <w:color w:val="19212A"/>
                <w:sz w:val="14"/>
              </w:rPr>
              <w:t>HTF_TRANSITION + RANGE_MIDDLE</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-0.01%；DOGE -0.65%；AVAX -3.52%</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83,632 是最近五天成交最密集的价格，可理解为短期筹码最拥挤的‘价格磁铁’；VAL 82,755 是正常震荡区下沿，VAH 84,083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82,755后快速收回，卖压减弱并形成HL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83,983-84,163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83,632 上方、处于价值区中上部，不能把反弹强度当成追多信号。今天下沿多头因 POC 过近而取消，空头只等上沿 83,983-84,163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84,083 后跌回；现价 83,525</w:t>
            </w:r>
          </w:p>
        </w:tc>
        <w:tc>
          <w:tcPr>
            <w:tcW w:type="dxa" w:w="710"/>
            <w:vAlign w:val="center"/>
          </w:tcPr>
          <w:p>
            <w:pPr>
              <w:spacing w:after="0" w:line="240" w:lineRule="auto"/>
            </w:pPr>
            <w:r>
              <w:rPr>
                <w:rFonts w:ascii="Microsoft YaHei" w:hAnsi="Microsoft YaHei" w:eastAsia="Microsoft YaHei"/>
                <w:b w:val="0"/>
                <w:color w:val="19212A"/>
                <w:sz w:val="11"/>
              </w:rPr>
              <w:t>空 84,103</w:t>
            </w:r>
          </w:p>
        </w:tc>
        <w:tc>
          <w:tcPr>
            <w:tcW w:type="dxa" w:w="710"/>
            <w:vAlign w:val="center"/>
          </w:tcPr>
          <w:p>
            <w:pPr>
              <w:spacing w:after="0" w:line="240" w:lineRule="auto"/>
            </w:pPr>
            <w:r>
              <w:rPr>
                <w:rFonts w:ascii="Microsoft YaHei" w:hAnsi="Microsoft YaHei" w:eastAsia="Microsoft YaHei"/>
                <w:b w:val="0"/>
                <w:color w:val="19212A"/>
                <w:sz w:val="11"/>
              </w:rPr>
              <w:t>空 84,163</w:t>
            </w:r>
          </w:p>
        </w:tc>
        <w:tc>
          <w:tcPr>
            <w:tcW w:type="dxa" w:w="710"/>
            <w:vAlign w:val="center"/>
          </w:tcPr>
          <w:p>
            <w:pPr>
              <w:spacing w:after="0" w:line="240" w:lineRule="auto"/>
            </w:pPr>
            <w:r>
              <w:rPr>
                <w:rFonts w:ascii="Microsoft YaHei" w:hAnsi="Microsoft YaHei" w:eastAsia="Microsoft YaHei"/>
                <w:b w:val="0"/>
                <w:color w:val="19212A"/>
                <w:sz w:val="11"/>
              </w:rPr>
              <w:t>空 84,583</w:t>
            </w:r>
          </w:p>
        </w:tc>
        <w:tc>
          <w:tcPr>
            <w:tcW w:type="dxa" w:w="710"/>
            <w:vAlign w:val="center"/>
          </w:tcPr>
          <w:p>
            <w:pPr>
              <w:spacing w:after="0" w:line="240" w:lineRule="auto"/>
            </w:pPr>
            <w:r>
              <w:rPr>
                <w:rFonts w:ascii="Microsoft YaHei" w:hAnsi="Microsoft YaHei" w:eastAsia="Microsoft YaHei"/>
                <w:b w:val="0"/>
                <w:color w:val="19212A"/>
                <w:sz w:val="11"/>
              </w:rPr>
              <w:t>空看 POC 83,632</w:t>
            </w:r>
          </w:p>
        </w:tc>
        <w:tc>
          <w:tcPr>
            <w:tcW w:type="dxa" w:w="710"/>
            <w:vAlign w:val="center"/>
          </w:tcPr>
          <w:p>
            <w:pPr>
              <w:spacing w:after="0" w:line="240" w:lineRule="auto"/>
            </w:pPr>
            <w:r>
              <w:rPr>
                <w:rFonts w:ascii="Microsoft YaHei" w:hAnsi="Microsoft YaHei" w:eastAsia="Microsoft YaHei"/>
                <w:b w:val="0"/>
                <w:color w:val="19212A"/>
                <w:sz w:val="11"/>
              </w:rPr>
              <w:t>空看 VAL 82,755</w:t>
            </w:r>
          </w:p>
        </w:tc>
        <w:tc>
          <w:tcPr>
            <w:tcW w:type="dxa" w:w="710"/>
            <w:vAlign w:val="center"/>
          </w:tcPr>
          <w:p>
            <w:pPr>
              <w:spacing w:after="0" w:line="240" w:lineRule="auto"/>
            </w:pPr>
            <w:r>
              <w:rPr>
                <w:rFonts w:ascii="Microsoft YaHei" w:hAnsi="Microsoft YaHei" w:eastAsia="Microsoft YaHei"/>
                <w:b w:val="0"/>
                <w:color w:val="19212A"/>
                <w:sz w:val="11"/>
              </w:rPr>
              <w:t>空 1:1.84</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83,983-84,163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82,755 / POC 83,632 / VAH 84,083，下沿多头因第一阻力过近取消，仅保留上沿空头条件卡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82,755、POC 83,632、VAH 84,083，当前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83,525.00 / +1.14%</w:t>
            </w:r>
          </w:p>
        </w:tc>
        <w:tc>
          <w:tcPr>
            <w:tcW w:type="dxa" w:w="1776"/>
            <w:vAlign w:val="center"/>
          </w:tcPr>
          <w:p>
            <w:pPr>
              <w:spacing w:after="0" w:line="240" w:lineRule="auto"/>
            </w:pPr>
            <w:r>
              <w:rPr>
                <w:rFonts w:ascii="Microsoft YaHei" w:hAnsi="Microsoft YaHei" w:eastAsia="Microsoft YaHei"/>
                <w:b w:val="0"/>
                <w:color w:val="19212A"/>
                <w:sz w:val="14"/>
              </w:rPr>
              <w:t>82,754.98 / 83,631.74 / 84,083.40</w:t>
            </w:r>
          </w:p>
        </w:tc>
        <w:tc>
          <w:tcPr>
            <w:tcW w:type="dxa" w:w="1776"/>
            <w:vAlign w:val="center"/>
          </w:tcPr>
          <w:p>
            <w:pPr>
              <w:spacing w:after="0" w:line="240" w:lineRule="auto"/>
            </w:pPr>
            <w:r>
              <w:rPr>
                <w:rFonts w:ascii="Microsoft YaHei" w:hAnsi="Microsoft YaHei" w:eastAsia="Microsoft YaHei"/>
                <w:b w:val="0"/>
                <w:color w:val="19212A"/>
                <w:sz w:val="14"/>
              </w:rPr>
              <w:t>+0.0054%</w:t>
            </w:r>
          </w:p>
        </w:tc>
        <w:tc>
          <w:tcPr>
            <w:tcW w:type="dxa" w:w="1776"/>
            <w:vAlign w:val="center"/>
          </w:tcPr>
          <w:p>
            <w:pPr>
              <w:spacing w:after="0" w:line="240" w:lineRule="auto"/>
            </w:pPr>
            <w:r>
              <w:rPr>
                <w:rFonts w:ascii="Microsoft YaHei" w:hAnsi="Microsoft YaHei" w:eastAsia="Microsoft YaHei"/>
                <w:b w:val="0"/>
                <w:color w:val="19212A"/>
                <w:sz w:val="14"/>
              </w:rPr>
              <w:t>$2.46bn / +0.00%</w:t>
            </w:r>
          </w:p>
        </w:tc>
        <w:tc>
          <w:tcPr>
            <w:tcW w:type="dxa" w:w="1776"/>
            <w:vAlign w:val="center"/>
          </w:tcPr>
          <w:p>
            <w:pPr>
              <w:spacing w:after="0" w:line="240" w:lineRule="auto"/>
            </w:pPr>
            <w:r>
              <w:rPr>
                <w:rFonts w:ascii="Microsoft YaHei" w:hAnsi="Microsoft YaHei" w:eastAsia="Microsoft YaHei"/>
                <w:b w:val="0"/>
                <w:color w:val="19212A"/>
                <w:sz w:val="14"/>
              </w:rPr>
              <w:t>0.786 / 0.786 / 0.786</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2,514.27 / -0.44%</w:t>
            </w:r>
          </w:p>
        </w:tc>
        <w:tc>
          <w:tcPr>
            <w:tcW w:type="dxa" w:w="1776"/>
            <w:vAlign w:val="center"/>
            <w:shd w:fill="EAF2F8"/>
          </w:tcPr>
          <w:p>
            <w:pPr>
              <w:spacing w:after="0" w:line="240" w:lineRule="auto"/>
            </w:pPr>
            <w:r>
              <w:rPr>
                <w:rFonts w:ascii="Microsoft YaHei" w:hAnsi="Microsoft YaHei" w:eastAsia="Microsoft YaHei"/>
                <w:b w:val="0"/>
                <w:color w:val="19212A"/>
                <w:sz w:val="14"/>
              </w:rPr>
              <w:t>2,482.75 / 2,526.66 / 2,545.08</w:t>
            </w:r>
          </w:p>
        </w:tc>
        <w:tc>
          <w:tcPr>
            <w:tcW w:type="dxa" w:w="1776"/>
            <w:vAlign w:val="center"/>
            <w:shd w:fill="EAF2F8"/>
          </w:tcPr>
          <w:p>
            <w:pPr>
              <w:spacing w:after="0" w:line="240" w:lineRule="auto"/>
            </w:pPr>
            <w:r>
              <w:rPr>
                <w:rFonts w:ascii="Microsoft YaHei" w:hAnsi="Microsoft YaHei" w:eastAsia="Microsoft YaHei"/>
                <w:b w:val="0"/>
                <w:color w:val="19212A"/>
                <w:sz w:val="14"/>
              </w:rPr>
              <w:t>-0.0004%</w:t>
            </w:r>
          </w:p>
        </w:tc>
        <w:tc>
          <w:tcPr>
            <w:tcW w:type="dxa" w:w="1776"/>
            <w:vAlign w:val="center"/>
            <w:shd w:fill="EAF2F8"/>
          </w:tcPr>
          <w:p>
            <w:pPr>
              <w:spacing w:after="0" w:line="240" w:lineRule="auto"/>
            </w:pPr>
            <w:r>
              <w:rPr>
                <w:rFonts w:ascii="Microsoft YaHei" w:hAnsi="Microsoft YaHei" w:eastAsia="Microsoft YaHei"/>
                <w:b w:val="0"/>
                <w:color w:val="19212A"/>
                <w:sz w:val="14"/>
              </w:rPr>
              <w:t>$1.42bn / +0.00%</w:t>
            </w:r>
          </w:p>
        </w:tc>
        <w:tc>
          <w:tcPr>
            <w:tcW w:type="dxa" w:w="1776"/>
            <w:vAlign w:val="center"/>
            <w:shd w:fill="EAF2F8"/>
          </w:tcPr>
          <w:p>
            <w:pPr>
              <w:spacing w:after="0" w:line="240" w:lineRule="auto"/>
            </w:pPr>
            <w:r>
              <w:rPr>
                <w:rFonts w:ascii="Microsoft YaHei" w:hAnsi="Microsoft YaHei" w:eastAsia="Microsoft YaHei"/>
                <w:b w:val="0"/>
                <w:color w:val="19212A"/>
                <w:sz w:val="14"/>
              </w:rPr>
              <w:t>0.287 / 0.287 / 0.287</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107.50 / -1.24%</w:t>
            </w:r>
          </w:p>
        </w:tc>
        <w:tc>
          <w:tcPr>
            <w:tcW w:type="dxa" w:w="1776"/>
            <w:vAlign w:val="center"/>
          </w:tcPr>
          <w:p>
            <w:pPr>
              <w:spacing w:after="0" w:line="240" w:lineRule="auto"/>
            </w:pPr>
            <w:r>
              <w:rPr>
                <w:rFonts w:ascii="Microsoft YaHei" w:hAnsi="Microsoft YaHei" w:eastAsia="Microsoft YaHei"/>
                <w:b w:val="0"/>
                <w:color w:val="19212A"/>
                <w:sz w:val="14"/>
              </w:rPr>
              <w:t>107.40 / 109.73 / 112.80</w:t>
            </w:r>
          </w:p>
        </w:tc>
        <w:tc>
          <w:tcPr>
            <w:tcW w:type="dxa" w:w="1776"/>
            <w:vAlign w:val="center"/>
          </w:tcPr>
          <w:p>
            <w:pPr>
              <w:spacing w:after="0" w:line="240" w:lineRule="auto"/>
            </w:pPr>
            <w:r>
              <w:rPr>
                <w:rFonts w:ascii="Microsoft YaHei" w:hAnsi="Microsoft YaHei" w:eastAsia="Microsoft YaHei"/>
                <w:b w:val="0"/>
                <w:color w:val="19212A"/>
                <w:sz w:val="14"/>
              </w:rPr>
              <w:t>-0.0004%</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0.045 / 0.045 / 0.045</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0.786，今天只有上沿冲高失败形成更低高点，才有空头交易依据；下沿多头要等价值区重算后第一阻力拉开。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7,794.55</w:t>
            </w:r>
          </w:p>
        </w:tc>
        <w:tc>
          <w:tcPr>
            <w:tcW w:type="dxa" w:w="2664"/>
            <w:vAlign w:val="center"/>
            <w:shd w:fill="EAF2F8"/>
          </w:tcPr>
          <w:p>
            <w:pPr>
              <w:spacing w:after="0" w:line="240" w:lineRule="auto"/>
            </w:pPr>
            <w:r>
              <w:rPr>
                <w:rFonts w:ascii="Microsoft YaHei" w:hAnsi="Microsoft YaHei" w:eastAsia="Microsoft YaHei"/>
                <w:b w:val="0"/>
                <w:color w:val="19212A"/>
                <w:sz w:val="14"/>
              </w:rPr>
              <w:t>-0.16%</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27,177.82</w:t>
            </w:r>
          </w:p>
        </w:tc>
        <w:tc>
          <w:tcPr>
            <w:tcW w:type="dxa" w:w="2664"/>
            <w:vAlign w:val="center"/>
          </w:tcPr>
          <w:p>
            <w:pPr>
              <w:spacing w:after="0" w:line="240" w:lineRule="auto"/>
            </w:pPr>
            <w:r>
              <w:rPr>
                <w:rFonts w:ascii="Microsoft YaHei" w:hAnsi="Microsoft YaHei" w:eastAsia="Microsoft YaHei"/>
                <w:b w:val="0"/>
                <w:color w:val="19212A"/>
                <w:sz w:val="14"/>
              </w:rPr>
              <w:t>-0.25%</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102.24</w:t>
            </w:r>
          </w:p>
        </w:tc>
        <w:tc>
          <w:tcPr>
            <w:tcW w:type="dxa" w:w="2664"/>
            <w:vAlign w:val="center"/>
            <w:shd w:fill="EAF2F8"/>
          </w:tcPr>
          <w:p>
            <w:pPr>
              <w:spacing w:after="0" w:line="240" w:lineRule="auto"/>
            </w:pPr>
            <w:r>
              <w:rPr>
                <w:rFonts w:ascii="Microsoft YaHei" w:hAnsi="Microsoft YaHei" w:eastAsia="Microsoft YaHei"/>
                <w:b w:val="0"/>
                <w:color w:val="19212A"/>
                <w:sz w:val="14"/>
              </w:rPr>
              <w:t>-0.33%</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5.22</w:t>
            </w:r>
          </w:p>
        </w:tc>
        <w:tc>
          <w:tcPr>
            <w:tcW w:type="dxa" w:w="2664"/>
            <w:vAlign w:val="center"/>
          </w:tcPr>
          <w:p>
            <w:pPr>
              <w:spacing w:after="0" w:line="240" w:lineRule="auto"/>
            </w:pPr>
            <w:r>
              <w:rPr>
                <w:rFonts w:ascii="Microsoft YaHei" w:hAnsi="Microsoft YaHei" w:eastAsia="Microsoft YaHei"/>
                <w:b w:val="0"/>
                <w:color w:val="19212A"/>
                <w:sz w:val="14"/>
              </w:rPr>
              <w:t>-0.48%</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4,190.00</w:t>
            </w:r>
          </w:p>
        </w:tc>
        <w:tc>
          <w:tcPr>
            <w:tcW w:type="dxa" w:w="2664"/>
            <w:vAlign w:val="center"/>
            <w:shd w:fill="EAF2F8"/>
          </w:tcPr>
          <w:p>
            <w:pPr>
              <w:spacing w:after="0" w:line="240" w:lineRule="auto"/>
            </w:pPr>
            <w:r>
              <w:rPr>
                <w:rFonts w:ascii="Microsoft YaHei" w:hAnsi="Microsoft YaHei" w:eastAsia="Microsoft YaHei"/>
                <w:b w:val="0"/>
                <w:color w:val="19212A"/>
                <w:sz w:val="14"/>
              </w:rPr>
              <w:t>-0.01%</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93.89</w:t>
            </w:r>
          </w:p>
        </w:tc>
        <w:tc>
          <w:tcPr>
            <w:tcW w:type="dxa" w:w="2664"/>
            <w:vAlign w:val="center"/>
          </w:tcPr>
          <w:p>
            <w:pPr>
              <w:spacing w:after="0" w:line="240" w:lineRule="auto"/>
            </w:pPr>
            <w:r>
              <w:rPr>
                <w:rFonts w:ascii="Microsoft YaHei" w:hAnsi="Microsoft YaHei" w:eastAsia="Microsoft YaHei"/>
                <w:b w:val="0"/>
                <w:color w:val="19212A"/>
                <w:sz w:val="14"/>
              </w:rPr>
              <w:t>+0.16%</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$312.9bn，提供中期流动性底座，但不能证明今天正在主动买币。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107s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30.7%</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243s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69.9%</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182s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53.5%</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$5.47m</w:t>
            </w:r>
          </w:p>
        </w:tc>
        <w:tc>
          <w:tcPr>
            <w:tcW w:type="dxa" w:w="2131"/>
            <w:vAlign w:val="center"/>
          </w:tcPr>
          <w:p>
            <w:pPr>
              <w:spacing w:after="0" w:line="240" w:lineRule="auto"/>
            </w:pPr>
            <w:r>
              <w:rPr>
                <w:rFonts w:ascii="Microsoft YaHei" w:hAnsi="Microsoft YaHei" w:eastAsia="Microsoft YaHei"/>
                <w:b w:val="0"/>
                <w:color w:val="19212A"/>
                <w:sz w:val="14"/>
              </w:rPr>
              <w:t>$5.46m</w:t>
            </w:r>
          </w:p>
        </w:tc>
        <w:tc>
          <w:tcPr>
            <w:tcW w:type="dxa" w:w="2131"/>
            <w:vAlign w:val="center"/>
          </w:tcPr>
          <w:p>
            <w:pPr>
              <w:spacing w:after="0" w:line="240" w:lineRule="auto"/>
            </w:pPr>
            <w:r>
              <w:rPr>
                <w:rFonts w:ascii="Microsoft YaHei" w:hAnsi="Microsoft YaHei" w:eastAsia="Microsoft YaHei"/>
                <w:b w:val="0"/>
                <w:color w:val="19212A"/>
                <w:sz w:val="14"/>
              </w:rPr>
              <w:t>+0.1%</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$3.30m</w:t>
            </w:r>
          </w:p>
        </w:tc>
        <w:tc>
          <w:tcPr>
            <w:tcW w:type="dxa" w:w="2131"/>
            <w:vAlign w:val="center"/>
            <w:shd w:fill="EAF2F8"/>
          </w:tcPr>
          <w:p>
            <w:pPr>
              <w:spacing w:after="0" w:line="240" w:lineRule="auto"/>
            </w:pPr>
            <w:r>
              <w:rPr>
                <w:rFonts w:ascii="Microsoft YaHei" w:hAnsi="Microsoft YaHei" w:eastAsia="Microsoft YaHei"/>
                <w:b w:val="0"/>
                <w:color w:val="19212A"/>
                <w:sz w:val="14"/>
              </w:rPr>
              <w:t>$4.54m</w:t>
            </w:r>
          </w:p>
        </w:tc>
        <w:tc>
          <w:tcPr>
            <w:tcW w:type="dxa" w:w="2131"/>
            <w:vAlign w:val="center"/>
            <w:shd w:fill="EAF2F8"/>
          </w:tcPr>
          <w:p>
            <w:pPr>
              <w:spacing w:after="0" w:line="240" w:lineRule="auto"/>
            </w:pPr>
            <w:r>
              <w:rPr>
                <w:rFonts w:ascii="Microsoft YaHei" w:hAnsi="Microsoft YaHei" w:eastAsia="Microsoft YaHei"/>
                <w:b w:val="0"/>
                <w:color w:val="19212A"/>
                <w:sz w:val="14"/>
              </w:rPr>
              <w:t>-15.9%</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$1.00m</w:t>
            </w:r>
          </w:p>
        </w:tc>
        <w:tc>
          <w:tcPr>
            <w:tcW w:type="dxa" w:w="2131"/>
            <w:vAlign w:val="center"/>
          </w:tcPr>
          <w:p>
            <w:pPr>
              <w:spacing w:after="0" w:line="240" w:lineRule="auto"/>
            </w:pPr>
            <w:r>
              <w:rPr>
                <w:rFonts w:ascii="Microsoft YaHei" w:hAnsi="Microsoft YaHei" w:eastAsia="Microsoft YaHei"/>
                <w:b w:val="0"/>
                <w:color w:val="19212A"/>
                <w:sz w:val="14"/>
              </w:rPr>
              <w:t>$0.95m</w:t>
            </w:r>
          </w:p>
        </w:tc>
        <w:tc>
          <w:tcPr>
            <w:tcW w:type="dxa" w:w="2131"/>
            <w:vAlign w:val="center"/>
          </w:tcPr>
          <w:p>
            <w:pPr>
              <w:spacing w:after="0" w:line="240" w:lineRule="auto"/>
            </w:pPr>
            <w:r>
              <w:rPr>
                <w:rFonts w:ascii="Microsoft YaHei" w:hAnsi="Microsoft YaHei" w:eastAsia="Microsoft YaHei"/>
                <w:b w:val="0"/>
                <w:color w:val="19212A"/>
                <w:sz w:val="14"/>
              </w:rPr>
              <w:t>+2.6%</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+1.14%</w:t>
            </w:r>
          </w:p>
        </w:tc>
        <w:tc>
          <w:tcPr>
            <w:tcW w:type="dxa" w:w="1522"/>
            <w:vAlign w:val="center"/>
          </w:tcPr>
          <w:p>
            <w:pPr>
              <w:spacing w:after="0" w:line="240" w:lineRule="auto"/>
            </w:pPr>
            <w:r>
              <w:rPr>
                <w:rFonts w:ascii="Microsoft YaHei" w:hAnsi="Microsoft YaHei" w:eastAsia="Microsoft YaHei"/>
                <w:b w:val="0"/>
                <w:color w:val="19212A"/>
                <w:sz w:val="13"/>
              </w:rPr>
              <w:t>+0.0054%</w:t>
            </w:r>
          </w:p>
        </w:tc>
        <w:tc>
          <w:tcPr>
            <w:tcW w:type="dxa" w:w="1522"/>
            <w:vAlign w:val="center"/>
          </w:tcPr>
          <w:p>
            <w:pPr>
              <w:spacing w:after="0" w:line="240" w:lineRule="auto"/>
            </w:pPr>
            <w:r>
              <w:rPr>
                <w:rFonts w:ascii="Microsoft YaHei" w:hAnsi="Microsoft YaHei" w:eastAsia="Microsoft YaHei"/>
                <w:b w:val="0"/>
                <w:color w:val="19212A"/>
                <w:sz w:val="13"/>
              </w:rPr>
              <w:t>$2.46bn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0.786/0.786/0.786</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-0.44%</w:t>
            </w:r>
          </w:p>
        </w:tc>
        <w:tc>
          <w:tcPr>
            <w:tcW w:type="dxa" w:w="1522"/>
            <w:vAlign w:val="center"/>
            <w:shd w:fill="EAF2F8"/>
          </w:tcPr>
          <w:p>
            <w:pPr>
              <w:spacing w:after="0" w:line="240" w:lineRule="auto"/>
            </w:pPr>
            <w:r>
              <w:rPr>
                <w:rFonts w:ascii="Microsoft YaHei" w:hAnsi="Microsoft YaHei" w:eastAsia="Microsoft YaHei"/>
                <w:b w:val="0"/>
                <w:color w:val="19212A"/>
                <w:sz w:val="13"/>
              </w:rPr>
              <w:t>-0.0004%</w:t>
            </w:r>
          </w:p>
        </w:tc>
        <w:tc>
          <w:tcPr>
            <w:tcW w:type="dxa" w:w="1522"/>
            <w:vAlign w:val="center"/>
            <w:shd w:fill="EAF2F8"/>
          </w:tcPr>
          <w:p>
            <w:pPr>
              <w:spacing w:after="0" w:line="240" w:lineRule="auto"/>
            </w:pPr>
            <w:r>
              <w:rPr>
                <w:rFonts w:ascii="Microsoft YaHei" w:hAnsi="Microsoft YaHei" w:eastAsia="Microsoft YaHei"/>
                <w:b w:val="0"/>
                <w:color w:val="19212A"/>
                <w:sz w:val="13"/>
              </w:rPr>
              <w:t>$1.42bn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0.287/0.287/0.287</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-1.24%</w:t>
            </w:r>
          </w:p>
        </w:tc>
        <w:tc>
          <w:tcPr>
            <w:tcW w:type="dxa" w:w="1522"/>
            <w:vAlign w:val="center"/>
          </w:tcPr>
          <w:p>
            <w:pPr>
              <w:spacing w:after="0" w:line="240" w:lineRule="auto"/>
            </w:pPr>
            <w:r>
              <w:rPr>
                <w:rFonts w:ascii="Microsoft YaHei" w:hAnsi="Microsoft YaHei" w:eastAsia="Microsoft YaHei"/>
                <w:b w:val="0"/>
                <w:color w:val="19212A"/>
                <w:sz w:val="13"/>
              </w:rPr>
              <w:t>-0.0004%</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0.045/0.045/0.045</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1.14%、OI 增加 0.00%，最近三小时 Taker 为 0.786、0.786、0.786：价格与OI同步增加更像反弹中的杠杆回补，但末端 Taker 尚未稳定站上1.10，不能直接当成趋势反转。ETH 24小时下跌 0.44%、OI 增加 0.00%；SOL 24小时下跌 1.24%、OI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0.59</w:t>
            </w:r>
          </w:p>
        </w:tc>
        <w:tc>
          <w:tcPr>
            <w:tcW w:type="dxa" w:w="1776"/>
            <w:vAlign w:val="center"/>
          </w:tcPr>
          <w:p>
            <w:pPr>
              <w:spacing w:after="0" w:line="240" w:lineRule="auto"/>
            </w:pPr>
            <w:r>
              <w:rPr>
                <w:rFonts w:ascii="Microsoft YaHei" w:hAnsi="Microsoft YaHei" w:eastAsia="Microsoft YaHei"/>
                <w:b w:val="0"/>
                <w:color w:val="19212A"/>
                <w:sz w:val="14"/>
              </w:rPr>
              <w:t>14OCT26</w:t>
            </w:r>
          </w:p>
        </w:tc>
        <w:tc>
          <w:tcPr>
            <w:tcW w:type="dxa" w:w="1776"/>
            <w:vAlign w:val="center"/>
          </w:tcPr>
          <w:p>
            <w:pPr>
              <w:spacing w:after="0" w:line="240" w:lineRule="auto"/>
            </w:pPr>
            <w:r>
              <w:rPr>
                <w:rFonts w:ascii="Microsoft YaHei" w:hAnsi="Microsoft YaHei" w:eastAsia="Microsoft YaHei"/>
                <w:b w:val="0"/>
                <w:color w:val="19212A"/>
                <w:sz w:val="14"/>
              </w:rPr>
              <w:t>0.80</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14OCT26</w:t>
            </w:r>
          </w:p>
        </w:tc>
        <w:tc>
          <w:tcPr>
            <w:tcW w:type="dxa" w:w="1776"/>
            <w:vAlign w:val="center"/>
            <w:shd w:fill="EAF2F8"/>
          </w:tcPr>
          <w:p>
            <w:pPr>
              <w:spacing w:after="0" w:line="240" w:lineRule="auto"/>
            </w:pPr>
            <w:r>
              <w:rPr>
                <w:rFonts w:ascii="Microsoft YaHei" w:hAnsi="Microsoft YaHei" w:eastAsia="Microsoft YaHei"/>
                <w:b w:val="0"/>
                <w:color w:val="19212A"/>
                <w:sz w:val="14"/>
              </w:rPr>
              <w:t>1.54</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0.59、近月 0.80；ETH 全期限 0.52、近月 1.54。本轮只取得期权持仓结构，没有稳定的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82,755</w:t>
            </w:r>
          </w:p>
        </w:tc>
        <w:tc>
          <w:tcPr>
            <w:tcW w:type="dxa" w:w="1522"/>
            <w:vAlign w:val="center"/>
          </w:tcPr>
          <w:p>
            <w:pPr>
              <w:spacing w:after="0" w:line="240" w:lineRule="auto"/>
            </w:pPr>
            <w:r>
              <w:rPr>
                <w:rFonts w:ascii="Microsoft YaHei" w:hAnsi="Microsoft YaHei" w:eastAsia="Microsoft YaHei"/>
                <w:b w:val="0"/>
                <w:color w:val="19212A"/>
                <w:sz w:val="12"/>
              </w:rPr>
              <w:t>83,632</w:t>
            </w:r>
          </w:p>
        </w:tc>
        <w:tc>
          <w:tcPr>
            <w:tcW w:type="dxa" w:w="1522"/>
            <w:vAlign w:val="center"/>
          </w:tcPr>
          <w:p>
            <w:pPr>
              <w:spacing w:after="0" w:line="240" w:lineRule="auto"/>
            </w:pPr>
            <w:r>
              <w:rPr>
                <w:rFonts w:ascii="Microsoft YaHei" w:hAnsi="Microsoft YaHei" w:eastAsia="Microsoft YaHei"/>
                <w:b w:val="0"/>
                <w:color w:val="19212A"/>
                <w:sz w:val="12"/>
              </w:rPr>
              <w:t>84,083</w:t>
            </w:r>
          </w:p>
        </w:tc>
        <w:tc>
          <w:tcPr>
            <w:tcW w:type="dxa" w:w="1522"/>
            <w:vAlign w:val="center"/>
          </w:tcPr>
          <w:p>
            <w:pPr>
              <w:spacing w:after="0" w:line="240" w:lineRule="auto"/>
            </w:pPr>
            <w:r>
              <w:rPr>
                <w:rFonts w:ascii="Microsoft YaHei" w:hAnsi="Microsoft YaHei" w:eastAsia="Microsoft YaHei"/>
                <w:b w:val="0"/>
                <w:color w:val="19212A"/>
                <w:sz w:val="12"/>
              </w:rPr>
              <w:t>82,755 / 82,255 / 82,755</w:t>
            </w:r>
          </w:p>
        </w:tc>
        <w:tc>
          <w:tcPr>
            <w:tcW w:type="dxa" w:w="1522"/>
            <w:vAlign w:val="center"/>
          </w:tcPr>
          <w:p>
            <w:pPr>
              <w:spacing w:after="0" w:line="240" w:lineRule="auto"/>
            </w:pPr>
            <w:r>
              <w:rPr>
                <w:rFonts w:ascii="Microsoft YaHei" w:hAnsi="Microsoft YaHei" w:eastAsia="Microsoft YaHei"/>
                <w:b w:val="0"/>
                <w:color w:val="19212A"/>
                <w:sz w:val="12"/>
              </w:rPr>
              <w:t>84,083 / 84,583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2,483</w:t>
            </w:r>
          </w:p>
        </w:tc>
        <w:tc>
          <w:tcPr>
            <w:tcW w:type="dxa" w:w="1522"/>
            <w:vAlign w:val="center"/>
            <w:shd w:fill="EAF2F8"/>
          </w:tcPr>
          <w:p>
            <w:pPr>
              <w:spacing w:after="0" w:line="240" w:lineRule="auto"/>
            </w:pPr>
            <w:r>
              <w:rPr>
                <w:rFonts w:ascii="Microsoft YaHei" w:hAnsi="Microsoft YaHei" w:eastAsia="Microsoft YaHei"/>
                <w:b w:val="0"/>
                <w:color w:val="19212A"/>
                <w:sz w:val="12"/>
              </w:rPr>
              <w:t>2,527</w:t>
            </w:r>
          </w:p>
        </w:tc>
        <w:tc>
          <w:tcPr>
            <w:tcW w:type="dxa" w:w="1522"/>
            <w:vAlign w:val="center"/>
            <w:shd w:fill="EAF2F8"/>
          </w:tcPr>
          <w:p>
            <w:pPr>
              <w:spacing w:after="0" w:line="240" w:lineRule="auto"/>
            </w:pPr>
            <w:r>
              <w:rPr>
                <w:rFonts w:ascii="Microsoft YaHei" w:hAnsi="Microsoft YaHei" w:eastAsia="Microsoft YaHei"/>
                <w:b w:val="0"/>
                <w:color w:val="19212A"/>
                <w:sz w:val="12"/>
              </w:rPr>
              <w:t>2,545</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107.40</w:t>
            </w:r>
          </w:p>
        </w:tc>
        <w:tc>
          <w:tcPr>
            <w:tcW w:type="dxa" w:w="1522"/>
            <w:vAlign w:val="center"/>
          </w:tcPr>
          <w:p>
            <w:pPr>
              <w:spacing w:after="0" w:line="240" w:lineRule="auto"/>
            </w:pPr>
            <w:r>
              <w:rPr>
                <w:rFonts w:ascii="Microsoft YaHei" w:hAnsi="Microsoft YaHei" w:eastAsia="Microsoft YaHei"/>
                <w:b w:val="0"/>
                <w:color w:val="19212A"/>
                <w:sz w:val="12"/>
              </w:rPr>
              <w:t>109.73</w:t>
            </w:r>
          </w:p>
        </w:tc>
        <w:tc>
          <w:tcPr>
            <w:tcW w:type="dxa" w:w="1522"/>
            <w:vAlign w:val="center"/>
          </w:tcPr>
          <w:p>
            <w:pPr>
              <w:spacing w:after="0" w:line="240" w:lineRule="auto"/>
            </w:pPr>
            <w:r>
              <w:rPr>
                <w:rFonts w:ascii="Microsoft YaHei" w:hAnsi="Microsoft YaHei" w:eastAsia="Microsoft YaHei"/>
                <w:b w:val="0"/>
                <w:color w:val="19212A"/>
                <w:sz w:val="12"/>
              </w:rPr>
              <w:t>112.80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10.1273</w:t>
            </w:r>
          </w:p>
        </w:tc>
        <w:tc>
          <w:tcPr>
            <w:tcW w:type="dxa" w:w="1522"/>
            <w:vAlign w:val="center"/>
            <w:shd w:fill="EAF2F8"/>
          </w:tcPr>
          <w:p>
            <w:pPr>
              <w:spacing w:after="0" w:line="240" w:lineRule="auto"/>
            </w:pPr>
            <w:r>
              <w:rPr>
                <w:rFonts w:ascii="Microsoft YaHei" w:hAnsi="Microsoft YaHei" w:eastAsia="Microsoft YaHei"/>
                <w:b w:val="0"/>
                <w:color w:val="19212A"/>
                <w:sz w:val="12"/>
              </w:rPr>
              <w:t>10.3147</w:t>
            </w:r>
          </w:p>
        </w:tc>
        <w:tc>
          <w:tcPr>
            <w:tcW w:type="dxa" w:w="1522"/>
            <w:vAlign w:val="center"/>
            <w:shd w:fill="EAF2F8"/>
          </w:tcPr>
          <w:p>
            <w:pPr>
              <w:spacing w:after="0" w:line="240" w:lineRule="auto"/>
            </w:pPr>
            <w:r>
              <w:rPr>
                <w:rFonts w:ascii="Microsoft YaHei" w:hAnsi="Microsoft YaHei" w:eastAsia="Microsoft YaHei"/>
                <w:b w:val="0"/>
                <w:color w:val="19212A"/>
                <w:sz w:val="12"/>
              </w:rPr>
              <w:t>10.8767</w:t>
            </w:r>
          </w:p>
        </w:tc>
        <w:tc>
          <w:tcPr>
            <w:tcW w:type="dxa" w:w="1522"/>
            <w:vAlign w:val="center"/>
            <w:shd w:fill="EAF2F8"/>
          </w:tcPr>
          <w:p>
            <w:pPr>
              <w:spacing w:after="0" w:line="240" w:lineRule="auto"/>
            </w:pPr>
            <w:r>
              <w:rPr>
                <w:rFonts w:ascii="Microsoft YaHei" w:hAnsi="Microsoft YaHei" w:eastAsia="Microsoft YaHei"/>
                <w:b w:val="0"/>
                <w:color w:val="19212A"/>
                <w:sz w:val="12"/>
              </w:rPr>
              <w:t>9.8010 / 10.1273</w:t>
            </w:r>
          </w:p>
        </w:tc>
        <w:tc>
          <w:tcPr>
            <w:tcW w:type="dxa" w:w="1522"/>
            <w:vAlign w:val="center"/>
            <w:shd w:fill="EAF2F8"/>
          </w:tcPr>
          <w:p>
            <w:pPr>
              <w:spacing w:after="0" w:line="240" w:lineRule="auto"/>
            </w:pPr>
            <w:r>
              <w:rPr>
                <w:rFonts w:ascii="Microsoft YaHei" w:hAnsi="Microsoft YaHei" w:eastAsia="Microsoft YaHei"/>
                <w:b w:val="0"/>
                <w:color w:val="19212A"/>
                <w:sz w:val="12"/>
              </w:rPr>
              <w:t>10.8767 / 10.7330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1.3671</w:t>
            </w:r>
          </w:p>
        </w:tc>
        <w:tc>
          <w:tcPr>
            <w:tcW w:type="dxa" w:w="1522"/>
            <w:vAlign w:val="center"/>
          </w:tcPr>
          <w:p>
            <w:pPr>
              <w:spacing w:after="0" w:line="240" w:lineRule="auto"/>
            </w:pPr>
            <w:r>
              <w:rPr>
                <w:rFonts w:ascii="Microsoft YaHei" w:hAnsi="Microsoft YaHei" w:eastAsia="Microsoft YaHei"/>
                <w:b w:val="0"/>
                <w:color w:val="19212A"/>
                <w:sz w:val="12"/>
              </w:rPr>
              <w:t>1.4064</w:t>
            </w:r>
          </w:p>
        </w:tc>
        <w:tc>
          <w:tcPr>
            <w:tcW w:type="dxa" w:w="1522"/>
            <w:vAlign w:val="center"/>
          </w:tcPr>
          <w:p>
            <w:pPr>
              <w:spacing w:after="0" w:line="240" w:lineRule="auto"/>
            </w:pPr>
            <w:r>
              <w:rPr>
                <w:rFonts w:ascii="Microsoft YaHei" w:hAnsi="Microsoft YaHei" w:eastAsia="Microsoft YaHei"/>
                <w:b w:val="0"/>
                <w:color w:val="19212A"/>
                <w:sz w:val="12"/>
              </w:rPr>
              <w:t>1.4208</w:t>
            </w:r>
          </w:p>
        </w:tc>
        <w:tc>
          <w:tcPr>
            <w:tcW w:type="dxa" w:w="1522"/>
            <w:vAlign w:val="center"/>
          </w:tcPr>
          <w:p>
            <w:pPr>
              <w:spacing w:after="0" w:line="240" w:lineRule="auto"/>
            </w:pPr>
            <w:r>
              <w:rPr>
                <w:rFonts w:ascii="Microsoft YaHei" w:hAnsi="Microsoft YaHei" w:eastAsia="Microsoft YaHei"/>
                <w:b w:val="0"/>
                <w:color w:val="19212A"/>
                <w:sz w:val="12"/>
              </w:rPr>
              <w:t>1.3102 / 1.3671</w:t>
            </w:r>
          </w:p>
        </w:tc>
        <w:tc>
          <w:tcPr>
            <w:tcW w:type="dxa" w:w="1522"/>
            <w:vAlign w:val="center"/>
          </w:tcPr>
          <w:p>
            <w:pPr>
              <w:spacing w:after="0" w:line="240" w:lineRule="auto"/>
            </w:pPr>
            <w:r>
              <w:rPr>
                <w:rFonts w:ascii="Microsoft YaHei" w:hAnsi="Microsoft YaHei" w:eastAsia="Microsoft YaHei"/>
                <w:b w:val="0"/>
                <w:color w:val="19212A"/>
                <w:sz w:val="12"/>
              </w:rPr>
              <w:t>1.4208 / 1.3824</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82,755 与 VAH 84,083 之间、靠近 POC 83,632，说明价格在正常成交区中部，不自动等于多头或空头；下沿扫低收回才有多头条件，上沿 83,983-84,163 失败才有空头条件。AVAX 的 POC 约 10.3147、XRP 的 POC 约 1.4064，只代表这五天成交最密集处。真实全网清算热力图本轮未取得，图中上下方数字只是止损/流动性代理，不代表真实清算金额。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+1.14%</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-0.44%</w:t>
            </w:r>
          </w:p>
        </w:tc>
        <w:tc>
          <w:tcPr>
            <w:tcW w:type="dxa" w:w="2131"/>
            <w:vAlign w:val="center"/>
            <w:shd w:fill="EAF2F8"/>
          </w:tcPr>
          <w:p>
            <w:pPr>
              <w:spacing w:after="0" w:line="240" w:lineRule="auto"/>
            </w:pPr>
            <w:r>
              <w:rPr>
                <w:rFonts w:ascii="Microsoft YaHei" w:hAnsi="Microsoft YaHei" w:eastAsia="Microsoft YaHei"/>
                <w:b w:val="0"/>
                <w:color w:val="19212A"/>
                <w:sz w:val="14"/>
              </w:rPr>
              <w:t>ETH/BTC -1.58%</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-1.24% / -3.52% / -0.01%</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-0.48% / -0.01% / -0.65%</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-4.66pp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-3.52%；OI +0.00%；Funding -0.0040%；Taker 0.872</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-1.15pp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-0.01%；OI +0.00%；Funding -0.0022%；Taker 6.941</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-4.66pp</w:t>
            </w:r>
          </w:p>
        </w:tc>
        <w:tc>
          <w:tcPr>
            <w:tcW w:type="dxa" w:w="2664"/>
            <w:vAlign w:val="center"/>
          </w:tcPr>
          <w:p>
            <w:pPr>
              <w:spacing w:after="0" w:line="240" w:lineRule="auto"/>
            </w:pPr>
            <w:r>
              <w:rPr>
                <w:rFonts w:ascii="Microsoft YaHei" w:hAnsi="Microsoft YaHei" w:eastAsia="Microsoft YaHei"/>
                <w:b w:val="0"/>
                <w:color w:val="19212A"/>
                <w:sz w:val="14"/>
              </w:rPr>
              <w:t>-1.15pp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0.872</w:t>
            </w:r>
          </w:p>
        </w:tc>
        <w:tc>
          <w:tcPr>
            <w:tcW w:type="dxa" w:w="2664"/>
            <w:vAlign w:val="center"/>
          </w:tcPr>
          <w:p>
            <w:pPr>
              <w:spacing w:after="0" w:line="240" w:lineRule="auto"/>
            </w:pPr>
            <w:r>
              <w:rPr>
                <w:rFonts w:ascii="Microsoft YaHei" w:hAnsi="Microsoft YaHei" w:eastAsia="Microsoft YaHei"/>
                <w:b w:val="0"/>
                <w:color w:val="19212A"/>
                <w:sz w:val="14"/>
              </w:rPr>
              <w:t>OI +0.00%，Taker 6.941</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83,983-84,163是否触达；15m/30m能否冲高失败、跌回VAH 84,083下方并形成LH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83,983-84,163是否触达；反弹后能否重新跌回VAL下方并形成LH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OI增加后是否继续；Taker能否从0.786回落并再次转弱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83,983-84,163 是否出现冲高失败。今天 VAL 82,755 附近即使收回，也因 POC 83,632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2026-10-13T23:09:28.147805+08:00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2026-10-13T23:09:28.147805+08:00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2026-10-13 23:09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2026-10-13T23:09:28.147805+08:00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2026-10-13T23:09:28.147805+08:00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2026-10-13T23:09:28.147805+08:00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2026-10-13T23:09:28.147805+08:00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2026-10-13T23:09:28.147805+08:00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2026-10-13T23:09:28.147805+08:00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2026-10-13</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- 2026-10-13</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