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- 2026-10-28 08:21 BJT</w:t>
      </w:r>
    </w:p>
    <w:p>
      <w:pPr>
        <w:spacing w:after="160"/>
        <w:jc w:val="center"/>
      </w:pPr>
      <w:r>
        <w:rPr>
          <w:rFonts w:ascii="Microsoft YaHei" w:hAnsi="Microsoft YaHei" w:eastAsia="Microsoft YaHei"/>
          <w:b w:val="0"/>
          <w:color w:val="5A5A5A"/>
          <w:sz w:val="16"/>
        </w:rPr>
        <w:t>2026-10-28 | 市场快照 08:21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2026-10-28T08:21:53.973122+08:00 的 BTC/ETH/SOL 行情与 OKX 永续合约备选源（Binance/Bybit 本轮不可用）、Deribit 期权、Binance/OKX 现货成交带与盘口快照；ETF 数据以本次输入中最新可核验公开值为准，ETH/SOL 当日值可能不完整，宏观、催化剂与大佬观点核验截止 2026-10-28 08:21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80,735处于 POC 80,119 与 VAH 80,934 之间、位于价值区上半部，现价不直接追单；下沿多头本轮因 TP1 净R:R不足而淘汰，不做多；上沿只有进入 80,834-81,014 后冲高失败才做空。上沿一条条件卡有效至 2026-10-28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BREAKOUT / 处于 POC 80,119 与 VAH 80,934 之间、位于价值区上半部</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下沿多头本轮无合格预案；上沿等S5 上沿受阻空 80,834-81,014</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79,920-80,934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2,304 收回与 EMA20 2,340，无独立交易卡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2,340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99.90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EMA20 101.30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BREAKOUT，ETH/SOL处于过渡，因此当前更准确的描述是‘中线震荡、短线偏弱’，还不是确认的大级别牛市或熊市。今天只允许上沿回踩受阻空，现价附近不交易。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79,820-79,970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79,820-79,970 / 79,970</w:t>
            </w:r>
          </w:p>
        </w:tc>
        <w:tc>
          <w:tcPr>
            <w:tcW w:type="dxa" w:w="1332"/>
            <w:vAlign w:val="center"/>
          </w:tcPr>
          <w:p>
            <w:pPr>
              <w:spacing w:after="0" w:line="240" w:lineRule="auto"/>
            </w:pPr>
            <w:r>
              <w:rPr>
                <w:rFonts w:ascii="Microsoft YaHei" w:hAnsi="Microsoft YaHei" w:eastAsia="Microsoft YaHei"/>
                <w:b w:val="0"/>
                <w:color w:val="19212A"/>
                <w:sz w:val="12"/>
              </w:rPr>
              <w:t>79,420</w:t>
            </w:r>
          </w:p>
        </w:tc>
        <w:tc>
          <w:tcPr>
            <w:tcW w:type="dxa" w:w="1332"/>
            <w:vAlign w:val="center"/>
          </w:tcPr>
          <w:p>
            <w:pPr>
              <w:spacing w:after="0" w:line="240" w:lineRule="auto"/>
            </w:pPr>
            <w:r>
              <w:rPr>
                <w:rFonts w:ascii="Microsoft YaHei" w:hAnsi="Microsoft YaHei" w:eastAsia="Microsoft YaHei"/>
                <w:b w:val="0"/>
                <w:color w:val="19212A"/>
                <w:sz w:val="12"/>
              </w:rPr>
              <w:t>80,119 / 80,934</w:t>
            </w:r>
          </w:p>
        </w:tc>
        <w:tc>
          <w:tcPr>
            <w:tcW w:type="dxa" w:w="1332"/>
            <w:vAlign w:val="center"/>
          </w:tcPr>
          <w:p>
            <w:pPr>
              <w:spacing w:after="0" w:line="240" w:lineRule="auto"/>
            </w:pPr>
            <w:r>
              <w:rPr>
                <w:rFonts w:ascii="Microsoft YaHei" w:hAnsi="Microsoft YaHei" w:eastAsia="Microsoft YaHei"/>
                <w:b w:val="0"/>
                <w:color w:val="19212A"/>
                <w:sz w:val="12"/>
              </w:rPr>
              <w:t>TP1 1:0.08；加权 1:0.84</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80,834-81,014，15m/30m出现冲高失败、LH并重新跌回 VAH 80,934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80,834-81,014 / 81,014</w:t>
            </w:r>
          </w:p>
        </w:tc>
        <w:tc>
          <w:tcPr>
            <w:tcW w:type="dxa" w:w="1332"/>
            <w:vAlign w:val="center"/>
            <w:shd w:fill="EAF2F8"/>
          </w:tcPr>
          <w:p>
            <w:pPr>
              <w:spacing w:after="0" w:line="240" w:lineRule="auto"/>
            </w:pPr>
            <w:r>
              <w:rPr>
                <w:rFonts w:ascii="Microsoft YaHei" w:hAnsi="Microsoft YaHei" w:eastAsia="Microsoft YaHei"/>
                <w:b w:val="0"/>
                <w:color w:val="19212A"/>
                <w:sz w:val="12"/>
              </w:rPr>
              <w:t>81,434</w:t>
            </w:r>
          </w:p>
        </w:tc>
        <w:tc>
          <w:tcPr>
            <w:tcW w:type="dxa" w:w="1332"/>
            <w:vAlign w:val="center"/>
            <w:shd w:fill="EAF2F8"/>
          </w:tcPr>
          <w:p>
            <w:pPr>
              <w:spacing w:after="0" w:line="240" w:lineRule="auto"/>
            </w:pPr>
            <w:r>
              <w:rPr>
                <w:rFonts w:ascii="Microsoft YaHei" w:hAnsi="Microsoft YaHei" w:eastAsia="Microsoft YaHei"/>
                <w:b w:val="0"/>
                <w:color w:val="19212A"/>
                <w:sz w:val="12"/>
              </w:rPr>
              <w:t>80,119 / 79,920</w:t>
            </w:r>
          </w:p>
        </w:tc>
        <w:tc>
          <w:tcPr>
            <w:tcW w:type="dxa" w:w="1332"/>
            <w:vAlign w:val="center"/>
            <w:shd w:fill="EAF2F8"/>
          </w:tcPr>
          <w:p>
            <w:pPr>
              <w:spacing w:after="0" w:line="240" w:lineRule="auto"/>
            </w:pPr>
            <w:r>
              <w:rPr>
                <w:rFonts w:ascii="Microsoft YaHei" w:hAnsi="Microsoft YaHei" w:eastAsia="Microsoft YaHei"/>
                <w:b w:val="0"/>
                <w:color w:val="19212A"/>
                <w:sz w:val="12"/>
              </w:rPr>
              <w:t>TP1 1:1.54；加权 1:1.77</w:t>
            </w:r>
          </w:p>
        </w:tc>
        <w:tc>
          <w:tcPr>
            <w:tcW w:type="dxa" w:w="1332"/>
            <w:vAlign w:val="center"/>
            <w:shd w:fill="EAF2F8"/>
          </w:tcPr>
          <w:p>
            <w:pPr>
              <w:spacing w:after="0" w:line="240" w:lineRule="auto"/>
            </w:pPr>
            <w:r>
              <w:rPr>
                <w:rFonts w:ascii="Microsoft YaHei" w:hAnsi="Microsoft YaHei" w:eastAsia="Microsoft YaHei"/>
                <w:b w:val="0"/>
                <w:color w:val="19212A"/>
                <w:sz w:val="12"/>
              </w:rPr>
              <w:t>2026-10-28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POC 80,119 与 VAH 80,934 之间、位于价值区上半部；POC 80,119 可以理解为最近成交最拥挤的中轴，不是追单位置。下沿多头本轮因 TP1 净R:R不足而取消；上沿空头必须先进入 80,834-81,014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BREAKOUT</w:t>
            </w:r>
          </w:p>
        </w:tc>
        <w:tc>
          <w:tcPr>
            <w:tcW w:type="dxa" w:w="969"/>
            <w:vAlign w:val="center"/>
          </w:tcPr>
          <w:p>
            <w:pPr>
              <w:spacing w:after="0" w:line="240" w:lineRule="auto"/>
            </w:pPr>
            <w:r>
              <w:rPr>
                <w:rFonts w:ascii="Microsoft YaHei" w:hAnsi="Microsoft YaHei" w:eastAsia="Microsoft YaHei"/>
                <w:b w:val="0"/>
                <w:color w:val="19212A"/>
                <w:sz w:val="10"/>
              </w:rPr>
              <w:t>80,034-81,738</w:t>
            </w:r>
          </w:p>
        </w:tc>
        <w:tc>
          <w:tcPr>
            <w:tcW w:type="dxa" w:w="969"/>
            <w:vAlign w:val="center"/>
          </w:tcPr>
          <w:p>
            <w:pPr>
              <w:spacing w:after="0" w:line="240" w:lineRule="auto"/>
            </w:pPr>
            <w:r>
              <w:rPr>
                <w:rFonts w:ascii="Microsoft YaHei" w:hAnsi="Microsoft YaHei" w:eastAsia="Microsoft YaHei"/>
                <w:b w:val="0"/>
                <w:color w:val="19212A"/>
                <w:sz w:val="10"/>
              </w:rPr>
              <w:t>79,319-80,035</w:t>
            </w:r>
          </w:p>
        </w:tc>
        <w:tc>
          <w:tcPr>
            <w:tcW w:type="dxa" w:w="969"/>
            <w:vAlign w:val="center"/>
          </w:tcPr>
          <w:p>
            <w:pPr>
              <w:spacing w:after="0" w:line="240" w:lineRule="auto"/>
            </w:pPr>
            <w:r>
              <w:rPr>
                <w:rFonts w:ascii="Microsoft YaHei" w:hAnsi="Microsoft YaHei" w:eastAsia="Microsoft YaHei"/>
                <w:b w:val="0"/>
                <w:color w:val="19212A"/>
                <w:sz w:val="10"/>
              </w:rPr>
              <w:t>81,051-81,363</w:t>
            </w:r>
          </w:p>
        </w:tc>
        <w:tc>
          <w:tcPr>
            <w:tcW w:type="dxa" w:w="969"/>
            <w:vAlign w:val="center"/>
          </w:tcPr>
          <w:p>
            <w:pPr>
              <w:spacing w:after="0" w:line="240" w:lineRule="auto"/>
            </w:pPr>
            <w:r>
              <w:rPr>
                <w:rFonts w:ascii="Microsoft YaHei" w:hAnsi="Microsoft YaHei" w:eastAsia="Microsoft YaHei"/>
                <w:b w:val="0"/>
                <w:color w:val="19212A"/>
                <w:sz w:val="10"/>
              </w:rPr>
              <w:t>57.5% / 11.8% / 30.7%</w:t>
            </w:r>
          </w:p>
        </w:tc>
        <w:tc>
          <w:tcPr>
            <w:tcW w:type="dxa" w:w="969"/>
            <w:vAlign w:val="center"/>
          </w:tcPr>
          <w:p>
            <w:pPr>
              <w:spacing w:after="0" w:line="240" w:lineRule="auto"/>
            </w:pPr>
            <w:r>
              <w:rPr>
                <w:rFonts w:ascii="Microsoft YaHei" w:hAnsi="Microsoft YaHei" w:eastAsia="Microsoft YaHei"/>
                <w:b w:val="0"/>
                <w:color w:val="19212A"/>
                <w:sz w:val="10"/>
              </w:rPr>
              <w:t>7.3%</w:t>
            </w:r>
          </w:p>
        </w:tc>
        <w:tc>
          <w:tcPr>
            <w:tcW w:type="dxa" w:w="969"/>
            <w:vAlign w:val="center"/>
          </w:tcPr>
          <w:p>
            <w:pPr>
              <w:spacing w:after="0" w:line="240" w:lineRule="auto"/>
            </w:pPr>
            <w:r>
              <w:rPr>
                <w:rFonts w:ascii="Microsoft YaHei" w:hAnsi="Microsoft YaHei" w:eastAsia="Microsoft YaHei"/>
                <w:b w:val="0"/>
                <w:color w:val="19212A"/>
                <w:sz w:val="10"/>
              </w:rPr>
              <w:t>29.9</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80,735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BREAKOUT</w:t>
            </w:r>
          </w:p>
        </w:tc>
        <w:tc>
          <w:tcPr>
            <w:tcW w:type="dxa" w:w="969"/>
            <w:vAlign w:val="center"/>
            <w:shd w:fill="EAF2F8"/>
          </w:tcPr>
          <w:p>
            <w:pPr>
              <w:spacing w:after="0" w:line="240" w:lineRule="auto"/>
            </w:pPr>
            <w:r>
              <w:rPr>
                <w:rFonts w:ascii="Microsoft YaHei" w:hAnsi="Microsoft YaHei" w:eastAsia="Microsoft YaHei"/>
                <w:b w:val="0"/>
                <w:color w:val="19212A"/>
                <w:sz w:val="10"/>
              </w:rPr>
              <w:t>79,419-82,371</w:t>
            </w:r>
          </w:p>
        </w:tc>
        <w:tc>
          <w:tcPr>
            <w:tcW w:type="dxa" w:w="969"/>
            <w:vAlign w:val="center"/>
            <w:shd w:fill="EAF2F8"/>
          </w:tcPr>
          <w:p>
            <w:pPr>
              <w:spacing w:after="0" w:line="240" w:lineRule="auto"/>
            </w:pPr>
            <w:r>
              <w:rPr>
                <w:rFonts w:ascii="Microsoft YaHei" w:hAnsi="Microsoft YaHei" w:eastAsia="Microsoft YaHei"/>
                <w:b w:val="0"/>
                <w:color w:val="19212A"/>
                <w:sz w:val="10"/>
              </w:rPr>
              <w:t>78,522-79,268</w:t>
            </w:r>
          </w:p>
        </w:tc>
        <w:tc>
          <w:tcPr>
            <w:tcW w:type="dxa" w:w="969"/>
            <w:vAlign w:val="center"/>
            <w:shd w:fill="EAF2F8"/>
          </w:tcPr>
          <w:p>
            <w:pPr>
              <w:spacing w:after="0" w:line="240" w:lineRule="auto"/>
            </w:pPr>
            <w:r>
              <w:rPr>
                <w:rFonts w:ascii="Microsoft YaHei" w:hAnsi="Microsoft YaHei" w:eastAsia="Microsoft YaHei"/>
                <w:b w:val="0"/>
                <w:color w:val="19212A"/>
                <w:sz w:val="10"/>
              </w:rPr>
              <w:t>81,035-81,341</w:t>
            </w:r>
          </w:p>
        </w:tc>
        <w:tc>
          <w:tcPr>
            <w:tcW w:type="dxa" w:w="969"/>
            <w:vAlign w:val="center"/>
            <w:shd w:fill="EAF2F8"/>
          </w:tcPr>
          <w:p>
            <w:pPr>
              <w:spacing w:after="0" w:line="240" w:lineRule="auto"/>
            </w:pPr>
            <w:r>
              <w:rPr>
                <w:rFonts w:ascii="Microsoft YaHei" w:hAnsi="Microsoft YaHei" w:eastAsia="Microsoft YaHei"/>
                <w:b w:val="0"/>
                <w:color w:val="19212A"/>
                <w:sz w:val="10"/>
              </w:rPr>
              <w:t>82.6% / 15.2% / 2.3%</w:t>
            </w:r>
          </w:p>
        </w:tc>
        <w:tc>
          <w:tcPr>
            <w:tcW w:type="dxa" w:w="969"/>
            <w:vAlign w:val="center"/>
            <w:shd w:fill="EAF2F8"/>
          </w:tcPr>
          <w:p>
            <w:pPr>
              <w:spacing w:after="0" w:line="240" w:lineRule="auto"/>
            </w:pPr>
            <w:r>
              <w:rPr>
                <w:rFonts w:ascii="Microsoft YaHei" w:hAnsi="Microsoft YaHei" w:eastAsia="Microsoft YaHei"/>
                <w:b w:val="0"/>
                <w:color w:val="19212A"/>
                <w:sz w:val="10"/>
              </w:rPr>
              <w:t>10.4%</w:t>
            </w:r>
          </w:p>
        </w:tc>
        <w:tc>
          <w:tcPr>
            <w:tcW w:type="dxa" w:w="969"/>
            <w:vAlign w:val="center"/>
            <w:shd w:fill="EAF2F8"/>
          </w:tcPr>
          <w:p>
            <w:pPr>
              <w:spacing w:after="0" w:line="240" w:lineRule="auto"/>
            </w:pPr>
            <w:r>
              <w:rPr>
                <w:rFonts w:ascii="Microsoft YaHei" w:hAnsi="Microsoft YaHei" w:eastAsia="Microsoft YaHei"/>
                <w:b w:val="0"/>
                <w:color w:val="19212A"/>
                <w:sz w:val="10"/>
              </w:rPr>
              <w:t>20.0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80,735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BREAKOUT</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HTF_TRANSITION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2,311-2,388</w:t>
            </w:r>
          </w:p>
        </w:tc>
        <w:tc>
          <w:tcPr>
            <w:tcW w:type="dxa" w:w="969"/>
            <w:vAlign w:val="center"/>
            <w:shd w:fill="EAF2F8"/>
          </w:tcPr>
          <w:p>
            <w:pPr>
              <w:spacing w:after="0" w:line="240" w:lineRule="auto"/>
            </w:pPr>
            <w:r>
              <w:rPr>
                <w:rFonts w:ascii="Microsoft YaHei" w:hAnsi="Microsoft YaHei" w:eastAsia="Microsoft YaHei"/>
                <w:b w:val="0"/>
                <w:color w:val="19212A"/>
                <w:sz w:val="10"/>
              </w:rPr>
              <w:t>2,267-2,315</w:t>
            </w:r>
          </w:p>
        </w:tc>
        <w:tc>
          <w:tcPr>
            <w:tcW w:type="dxa" w:w="969"/>
            <w:vAlign w:val="center"/>
            <w:shd w:fill="EAF2F8"/>
          </w:tcPr>
          <w:p>
            <w:pPr>
              <w:spacing w:after="0" w:line="240" w:lineRule="auto"/>
            </w:pPr>
            <w:r>
              <w:rPr>
                <w:rFonts w:ascii="Microsoft YaHei" w:hAnsi="Microsoft YaHei" w:eastAsia="Microsoft YaHei"/>
                <w:b w:val="0"/>
                <w:color w:val="19212A"/>
                <w:sz w:val="10"/>
              </w:rPr>
              <w:t>2,355-2,373</w:t>
            </w:r>
          </w:p>
        </w:tc>
        <w:tc>
          <w:tcPr>
            <w:tcW w:type="dxa" w:w="969"/>
            <w:vAlign w:val="center"/>
            <w:shd w:fill="EAF2F8"/>
          </w:tcPr>
          <w:p>
            <w:pPr>
              <w:spacing w:after="0" w:line="240" w:lineRule="auto"/>
            </w:pPr>
            <w:r>
              <w:rPr>
                <w:rFonts w:ascii="Microsoft YaHei" w:hAnsi="Microsoft YaHei" w:eastAsia="Microsoft YaHei"/>
                <w:b w:val="0"/>
                <w:color w:val="19212A"/>
                <w:sz w:val="10"/>
              </w:rPr>
              <w:t>67.0% / 14.7% / 18.4%</w:t>
            </w:r>
          </w:p>
        </w:tc>
        <w:tc>
          <w:tcPr>
            <w:tcW w:type="dxa" w:w="969"/>
            <w:vAlign w:val="center"/>
            <w:shd w:fill="EAF2F8"/>
          </w:tcPr>
          <w:p>
            <w:pPr>
              <w:spacing w:after="0" w:line="240" w:lineRule="auto"/>
            </w:pPr>
            <w:r>
              <w:rPr>
                <w:rFonts w:ascii="Microsoft YaHei" w:hAnsi="Microsoft YaHei" w:eastAsia="Microsoft YaHei"/>
                <w:b w:val="0"/>
                <w:color w:val="19212A"/>
                <w:sz w:val="10"/>
              </w:rPr>
              <w:t>3.7%</w:t>
            </w:r>
          </w:p>
        </w:tc>
        <w:tc>
          <w:tcPr>
            <w:tcW w:type="dxa" w:w="969"/>
            <w:vAlign w:val="center"/>
            <w:shd w:fill="EAF2F8"/>
          </w:tcPr>
          <w:p>
            <w:pPr>
              <w:spacing w:after="0" w:line="240" w:lineRule="auto"/>
            </w:pPr>
            <w:r>
              <w:rPr>
                <w:rFonts w:ascii="Microsoft YaHei" w:hAnsi="Microsoft YaHei" w:eastAsia="Microsoft YaHei"/>
                <w:b w:val="0"/>
                <w:color w:val="19212A"/>
                <w:sz w:val="10"/>
              </w:rPr>
              <w:t>29.5</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2,346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HTF_TRANSITION + CONSOLIDATION</w:t>
            </w:r>
          </w:p>
        </w:tc>
        <w:tc>
          <w:tcPr>
            <w:tcW w:type="dxa" w:w="969"/>
            <w:vAlign w:val="center"/>
          </w:tcPr>
          <w:p>
            <w:pPr>
              <w:spacing w:after="0" w:line="240" w:lineRule="auto"/>
            </w:pPr>
            <w:r>
              <w:rPr>
                <w:rFonts w:ascii="Microsoft YaHei" w:hAnsi="Microsoft YaHei" w:eastAsia="Microsoft YaHei"/>
                <w:b w:val="0"/>
                <w:color w:val="19212A"/>
                <w:sz w:val="10"/>
              </w:rPr>
              <w:t>2,283-2,417</w:t>
            </w:r>
          </w:p>
        </w:tc>
        <w:tc>
          <w:tcPr>
            <w:tcW w:type="dxa" w:w="969"/>
            <w:vAlign w:val="center"/>
          </w:tcPr>
          <w:p>
            <w:pPr>
              <w:spacing w:after="0" w:line="240" w:lineRule="auto"/>
            </w:pPr>
            <w:r>
              <w:rPr>
                <w:rFonts w:ascii="Microsoft YaHei" w:hAnsi="Microsoft YaHei" w:eastAsia="Microsoft YaHei"/>
                <w:b w:val="0"/>
                <w:color w:val="19212A"/>
                <w:sz w:val="10"/>
              </w:rPr>
              <w:t>2,238-2,256</w:t>
            </w:r>
          </w:p>
        </w:tc>
        <w:tc>
          <w:tcPr>
            <w:tcW w:type="dxa" w:w="969"/>
            <w:vAlign w:val="center"/>
          </w:tcPr>
          <w:p>
            <w:pPr>
              <w:spacing w:after="0" w:line="240" w:lineRule="auto"/>
            </w:pPr>
            <w:r>
              <w:rPr>
                <w:rFonts w:ascii="Microsoft YaHei" w:hAnsi="Microsoft YaHei" w:eastAsia="Microsoft YaHei"/>
                <w:b w:val="0"/>
                <w:color w:val="19212A"/>
                <w:sz w:val="10"/>
              </w:rPr>
              <w:t>2,353-2,365</w:t>
            </w:r>
          </w:p>
        </w:tc>
        <w:tc>
          <w:tcPr>
            <w:tcW w:type="dxa" w:w="969"/>
            <w:vAlign w:val="center"/>
          </w:tcPr>
          <w:p>
            <w:pPr>
              <w:spacing w:after="0" w:line="240" w:lineRule="auto"/>
            </w:pPr>
            <w:r>
              <w:rPr>
                <w:rFonts w:ascii="Microsoft YaHei" w:hAnsi="Microsoft YaHei" w:eastAsia="Microsoft YaHei"/>
                <w:b w:val="0"/>
                <w:color w:val="19212A"/>
                <w:sz w:val="10"/>
              </w:rPr>
              <w:t>82.2% / 17.1% / 0.7%</w:t>
            </w:r>
          </w:p>
        </w:tc>
        <w:tc>
          <w:tcPr>
            <w:tcW w:type="dxa" w:w="969"/>
            <w:vAlign w:val="center"/>
          </w:tcPr>
          <w:p>
            <w:pPr>
              <w:spacing w:after="0" w:line="240" w:lineRule="auto"/>
            </w:pPr>
            <w:r>
              <w:rPr>
                <w:rFonts w:ascii="Microsoft YaHei" w:hAnsi="Microsoft YaHei" w:eastAsia="Microsoft YaHei"/>
                <w:b w:val="0"/>
                <w:color w:val="19212A"/>
                <w:sz w:val="10"/>
              </w:rPr>
              <w:t>14.6%</w:t>
            </w:r>
          </w:p>
        </w:tc>
        <w:tc>
          <w:tcPr>
            <w:tcW w:type="dxa" w:w="969"/>
            <w:vAlign w:val="center"/>
          </w:tcPr>
          <w:p>
            <w:pPr>
              <w:spacing w:after="0" w:line="240" w:lineRule="auto"/>
            </w:pPr>
            <w:r>
              <w:rPr>
                <w:rFonts w:ascii="Microsoft YaHei" w:hAnsi="Microsoft YaHei" w:eastAsia="Microsoft YaHei"/>
                <w:b w:val="0"/>
                <w:color w:val="19212A"/>
                <w:sz w:val="10"/>
              </w:rPr>
              <w:t>17.9</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2,346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HTF_TRANSITION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HTF_TRANSITION + CONSOLIDATION</w:t>
            </w:r>
          </w:p>
        </w:tc>
        <w:tc>
          <w:tcPr>
            <w:tcW w:type="dxa" w:w="969"/>
            <w:vAlign w:val="center"/>
          </w:tcPr>
          <w:p>
            <w:pPr>
              <w:spacing w:after="0" w:line="240" w:lineRule="auto"/>
            </w:pPr>
            <w:r>
              <w:rPr>
                <w:rFonts w:ascii="Microsoft YaHei" w:hAnsi="Microsoft YaHei" w:eastAsia="Microsoft YaHei"/>
                <w:b w:val="0"/>
                <w:color w:val="19212A"/>
                <w:sz w:val="10"/>
              </w:rPr>
              <w:t>99.51-103.14</w:t>
            </w:r>
          </w:p>
        </w:tc>
        <w:tc>
          <w:tcPr>
            <w:tcW w:type="dxa" w:w="969"/>
            <w:vAlign w:val="center"/>
          </w:tcPr>
          <w:p>
            <w:pPr>
              <w:spacing w:after="0" w:line="240" w:lineRule="auto"/>
            </w:pPr>
            <w:r>
              <w:rPr>
                <w:rFonts w:ascii="Microsoft YaHei" w:hAnsi="Microsoft YaHei" w:eastAsia="Microsoft YaHei"/>
                <w:b w:val="0"/>
                <w:color w:val="19212A"/>
                <w:sz w:val="10"/>
              </w:rPr>
              <w:t>98.51-99.95</w:t>
            </w:r>
          </w:p>
        </w:tc>
        <w:tc>
          <w:tcPr>
            <w:tcW w:type="dxa" w:w="969"/>
            <w:vAlign w:val="center"/>
          </w:tcPr>
          <w:p>
            <w:pPr>
              <w:spacing w:after="0" w:line="240" w:lineRule="auto"/>
            </w:pPr>
            <w:r>
              <w:rPr>
                <w:rFonts w:ascii="Microsoft YaHei" w:hAnsi="Microsoft YaHei" w:eastAsia="Microsoft YaHei"/>
                <w:b w:val="0"/>
                <w:color w:val="19212A"/>
                <w:sz w:val="10"/>
              </w:rPr>
              <w:t>101.76-102.29</w:t>
            </w:r>
          </w:p>
        </w:tc>
        <w:tc>
          <w:tcPr>
            <w:tcW w:type="dxa" w:w="969"/>
            <w:vAlign w:val="center"/>
          </w:tcPr>
          <w:p>
            <w:pPr>
              <w:spacing w:after="0" w:line="240" w:lineRule="auto"/>
            </w:pPr>
            <w:r>
              <w:rPr>
                <w:rFonts w:ascii="Microsoft YaHei" w:hAnsi="Microsoft YaHei" w:eastAsia="Microsoft YaHei"/>
                <w:b w:val="0"/>
                <w:color w:val="19212A"/>
                <w:sz w:val="10"/>
              </w:rPr>
              <w:t>60.2% / 13.4% / 26.4%</w:t>
            </w:r>
          </w:p>
        </w:tc>
        <w:tc>
          <w:tcPr>
            <w:tcW w:type="dxa" w:w="969"/>
            <w:vAlign w:val="center"/>
          </w:tcPr>
          <w:p>
            <w:pPr>
              <w:spacing w:after="0" w:line="240" w:lineRule="auto"/>
            </w:pPr>
            <w:r>
              <w:rPr>
                <w:rFonts w:ascii="Microsoft YaHei" w:hAnsi="Microsoft YaHei" w:eastAsia="Microsoft YaHei"/>
                <w:b w:val="0"/>
                <w:color w:val="19212A"/>
                <w:sz w:val="10"/>
              </w:rPr>
              <w:t>7.2%</w:t>
            </w:r>
          </w:p>
        </w:tc>
        <w:tc>
          <w:tcPr>
            <w:tcW w:type="dxa" w:w="969"/>
            <w:vAlign w:val="center"/>
          </w:tcPr>
          <w:p>
            <w:pPr>
              <w:spacing w:after="0" w:line="240" w:lineRule="auto"/>
            </w:pPr>
            <w:r>
              <w:rPr>
                <w:rFonts w:ascii="Microsoft YaHei" w:hAnsi="Microsoft YaHei" w:eastAsia="Microsoft YaHei"/>
                <w:b w:val="0"/>
                <w:color w:val="19212A"/>
                <w:sz w:val="10"/>
              </w:rPr>
              <w:t>28.1</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101.24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HTF_TRANSITION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98.21-104.51</w:t>
            </w:r>
          </w:p>
        </w:tc>
        <w:tc>
          <w:tcPr>
            <w:tcW w:type="dxa" w:w="969"/>
            <w:vAlign w:val="center"/>
            <w:shd w:fill="EAF2F8"/>
          </w:tcPr>
          <w:p>
            <w:pPr>
              <w:spacing w:after="0" w:line="240" w:lineRule="auto"/>
            </w:pPr>
            <w:r>
              <w:rPr>
                <w:rFonts w:ascii="Microsoft YaHei" w:hAnsi="Microsoft YaHei" w:eastAsia="Microsoft YaHei"/>
                <w:b w:val="0"/>
                <w:color w:val="19212A"/>
                <w:sz w:val="10"/>
              </w:rPr>
              <w:t>96.28-97.63</w:t>
            </w:r>
          </w:p>
        </w:tc>
        <w:tc>
          <w:tcPr>
            <w:tcW w:type="dxa" w:w="969"/>
            <w:vAlign w:val="center"/>
            <w:shd w:fill="EAF2F8"/>
          </w:tcPr>
          <w:p>
            <w:pPr>
              <w:spacing w:after="0" w:line="240" w:lineRule="auto"/>
            </w:pPr>
            <w:r>
              <w:rPr>
                <w:rFonts w:ascii="Microsoft YaHei" w:hAnsi="Microsoft YaHei" w:eastAsia="Microsoft YaHei"/>
                <w:b w:val="0"/>
                <w:color w:val="19212A"/>
                <w:sz w:val="10"/>
              </w:rPr>
              <w:t>101.63-102.16</w:t>
            </w:r>
          </w:p>
        </w:tc>
        <w:tc>
          <w:tcPr>
            <w:tcW w:type="dxa" w:w="969"/>
            <w:vAlign w:val="center"/>
            <w:shd w:fill="EAF2F8"/>
          </w:tcPr>
          <w:p>
            <w:pPr>
              <w:spacing w:after="0" w:line="240" w:lineRule="auto"/>
            </w:pPr>
            <w:r>
              <w:rPr>
                <w:rFonts w:ascii="Microsoft YaHei" w:hAnsi="Microsoft YaHei" w:eastAsia="Microsoft YaHei"/>
                <w:b w:val="0"/>
                <w:color w:val="19212A"/>
                <w:sz w:val="10"/>
              </w:rPr>
              <w:t>82.1% / 17.3% / 0.6%</w:t>
            </w:r>
          </w:p>
        </w:tc>
        <w:tc>
          <w:tcPr>
            <w:tcW w:type="dxa" w:w="969"/>
            <w:vAlign w:val="center"/>
            <w:shd w:fill="EAF2F8"/>
          </w:tcPr>
          <w:p>
            <w:pPr>
              <w:spacing w:after="0" w:line="240" w:lineRule="auto"/>
            </w:pPr>
            <w:r>
              <w:rPr>
                <w:rFonts w:ascii="Microsoft YaHei" w:hAnsi="Microsoft YaHei" w:eastAsia="Microsoft YaHei"/>
                <w:b w:val="0"/>
                <w:color w:val="19212A"/>
                <w:sz w:val="10"/>
              </w:rPr>
              <w:t>21.1%</w:t>
            </w:r>
          </w:p>
        </w:tc>
        <w:tc>
          <w:tcPr>
            <w:tcW w:type="dxa" w:w="969"/>
            <w:vAlign w:val="center"/>
            <w:shd w:fill="EAF2F8"/>
          </w:tcPr>
          <w:p>
            <w:pPr>
              <w:spacing w:after="0" w:line="240" w:lineRule="auto"/>
            </w:pPr>
            <w:r>
              <w:rPr>
                <w:rFonts w:ascii="Microsoft YaHei" w:hAnsi="Microsoft YaHei" w:eastAsia="Microsoft YaHei"/>
                <w:b w:val="0"/>
                <w:color w:val="19212A"/>
                <w:sz w:val="10"/>
              </w:rPr>
              <w:t>18.0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101.24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HTF_TRANSITION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80,735，独立使用自身的24h/72h/7d区间；ETH 当前 2,346，独立使用自身的24h/72h/7d区间；SOL 当前 101.24，独立使用自身的24h/72h/7d区间。BTC今天仍要等BTC 下沿是否扫过 VAL 79,920 后收回形成 HL，以及上沿 80,834-81,014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79,920 / POC 80,119 / VAH 80,934</w:t>
            </w:r>
          </w:p>
        </w:tc>
        <w:tc>
          <w:tcPr>
            <w:tcW w:type="dxa" w:w="2131"/>
            <w:vAlign w:val="center"/>
          </w:tcPr>
          <w:p>
            <w:pPr>
              <w:spacing w:after="0" w:line="240" w:lineRule="auto"/>
            </w:pPr>
            <w:r>
              <w:rPr>
                <w:rFonts w:ascii="Microsoft YaHei" w:hAnsi="Microsoft YaHei" w:eastAsia="Microsoft YaHei"/>
                <w:b w:val="0"/>
                <w:color w:val="19212A"/>
                <w:sz w:val="14"/>
              </w:rPr>
              <w:t>HTF_RANGE + BREAKOUT</w:t>
            </w:r>
          </w:p>
        </w:tc>
        <w:tc>
          <w:tcPr>
            <w:tcW w:type="dxa" w:w="2131"/>
            <w:vAlign w:val="center"/>
          </w:tcPr>
          <w:p>
            <w:pPr>
              <w:spacing w:after="0" w:line="240" w:lineRule="auto"/>
            </w:pPr>
            <w:r>
              <w:rPr>
                <w:rFonts w:ascii="Microsoft YaHei" w:hAnsi="Microsoft YaHei" w:eastAsia="Microsoft YaHei"/>
                <w:b w:val="0"/>
                <w:color w:val="19212A"/>
                <w:sz w:val="14"/>
              </w:rPr>
              <w:t>处于 POC 80,119 与 VAH 80,934 之间、位于价值区上半部不追单；下沿多头本轮无合格预案；上沿等S5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2,304 / POC 2,309 / VAH 2,344</w:t>
            </w:r>
          </w:p>
        </w:tc>
        <w:tc>
          <w:tcPr>
            <w:tcW w:type="dxa" w:w="2131"/>
            <w:vAlign w:val="center"/>
            <w:shd w:fill="EAF2F8"/>
          </w:tcPr>
          <w:p>
            <w:pPr>
              <w:spacing w:after="0" w:line="240" w:lineRule="auto"/>
            </w:pPr>
            <w:r>
              <w:rPr>
                <w:rFonts w:ascii="Microsoft YaHei" w:hAnsi="Microsoft YaHei" w:eastAsia="Microsoft YaHei"/>
                <w:b w:val="0"/>
                <w:color w:val="19212A"/>
                <w:sz w:val="14"/>
              </w:rPr>
              <w:t>HTF_TRANSITION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VAL 99.90 / POC 100.44 / VAH 101.64</w:t>
            </w:r>
          </w:p>
        </w:tc>
        <w:tc>
          <w:tcPr>
            <w:tcW w:type="dxa" w:w="2131"/>
            <w:vAlign w:val="center"/>
          </w:tcPr>
          <w:p>
            <w:pPr>
              <w:spacing w:after="0" w:line="240" w:lineRule="auto"/>
            </w:pPr>
            <w:r>
              <w:rPr>
                <w:rFonts w:ascii="Microsoft YaHei" w:hAnsi="Microsoft YaHei" w:eastAsia="Microsoft YaHei"/>
                <w:b w:val="0"/>
                <w:color w:val="19212A"/>
                <w:sz w:val="14"/>
              </w:rPr>
              <w:t>HTF_TRANSITION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+1.52%；DOGE +1.36%；AVAX -0.26%</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80,119 是最近五天成交最密集的价格，可理解为短期筹码最拥挤的‘价格磁铁’；VAL 79,920 是正常震荡区下沿，VAH 80,934 是正常震荡区上沿。BTC 当前处于 POC 80,119 与 VAH 80,934 之间、位于价值区上半部，仍未进入执行带，不是自动做多或做空；下沿多头本轮取消、只等上沿冲高失败。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79,920后快速收回，卖压减弱并形成HL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BREAKOUT，S5不作为主执行；上沿路径按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POC 80,119 与 VAH 80,934 之间、位于价值区上半部，不能把反弹强度当成追多信号。下沿多头本轮因R:R不足不执行，空头只等上沿 80,834-81,014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上沿受阻空；下沿多头 INVALID</w:t>
            </w:r>
          </w:p>
        </w:tc>
        <w:tc>
          <w:tcPr>
            <w:tcW w:type="dxa" w:w="710"/>
            <w:vAlign w:val="center"/>
          </w:tcPr>
          <w:p>
            <w:pPr>
              <w:spacing w:after="0" w:line="240" w:lineRule="auto"/>
            </w:pPr>
            <w:r>
              <w:rPr>
                <w:rFonts w:ascii="Microsoft YaHei" w:hAnsi="Microsoft YaHei" w:eastAsia="Microsoft YaHei"/>
                <w:b w:val="0"/>
                <w:color w:val="19212A"/>
                <w:sz w:val="11"/>
              </w:rPr>
              <w:t>HTF_RANGE + BREAKOUT</w:t>
            </w:r>
          </w:p>
        </w:tc>
        <w:tc>
          <w:tcPr>
            <w:tcW w:type="dxa" w:w="710"/>
            <w:vAlign w:val="center"/>
          </w:tcPr>
          <w:p>
            <w:pPr>
              <w:spacing w:after="0" w:line="240" w:lineRule="auto"/>
            </w:pPr>
            <w:r>
              <w:rPr>
                <w:rFonts w:ascii="Microsoft YaHei" w:hAnsi="Microsoft YaHei" w:eastAsia="Microsoft YaHei"/>
                <w:b w:val="0"/>
                <w:color w:val="19212A"/>
                <w:sz w:val="11"/>
              </w:rPr>
              <w:t>现价处于 POC 80,119 与 VAH 80,934 之间、位于价值区上半部；只有上沿空头通过R:R闸门，现价不在执行区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80,934 后跌回；多：本轮取消；现价 80,735</w:t>
            </w:r>
          </w:p>
        </w:tc>
        <w:tc>
          <w:tcPr>
            <w:tcW w:type="dxa" w:w="710"/>
            <w:vAlign w:val="center"/>
          </w:tcPr>
          <w:p>
            <w:pPr>
              <w:spacing w:after="0" w:line="240" w:lineRule="auto"/>
            </w:pPr>
            <w:r>
              <w:rPr>
                <w:rFonts w:ascii="Microsoft YaHei" w:hAnsi="Microsoft YaHei" w:eastAsia="Microsoft YaHei"/>
                <w:b w:val="0"/>
                <w:color w:val="19212A"/>
                <w:sz w:val="11"/>
              </w:rPr>
              <w:t>空 80,954</w:t>
            </w:r>
          </w:p>
        </w:tc>
        <w:tc>
          <w:tcPr>
            <w:tcW w:type="dxa" w:w="710"/>
            <w:vAlign w:val="center"/>
          </w:tcPr>
          <w:p>
            <w:pPr>
              <w:spacing w:after="0" w:line="240" w:lineRule="auto"/>
            </w:pPr>
            <w:r>
              <w:rPr>
                <w:rFonts w:ascii="Microsoft YaHei" w:hAnsi="Microsoft YaHei" w:eastAsia="Microsoft YaHei"/>
                <w:b w:val="0"/>
                <w:color w:val="19212A"/>
                <w:sz w:val="11"/>
              </w:rPr>
              <w:t>空 81,014</w:t>
            </w:r>
          </w:p>
        </w:tc>
        <w:tc>
          <w:tcPr>
            <w:tcW w:type="dxa" w:w="710"/>
            <w:vAlign w:val="center"/>
          </w:tcPr>
          <w:p>
            <w:pPr>
              <w:spacing w:after="0" w:line="240" w:lineRule="auto"/>
            </w:pPr>
            <w:r>
              <w:rPr>
                <w:rFonts w:ascii="Microsoft YaHei" w:hAnsi="Microsoft YaHei" w:eastAsia="Microsoft YaHei"/>
                <w:b w:val="0"/>
                <w:color w:val="19212A"/>
                <w:sz w:val="11"/>
              </w:rPr>
              <w:t>空 81,434</w:t>
            </w:r>
          </w:p>
        </w:tc>
        <w:tc>
          <w:tcPr>
            <w:tcW w:type="dxa" w:w="710"/>
            <w:vAlign w:val="center"/>
          </w:tcPr>
          <w:p>
            <w:pPr>
              <w:spacing w:after="0" w:line="240" w:lineRule="auto"/>
            </w:pPr>
            <w:r>
              <w:rPr>
                <w:rFonts w:ascii="Microsoft YaHei" w:hAnsi="Microsoft YaHei" w:eastAsia="Microsoft YaHei"/>
                <w:b w:val="0"/>
                <w:color w:val="19212A"/>
                <w:sz w:val="11"/>
              </w:rPr>
              <w:t>空看 POC 80,119</w:t>
            </w:r>
          </w:p>
        </w:tc>
        <w:tc>
          <w:tcPr>
            <w:tcW w:type="dxa" w:w="710"/>
            <w:vAlign w:val="center"/>
          </w:tcPr>
          <w:p>
            <w:pPr>
              <w:spacing w:after="0" w:line="240" w:lineRule="auto"/>
            </w:pPr>
            <w:r>
              <w:rPr>
                <w:rFonts w:ascii="Microsoft YaHei" w:hAnsi="Microsoft YaHei" w:eastAsia="Microsoft YaHei"/>
                <w:b w:val="0"/>
                <w:color w:val="19212A"/>
                <w:sz w:val="11"/>
              </w:rPr>
              <w:t>空看 VAL 79,920</w:t>
            </w:r>
          </w:p>
        </w:tc>
        <w:tc>
          <w:tcPr>
            <w:tcW w:type="dxa" w:w="710"/>
            <w:vAlign w:val="center"/>
          </w:tcPr>
          <w:p>
            <w:pPr>
              <w:spacing w:after="0" w:line="240" w:lineRule="auto"/>
            </w:pPr>
            <w:r>
              <w:rPr>
                <w:rFonts w:ascii="Microsoft YaHei" w:hAnsi="Microsoft YaHei" w:eastAsia="Microsoft YaHei"/>
                <w:b w:val="0"/>
                <w:color w:val="19212A"/>
                <w:sz w:val="11"/>
              </w:rPr>
              <w:t>空 1:1.77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80,834-81,014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w:t>
            </w:r>
          </w:p>
        </w:tc>
        <w:tc>
          <w:tcPr>
            <w:tcW w:type="dxa" w:w="888"/>
            <w:vAlign w:val="center"/>
          </w:tcPr>
          <w:p>
            <w:pPr>
              <w:spacing w:after="0" w:line="240" w:lineRule="auto"/>
            </w:pPr>
            <w:r>
              <w:rPr>
                <w:rFonts w:ascii="Microsoft YaHei" w:hAnsi="Microsoft YaHei" w:eastAsia="Microsoft YaHei"/>
                <w:b w:val="0"/>
                <w:color w:val="19212A"/>
                <w:sz w:val="13"/>
              </w:rPr>
              <w:t>HTF_RANGE + BREAKOUT</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0.52%</w:t>
            </w:r>
          </w:p>
        </w:tc>
        <w:tc>
          <w:tcPr>
            <w:tcW w:type="dxa" w:w="1332"/>
            <w:vAlign w:val="center"/>
          </w:tcPr>
          <w:p>
            <w:pPr>
              <w:spacing w:after="0" w:line="240" w:lineRule="auto"/>
            </w:pPr>
            <w:r>
              <w:rPr>
                <w:rFonts w:ascii="Microsoft YaHei" w:hAnsi="Microsoft YaHei" w:eastAsia="Microsoft YaHei"/>
                <w:b w:val="0"/>
                <w:color w:val="19212A"/>
                <w:sz w:val="13"/>
              </w:rPr>
              <w:t>19.3%</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9.6%-19.3%</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79,920 / POC 80,119 / VAH 80,934，仅上沿空头保留；下沿多头被R:R闸门淘汰，现价不在执行区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79,920、POC 80,119、VAH 80,934，当前 Regime 为 HTF_RANGE + BREAKOUT，价格处于 POC 80,119 与 VAH 80,934 之间、位于价值区上半部；仅上沿空头通过闸门，下沿多头因第一目标净R:R不足淘汰，现价不在执行区。这是按新快照和新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80,734.80 / +0.66%</w:t>
            </w:r>
          </w:p>
        </w:tc>
        <w:tc>
          <w:tcPr>
            <w:tcW w:type="dxa" w:w="1776"/>
            <w:vAlign w:val="center"/>
          </w:tcPr>
          <w:p>
            <w:pPr>
              <w:spacing w:after="0" w:line="240" w:lineRule="auto"/>
            </w:pPr>
            <w:r>
              <w:rPr>
                <w:rFonts w:ascii="Microsoft YaHei" w:hAnsi="Microsoft YaHei" w:eastAsia="Microsoft YaHei"/>
                <w:b w:val="0"/>
                <w:color w:val="19212A"/>
                <w:sz w:val="14"/>
              </w:rPr>
              <w:t>79,919.87 / 80,119.09 / 80,934.05</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$2.51bn / +0.00%</w:t>
            </w:r>
          </w:p>
        </w:tc>
        <w:tc>
          <w:tcPr>
            <w:tcW w:type="dxa" w:w="1776"/>
            <w:vAlign w:val="center"/>
          </w:tcPr>
          <w:p>
            <w:pPr>
              <w:spacing w:after="0" w:line="240" w:lineRule="auto"/>
            </w:pPr>
            <w:r>
              <w:rPr>
                <w:rFonts w:ascii="Microsoft YaHei" w:hAnsi="Microsoft YaHei" w:eastAsia="Microsoft YaHei"/>
                <w:b w:val="0"/>
                <w:color w:val="19212A"/>
                <w:sz w:val="14"/>
              </w:rPr>
              <w:t>0.117 / 0.117 / 0.117</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2,346.14 / +0.82%</w:t>
            </w:r>
          </w:p>
        </w:tc>
        <w:tc>
          <w:tcPr>
            <w:tcW w:type="dxa" w:w="1776"/>
            <w:vAlign w:val="center"/>
            <w:shd w:fill="EAF2F8"/>
          </w:tcPr>
          <w:p>
            <w:pPr>
              <w:spacing w:after="0" w:line="240" w:lineRule="auto"/>
            </w:pPr>
            <w:r>
              <w:rPr>
                <w:rFonts w:ascii="Microsoft YaHei" w:hAnsi="Microsoft YaHei" w:eastAsia="Microsoft YaHei"/>
                <w:b w:val="0"/>
                <w:color w:val="19212A"/>
                <w:sz w:val="14"/>
              </w:rPr>
              <w:t>2,303.89 / 2,308.68 / 2,344.14</w:t>
            </w:r>
          </w:p>
        </w:tc>
        <w:tc>
          <w:tcPr>
            <w:tcW w:type="dxa" w:w="1776"/>
            <w:vAlign w:val="center"/>
            <w:shd w:fill="EAF2F8"/>
          </w:tcPr>
          <w:p>
            <w:pPr>
              <w:spacing w:after="0" w:line="240" w:lineRule="auto"/>
            </w:pPr>
            <w:r>
              <w:rPr>
                <w:rFonts w:ascii="Microsoft YaHei" w:hAnsi="Microsoft YaHei" w:eastAsia="Microsoft YaHei"/>
                <w:b w:val="0"/>
                <w:color w:val="19212A"/>
                <w:sz w:val="14"/>
              </w:rPr>
              <w:t>+0.0091%</w:t>
            </w:r>
          </w:p>
        </w:tc>
        <w:tc>
          <w:tcPr>
            <w:tcW w:type="dxa" w:w="1776"/>
            <w:vAlign w:val="center"/>
            <w:shd w:fill="EAF2F8"/>
          </w:tcPr>
          <w:p>
            <w:pPr>
              <w:spacing w:after="0" w:line="240" w:lineRule="auto"/>
            </w:pPr>
            <w:r>
              <w:rPr>
                <w:rFonts w:ascii="Microsoft YaHei" w:hAnsi="Microsoft YaHei" w:eastAsia="Microsoft YaHei"/>
                <w:b w:val="0"/>
                <w:color w:val="19212A"/>
                <w:sz w:val="14"/>
              </w:rPr>
              <w:t>$1.50bn / +0.00%</w:t>
            </w:r>
          </w:p>
        </w:tc>
        <w:tc>
          <w:tcPr>
            <w:tcW w:type="dxa" w:w="1776"/>
            <w:vAlign w:val="center"/>
            <w:shd w:fill="EAF2F8"/>
          </w:tcPr>
          <w:p>
            <w:pPr>
              <w:spacing w:after="0" w:line="240" w:lineRule="auto"/>
            </w:pPr>
            <w:r>
              <w:rPr>
                <w:rFonts w:ascii="Microsoft YaHei" w:hAnsi="Microsoft YaHei" w:eastAsia="Microsoft YaHei"/>
                <w:b w:val="0"/>
                <w:color w:val="19212A"/>
                <w:sz w:val="14"/>
              </w:rPr>
              <w:t>1937.333 / 1937.333 / 1937.333</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101.24 / +0.32%</w:t>
            </w:r>
          </w:p>
        </w:tc>
        <w:tc>
          <w:tcPr>
            <w:tcW w:type="dxa" w:w="1776"/>
            <w:vAlign w:val="center"/>
          </w:tcPr>
          <w:p>
            <w:pPr>
              <w:spacing w:after="0" w:line="240" w:lineRule="auto"/>
            </w:pPr>
            <w:r>
              <w:rPr>
                <w:rFonts w:ascii="Microsoft YaHei" w:hAnsi="Microsoft YaHei" w:eastAsia="Microsoft YaHei"/>
                <w:b w:val="0"/>
                <w:color w:val="19212A"/>
                <w:sz w:val="14"/>
              </w:rPr>
              <w:t>99.90 / 100.44 / 101.64</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$0.33bn / +0.00%</w:t>
            </w:r>
          </w:p>
        </w:tc>
        <w:tc>
          <w:tcPr>
            <w:tcW w:type="dxa" w:w="1776"/>
            <w:vAlign w:val="center"/>
          </w:tcPr>
          <w:p>
            <w:pPr>
              <w:spacing w:after="0" w:line="240" w:lineRule="auto"/>
            </w:pPr>
            <w:r>
              <w:rPr>
                <w:rFonts w:ascii="Microsoft YaHei" w:hAnsi="Microsoft YaHei" w:eastAsia="Microsoft YaHei"/>
                <w:b w:val="0"/>
                <w:color w:val="19212A"/>
                <w:sz w:val="14"/>
              </w:rPr>
              <w:t>1.539 / 1.539 / 1.539</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0.117，下沿多头本轮不执行，上沿空头要等冲高失败形成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7,722.60</w:t>
            </w:r>
          </w:p>
        </w:tc>
        <w:tc>
          <w:tcPr>
            <w:tcW w:type="dxa" w:w="2664"/>
            <w:vAlign w:val="center"/>
            <w:shd w:fill="EAF2F8"/>
          </w:tcPr>
          <w:p>
            <w:pPr>
              <w:spacing w:after="0" w:line="240" w:lineRule="auto"/>
            </w:pPr>
            <w:r>
              <w:rPr>
                <w:rFonts w:ascii="Microsoft YaHei" w:hAnsi="Microsoft YaHei" w:eastAsia="Microsoft YaHei"/>
                <w:b w:val="0"/>
                <w:color w:val="19212A"/>
                <w:sz w:val="14"/>
              </w:rPr>
              <w:t>+0.60%</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26,477.81</w:t>
            </w:r>
          </w:p>
        </w:tc>
        <w:tc>
          <w:tcPr>
            <w:tcW w:type="dxa" w:w="2664"/>
            <w:vAlign w:val="center"/>
          </w:tcPr>
          <w:p>
            <w:pPr>
              <w:spacing w:after="0" w:line="240" w:lineRule="auto"/>
            </w:pPr>
            <w:r>
              <w:rPr>
                <w:rFonts w:ascii="Microsoft YaHei" w:hAnsi="Microsoft YaHei" w:eastAsia="Microsoft YaHei"/>
                <w:b w:val="0"/>
                <w:color w:val="19212A"/>
                <w:sz w:val="14"/>
              </w:rPr>
              <w:t>+1.18%</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102.32</w:t>
            </w:r>
          </w:p>
        </w:tc>
        <w:tc>
          <w:tcPr>
            <w:tcW w:type="dxa" w:w="2664"/>
            <w:vAlign w:val="center"/>
            <w:shd w:fill="EAF2F8"/>
          </w:tcPr>
          <w:p>
            <w:pPr>
              <w:spacing w:after="0" w:line="240" w:lineRule="auto"/>
            </w:pPr>
            <w:r>
              <w:rPr>
                <w:rFonts w:ascii="Microsoft YaHei" w:hAnsi="Microsoft YaHei" w:eastAsia="Microsoft YaHei"/>
                <w:b w:val="0"/>
                <w:color w:val="19212A"/>
                <w:sz w:val="14"/>
              </w:rPr>
              <w:t>+0.35%</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4.99</w:t>
            </w:r>
          </w:p>
        </w:tc>
        <w:tc>
          <w:tcPr>
            <w:tcW w:type="dxa" w:w="2664"/>
            <w:vAlign w:val="center"/>
          </w:tcPr>
          <w:p>
            <w:pPr>
              <w:spacing w:after="0" w:line="240" w:lineRule="auto"/>
            </w:pPr>
            <w:r>
              <w:rPr>
                <w:rFonts w:ascii="Microsoft YaHei" w:hAnsi="Microsoft YaHei" w:eastAsia="Microsoft YaHei"/>
                <w:b w:val="0"/>
                <w:color w:val="19212A"/>
                <w:sz w:val="14"/>
              </w:rPr>
              <w:t>+0.14%</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4,082.60</w:t>
            </w:r>
          </w:p>
        </w:tc>
        <w:tc>
          <w:tcPr>
            <w:tcW w:type="dxa" w:w="2664"/>
            <w:vAlign w:val="center"/>
            <w:shd w:fill="EAF2F8"/>
          </w:tcPr>
          <w:p>
            <w:pPr>
              <w:spacing w:after="0" w:line="240" w:lineRule="auto"/>
            </w:pPr>
            <w:r>
              <w:rPr>
                <w:rFonts w:ascii="Microsoft YaHei" w:hAnsi="Microsoft YaHei" w:eastAsia="Microsoft YaHei"/>
                <w:b w:val="0"/>
                <w:color w:val="19212A"/>
                <w:sz w:val="14"/>
              </w:rPr>
              <w:t>+1.09%</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100.26</w:t>
            </w:r>
          </w:p>
        </w:tc>
        <w:tc>
          <w:tcPr>
            <w:tcW w:type="dxa" w:w="2664"/>
            <w:vAlign w:val="center"/>
          </w:tcPr>
          <w:p>
            <w:pPr>
              <w:spacing w:after="0" w:line="240" w:lineRule="auto"/>
            </w:pPr>
            <w:r>
              <w:rPr>
                <w:rFonts w:ascii="Microsoft YaHei" w:hAnsi="Microsoft YaHei" w:eastAsia="Microsoft YaHei"/>
                <w:b w:val="0"/>
                <w:color w:val="19212A"/>
                <w:sz w:val="14"/>
              </w:rPr>
              <w:t>-1.47%</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+0.60%、纳指 +1.18%，风险偏好偏弱；DXY +0.35%、10年期收益率 +0.14%，美元与利率仍有压制，黄金 +1.09% 则保留避险/通胀对冲需求。宏观没有给出可以覆盖技术结构的单边优势，因此不在 BTC 处于 POC 80,119 与 VAH 80,934 之间、位于价值区上半部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$303.4bn，提供中期流动性底座，但不能证明今天正在主动买币。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378s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28.4%</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381s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57.6%</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590s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68.3%</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$3.74m</w:t>
            </w:r>
          </w:p>
        </w:tc>
        <w:tc>
          <w:tcPr>
            <w:tcW w:type="dxa" w:w="2131"/>
            <w:vAlign w:val="center"/>
          </w:tcPr>
          <w:p>
            <w:pPr>
              <w:spacing w:after="0" w:line="240" w:lineRule="auto"/>
            </w:pPr>
            <w:r>
              <w:rPr>
                <w:rFonts w:ascii="Microsoft YaHei" w:hAnsi="Microsoft YaHei" w:eastAsia="Microsoft YaHei"/>
                <w:b w:val="0"/>
                <w:color w:val="19212A"/>
                <w:sz w:val="14"/>
              </w:rPr>
              <w:t>$7.03m</w:t>
            </w:r>
          </w:p>
        </w:tc>
        <w:tc>
          <w:tcPr>
            <w:tcW w:type="dxa" w:w="2131"/>
            <w:vAlign w:val="center"/>
          </w:tcPr>
          <w:p>
            <w:pPr>
              <w:spacing w:after="0" w:line="240" w:lineRule="auto"/>
            </w:pPr>
            <w:r>
              <w:rPr>
                <w:rFonts w:ascii="Microsoft YaHei" w:hAnsi="Microsoft YaHei" w:eastAsia="Microsoft YaHei"/>
                <w:b w:val="0"/>
                <w:color w:val="19212A"/>
                <w:sz w:val="14"/>
              </w:rPr>
              <w:t>-30.6%</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$4.41m</w:t>
            </w:r>
          </w:p>
        </w:tc>
        <w:tc>
          <w:tcPr>
            <w:tcW w:type="dxa" w:w="2131"/>
            <w:vAlign w:val="center"/>
            <w:shd w:fill="EAF2F8"/>
          </w:tcPr>
          <w:p>
            <w:pPr>
              <w:spacing w:after="0" w:line="240" w:lineRule="auto"/>
            </w:pPr>
            <w:r>
              <w:rPr>
                <w:rFonts w:ascii="Microsoft YaHei" w:hAnsi="Microsoft YaHei" w:eastAsia="Microsoft YaHei"/>
                <w:b w:val="0"/>
                <w:color w:val="19212A"/>
                <w:sz w:val="14"/>
              </w:rPr>
              <w:t>$6.30m</w:t>
            </w:r>
          </w:p>
        </w:tc>
        <w:tc>
          <w:tcPr>
            <w:tcW w:type="dxa" w:w="2131"/>
            <w:vAlign w:val="center"/>
            <w:shd w:fill="EAF2F8"/>
          </w:tcPr>
          <w:p>
            <w:pPr>
              <w:spacing w:after="0" w:line="240" w:lineRule="auto"/>
            </w:pPr>
            <w:r>
              <w:rPr>
                <w:rFonts w:ascii="Microsoft YaHei" w:hAnsi="Microsoft YaHei" w:eastAsia="Microsoft YaHei"/>
                <w:b w:val="0"/>
                <w:color w:val="19212A"/>
                <w:sz w:val="14"/>
              </w:rPr>
              <w:t>-17.6%</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$1.47m</w:t>
            </w:r>
          </w:p>
        </w:tc>
        <w:tc>
          <w:tcPr>
            <w:tcW w:type="dxa" w:w="2131"/>
            <w:vAlign w:val="center"/>
          </w:tcPr>
          <w:p>
            <w:pPr>
              <w:spacing w:after="0" w:line="240" w:lineRule="auto"/>
            </w:pPr>
            <w:r>
              <w:rPr>
                <w:rFonts w:ascii="Microsoft YaHei" w:hAnsi="Microsoft YaHei" w:eastAsia="Microsoft YaHei"/>
                <w:b w:val="0"/>
                <w:color w:val="19212A"/>
                <w:sz w:val="14"/>
              </w:rPr>
              <w:t>$1.31m</w:t>
            </w:r>
          </w:p>
        </w:tc>
        <w:tc>
          <w:tcPr>
            <w:tcW w:type="dxa" w:w="2131"/>
            <w:vAlign w:val="center"/>
          </w:tcPr>
          <w:p>
            <w:pPr>
              <w:spacing w:after="0" w:line="240" w:lineRule="auto"/>
            </w:pPr>
            <w:r>
              <w:rPr>
                <w:rFonts w:ascii="Microsoft YaHei" w:hAnsi="Microsoft YaHei" w:eastAsia="Microsoft YaHei"/>
                <w:b w:val="0"/>
                <w:color w:val="19212A"/>
                <w:sz w:val="14"/>
              </w:rPr>
              <w:t>+6.1%</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+0.66%</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$2.51bn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0.117/0.117/0.117</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+0.82%</w:t>
            </w:r>
          </w:p>
        </w:tc>
        <w:tc>
          <w:tcPr>
            <w:tcW w:type="dxa" w:w="1522"/>
            <w:vAlign w:val="center"/>
            <w:shd w:fill="EAF2F8"/>
          </w:tcPr>
          <w:p>
            <w:pPr>
              <w:spacing w:after="0" w:line="240" w:lineRule="auto"/>
            </w:pPr>
            <w:r>
              <w:rPr>
                <w:rFonts w:ascii="Microsoft YaHei" w:hAnsi="Microsoft YaHei" w:eastAsia="Microsoft YaHei"/>
                <w:b w:val="0"/>
                <w:color w:val="19212A"/>
                <w:sz w:val="13"/>
              </w:rPr>
              <w:t>+0.0091%</w:t>
            </w:r>
          </w:p>
        </w:tc>
        <w:tc>
          <w:tcPr>
            <w:tcW w:type="dxa" w:w="1522"/>
            <w:vAlign w:val="center"/>
            <w:shd w:fill="EAF2F8"/>
          </w:tcPr>
          <w:p>
            <w:pPr>
              <w:spacing w:after="0" w:line="240" w:lineRule="auto"/>
            </w:pPr>
            <w:r>
              <w:rPr>
                <w:rFonts w:ascii="Microsoft YaHei" w:hAnsi="Microsoft YaHei" w:eastAsia="Microsoft YaHei"/>
                <w:b w:val="0"/>
                <w:color w:val="19212A"/>
                <w:sz w:val="13"/>
              </w:rPr>
              <w:t>$1.50bn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1937.333/1937.333/1937.333</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+0.32%</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$0.33bn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1.539/1.539/1.539</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0.66%、OI 增加 0.00%，最近三小时 Taker 为 0.117、0.117、0.117：价格与OI同步增加更像反弹中的杠杆回补，但末端 Taker 尚未稳定站上1.10，不能直接当成趋势反转。ETH 24小时上涨 0.82%、OI 增加 0.00%；SOL 24小时上涨 0.32%、OI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0.97</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0.50</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0.60</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0.97；ETH 全期限 0.50、近月 0.60。本轮只取得期权持仓结构，没有稳定的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79,920</w:t>
            </w:r>
          </w:p>
        </w:tc>
        <w:tc>
          <w:tcPr>
            <w:tcW w:type="dxa" w:w="1522"/>
            <w:vAlign w:val="center"/>
          </w:tcPr>
          <w:p>
            <w:pPr>
              <w:spacing w:after="0" w:line="240" w:lineRule="auto"/>
            </w:pPr>
            <w:r>
              <w:rPr>
                <w:rFonts w:ascii="Microsoft YaHei" w:hAnsi="Microsoft YaHei" w:eastAsia="Microsoft YaHei"/>
                <w:b w:val="0"/>
                <w:color w:val="19212A"/>
                <w:sz w:val="12"/>
              </w:rPr>
              <w:t>80,119</w:t>
            </w:r>
          </w:p>
        </w:tc>
        <w:tc>
          <w:tcPr>
            <w:tcW w:type="dxa" w:w="1522"/>
            <w:vAlign w:val="center"/>
          </w:tcPr>
          <w:p>
            <w:pPr>
              <w:spacing w:after="0" w:line="240" w:lineRule="auto"/>
            </w:pPr>
            <w:r>
              <w:rPr>
                <w:rFonts w:ascii="Microsoft YaHei" w:hAnsi="Microsoft YaHei" w:eastAsia="Microsoft YaHei"/>
                <w:b w:val="0"/>
                <w:color w:val="19212A"/>
                <w:sz w:val="12"/>
              </w:rPr>
              <w:t>80,934</w:t>
            </w:r>
          </w:p>
        </w:tc>
        <w:tc>
          <w:tcPr>
            <w:tcW w:type="dxa" w:w="1522"/>
            <w:vAlign w:val="center"/>
          </w:tcPr>
          <w:p>
            <w:pPr>
              <w:spacing w:after="0" w:line="240" w:lineRule="auto"/>
            </w:pPr>
            <w:r>
              <w:rPr>
                <w:rFonts w:ascii="Microsoft YaHei" w:hAnsi="Microsoft YaHei" w:eastAsia="Microsoft YaHei"/>
                <w:b w:val="0"/>
                <w:color w:val="19212A"/>
                <w:sz w:val="12"/>
              </w:rPr>
              <w:t>79,920 / 79,420 / 79,920</w:t>
            </w:r>
          </w:p>
        </w:tc>
        <w:tc>
          <w:tcPr>
            <w:tcW w:type="dxa" w:w="1522"/>
            <w:vAlign w:val="center"/>
          </w:tcPr>
          <w:p>
            <w:pPr>
              <w:spacing w:after="0" w:line="240" w:lineRule="auto"/>
            </w:pPr>
            <w:r>
              <w:rPr>
                <w:rFonts w:ascii="Microsoft YaHei" w:hAnsi="Microsoft YaHei" w:eastAsia="Microsoft YaHei"/>
                <w:b w:val="0"/>
                <w:color w:val="19212A"/>
                <w:sz w:val="12"/>
              </w:rPr>
              <w:t>80,934 / 81,434 / 81,369</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2,304</w:t>
            </w:r>
          </w:p>
        </w:tc>
        <w:tc>
          <w:tcPr>
            <w:tcW w:type="dxa" w:w="1522"/>
            <w:vAlign w:val="center"/>
            <w:shd w:fill="EAF2F8"/>
          </w:tcPr>
          <w:p>
            <w:pPr>
              <w:spacing w:after="0" w:line="240" w:lineRule="auto"/>
            </w:pPr>
            <w:r>
              <w:rPr>
                <w:rFonts w:ascii="Microsoft YaHei" w:hAnsi="Microsoft YaHei" w:eastAsia="Microsoft YaHei"/>
                <w:b w:val="0"/>
                <w:color w:val="19212A"/>
                <w:sz w:val="12"/>
              </w:rPr>
              <w:t>2,309</w:t>
            </w:r>
          </w:p>
        </w:tc>
        <w:tc>
          <w:tcPr>
            <w:tcW w:type="dxa" w:w="1522"/>
            <w:vAlign w:val="center"/>
            <w:shd w:fill="EAF2F8"/>
          </w:tcPr>
          <w:p>
            <w:pPr>
              <w:spacing w:after="0" w:line="240" w:lineRule="auto"/>
            </w:pPr>
            <w:r>
              <w:rPr>
                <w:rFonts w:ascii="Microsoft YaHei" w:hAnsi="Microsoft YaHei" w:eastAsia="Microsoft YaHei"/>
                <w:b w:val="0"/>
                <w:color w:val="19212A"/>
                <w:sz w:val="12"/>
              </w:rPr>
              <w:t>2,344</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99.90</w:t>
            </w:r>
          </w:p>
        </w:tc>
        <w:tc>
          <w:tcPr>
            <w:tcW w:type="dxa" w:w="1522"/>
            <w:vAlign w:val="center"/>
          </w:tcPr>
          <w:p>
            <w:pPr>
              <w:spacing w:after="0" w:line="240" w:lineRule="auto"/>
            </w:pPr>
            <w:r>
              <w:rPr>
                <w:rFonts w:ascii="Microsoft YaHei" w:hAnsi="Microsoft YaHei" w:eastAsia="Microsoft YaHei"/>
                <w:b w:val="0"/>
                <w:color w:val="19212A"/>
                <w:sz w:val="12"/>
              </w:rPr>
              <w:t>100.44</w:t>
            </w:r>
          </w:p>
        </w:tc>
        <w:tc>
          <w:tcPr>
            <w:tcW w:type="dxa" w:w="1522"/>
            <w:vAlign w:val="center"/>
          </w:tcPr>
          <w:p>
            <w:pPr>
              <w:spacing w:after="0" w:line="240" w:lineRule="auto"/>
            </w:pPr>
            <w:r>
              <w:rPr>
                <w:rFonts w:ascii="Microsoft YaHei" w:hAnsi="Microsoft YaHei" w:eastAsia="Microsoft YaHei"/>
                <w:b w:val="0"/>
                <w:color w:val="19212A"/>
                <w:sz w:val="12"/>
              </w:rPr>
              <w:t>101.64</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8.7557</w:t>
            </w:r>
          </w:p>
        </w:tc>
        <w:tc>
          <w:tcPr>
            <w:tcW w:type="dxa" w:w="1522"/>
            <w:vAlign w:val="center"/>
            <w:shd w:fill="EAF2F8"/>
          </w:tcPr>
          <w:p>
            <w:pPr>
              <w:spacing w:after="0" w:line="240" w:lineRule="auto"/>
            </w:pPr>
            <w:r>
              <w:rPr>
                <w:rFonts w:ascii="Microsoft YaHei" w:hAnsi="Microsoft YaHei" w:eastAsia="Microsoft YaHei"/>
                <w:b w:val="0"/>
                <w:color w:val="19212A"/>
                <w:sz w:val="12"/>
              </w:rPr>
              <w:t>8.8976</w:t>
            </w:r>
          </w:p>
        </w:tc>
        <w:tc>
          <w:tcPr>
            <w:tcW w:type="dxa" w:w="1522"/>
            <w:vAlign w:val="center"/>
            <w:shd w:fill="EAF2F8"/>
          </w:tcPr>
          <w:p>
            <w:pPr>
              <w:spacing w:after="0" w:line="240" w:lineRule="auto"/>
            </w:pPr>
            <w:r>
              <w:rPr>
                <w:rFonts w:ascii="Microsoft YaHei" w:hAnsi="Microsoft YaHei" w:eastAsia="Microsoft YaHei"/>
                <w:b w:val="0"/>
                <w:color w:val="19212A"/>
                <w:sz w:val="12"/>
              </w:rPr>
              <w:t>8.9629</w:t>
            </w:r>
          </w:p>
        </w:tc>
        <w:tc>
          <w:tcPr>
            <w:tcW w:type="dxa" w:w="1522"/>
            <w:vAlign w:val="center"/>
            <w:shd w:fill="EAF2F8"/>
          </w:tcPr>
          <w:p>
            <w:pPr>
              <w:spacing w:after="0" w:line="240" w:lineRule="auto"/>
            </w:pPr>
            <w:r>
              <w:rPr>
                <w:rFonts w:ascii="Microsoft YaHei" w:hAnsi="Microsoft YaHei" w:eastAsia="Microsoft YaHei"/>
                <w:b w:val="0"/>
                <w:color w:val="19212A"/>
                <w:sz w:val="12"/>
              </w:rPr>
              <w:t>8.6580 / 8.7557</w:t>
            </w:r>
          </w:p>
        </w:tc>
        <w:tc>
          <w:tcPr>
            <w:tcW w:type="dxa" w:w="1522"/>
            <w:vAlign w:val="center"/>
            <w:shd w:fill="EAF2F8"/>
          </w:tcPr>
          <w:p>
            <w:pPr>
              <w:spacing w:after="0" w:line="240" w:lineRule="auto"/>
            </w:pPr>
            <w:r>
              <w:rPr>
                <w:rFonts w:ascii="Microsoft YaHei" w:hAnsi="Microsoft YaHei" w:eastAsia="Microsoft YaHei"/>
                <w:b w:val="0"/>
                <w:color w:val="19212A"/>
                <w:sz w:val="12"/>
              </w:rPr>
              <w:t>8.9629 / 8.9830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1.2783</w:t>
            </w:r>
          </w:p>
        </w:tc>
        <w:tc>
          <w:tcPr>
            <w:tcW w:type="dxa" w:w="1522"/>
            <w:vAlign w:val="center"/>
          </w:tcPr>
          <w:p>
            <w:pPr>
              <w:spacing w:after="0" w:line="240" w:lineRule="auto"/>
            </w:pPr>
            <w:r>
              <w:rPr>
                <w:rFonts w:ascii="Microsoft YaHei" w:hAnsi="Microsoft YaHei" w:eastAsia="Microsoft YaHei"/>
                <w:b w:val="0"/>
                <w:color w:val="19212A"/>
                <w:sz w:val="12"/>
              </w:rPr>
              <w:t>1.2932</w:t>
            </w:r>
          </w:p>
        </w:tc>
        <w:tc>
          <w:tcPr>
            <w:tcW w:type="dxa" w:w="1522"/>
            <w:vAlign w:val="center"/>
          </w:tcPr>
          <w:p>
            <w:pPr>
              <w:spacing w:after="0" w:line="240" w:lineRule="auto"/>
            </w:pPr>
            <w:r>
              <w:rPr>
                <w:rFonts w:ascii="Microsoft YaHei" w:hAnsi="Microsoft YaHei" w:eastAsia="Microsoft YaHei"/>
                <w:b w:val="0"/>
                <w:color w:val="19212A"/>
                <w:sz w:val="12"/>
              </w:rPr>
              <w:t>1.3068</w:t>
            </w:r>
          </w:p>
        </w:tc>
        <w:tc>
          <w:tcPr>
            <w:tcW w:type="dxa" w:w="1522"/>
            <w:vAlign w:val="center"/>
          </w:tcPr>
          <w:p>
            <w:pPr>
              <w:spacing w:after="0" w:line="240" w:lineRule="auto"/>
            </w:pPr>
            <w:r>
              <w:rPr>
                <w:rFonts w:ascii="Microsoft YaHei" w:hAnsi="Microsoft YaHei" w:eastAsia="Microsoft YaHei"/>
                <w:b w:val="0"/>
                <w:color w:val="19212A"/>
                <w:sz w:val="12"/>
              </w:rPr>
              <w:t>1.2905 / 1.2783</w:t>
            </w:r>
          </w:p>
        </w:tc>
        <w:tc>
          <w:tcPr>
            <w:tcW w:type="dxa" w:w="1522"/>
            <w:vAlign w:val="center"/>
          </w:tcPr>
          <w:p>
            <w:pPr>
              <w:spacing w:after="0" w:line="240" w:lineRule="auto"/>
            </w:pPr>
            <w:r>
              <w:rPr>
                <w:rFonts w:ascii="Microsoft YaHei" w:hAnsi="Microsoft YaHei" w:eastAsia="Microsoft YaHei"/>
                <w:b w:val="0"/>
                <w:color w:val="19212A"/>
                <w:sz w:val="12"/>
              </w:rPr>
              <w:t>1.3068 / 1.3342</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79,920 与 VAH 80,934 之间、靠近 POC 80,119，说明价格在正常成交区中部，不自动等于多头或空头；下沿多头本轮未通过第一目标净R:R闸门，上沿 80,834-81,014 失败才有空头条件。AVAX 的 POC 约 8.8976、XRP 的 POC 约 1.2932，只代表这五天成交最密集处。真实全网清算热力图本轮未取得，图中上下方数字只是止损/流动性代理，不代表真实清算金额。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+0.66%</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+0.82%</w:t>
            </w:r>
          </w:p>
        </w:tc>
        <w:tc>
          <w:tcPr>
            <w:tcW w:type="dxa" w:w="2131"/>
            <w:vAlign w:val="center"/>
            <w:shd w:fill="EAF2F8"/>
          </w:tcPr>
          <w:p>
            <w:pPr>
              <w:spacing w:after="0" w:line="240" w:lineRule="auto"/>
            </w:pPr>
            <w:r>
              <w:rPr>
                <w:rFonts w:ascii="Microsoft YaHei" w:hAnsi="Microsoft YaHei" w:eastAsia="Microsoft YaHei"/>
                <w:b w:val="0"/>
                <w:color w:val="19212A"/>
                <w:sz w:val="14"/>
              </w:rPr>
              <w:t>ETH/BTC +0.20%</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+0.32% / -0.26% / +1.52%</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+1.38% / +1.52% / +1.36%</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-0.91pp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-0.26%；OI +0.00%；Funding +0.0093%；Taker 6.544</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+0.86pp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+1.52%；OI +0.00%；Funding +0.0100%；Taker 2.022</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-0.91pp</w:t>
            </w:r>
          </w:p>
        </w:tc>
        <w:tc>
          <w:tcPr>
            <w:tcW w:type="dxa" w:w="2664"/>
            <w:vAlign w:val="center"/>
          </w:tcPr>
          <w:p>
            <w:pPr>
              <w:spacing w:after="0" w:line="240" w:lineRule="auto"/>
            </w:pPr>
            <w:r>
              <w:rPr>
                <w:rFonts w:ascii="Microsoft YaHei" w:hAnsi="Microsoft YaHei" w:eastAsia="Microsoft YaHei"/>
                <w:b w:val="0"/>
                <w:color w:val="19212A"/>
                <w:sz w:val="14"/>
              </w:rPr>
              <w:t>+0.86pp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6.544</w:t>
            </w:r>
          </w:p>
        </w:tc>
        <w:tc>
          <w:tcPr>
            <w:tcW w:type="dxa" w:w="2664"/>
            <w:vAlign w:val="center"/>
          </w:tcPr>
          <w:p>
            <w:pPr>
              <w:spacing w:after="0" w:line="240" w:lineRule="auto"/>
            </w:pPr>
            <w:r>
              <w:rPr>
                <w:rFonts w:ascii="Microsoft YaHei" w:hAnsi="Microsoft YaHei" w:eastAsia="Microsoft YaHei"/>
                <w:b w:val="0"/>
                <w:color w:val="19212A"/>
                <w:sz w:val="14"/>
              </w:rPr>
              <w:t>OI +0.00%，Taker 2.022</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已落地（结果待核验）</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US advance Q3 GDP and September PCE（2026-10-29 20:30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80,834-81,014是否触达；15m/30m能否冲高失败、跌回VAH 80,934下方并形成LH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80,834-81,014是否触达；反弹后能否重新跌回VAL下方并形成LH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OI增加后是否继续；Taker能否从0.117回落并再次转弱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79,920 后收回形成 HL，或上沿 80,834-81,014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2026-10-28T08:21:53.973122+08:00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2026-10-28T08:21:53.973122+08:00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2026-10-28 08:21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2026-10-28T08:21:53.973122+08:00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2026-10-28T08:21:53.973122+08:00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2026-10-28T08:21:53.973122+08:00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2026-10-28T08:21:53.973122+08:00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2026-10-28</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2026-10-28T08:21:53.973122+08:00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2026-10-28</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2026-10-28</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2026-10-28T08:21:53.973122+08:00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2026-10-28</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- 2026-10-28</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