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w:t>
      </w:r>
    </w:p>
    <w:p>
      <w:pPr>
        <w:spacing w:after="160"/>
        <w:jc w:val="center"/>
      </w:pPr>
      <w:r>
        <w:rPr>
          <w:rFonts w:ascii="Microsoft YaHei" w:hAnsi="Microsoft YaHei" w:eastAsia="Microsoft YaHei"/>
          <w:b w:val="0"/>
          <w:color w:val="5A5A5A"/>
          <w:sz w:val="16"/>
        </w:rPr>
        <w:t>2026-10-13 | 市场快照 08:11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2026-10-13T08:11:23.049021+08:00 的 Binance 同轮行情、衍生品、Deribit 期权、Binance/OKX 现货成交带与盘口快照；ETF BTC 最新公开值到 2026-10-07，ETH/SOL 当日值未完整取得，宏观、催化剂与大佬观点核验截止 2026-10-13 08:11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81,555 位于 POC 81,532 上方、接近价值区上半部，不直接追多或追空；今天下沿多头路径因 POC 过近、TP1 净R:R不足而 INVALID，不执行。唯一保留的条件路径是上方 83,027-83,207 冲高受阻后做空。条件卡有效至 2026-10-13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4H区间 / 现价位于价值区中上部</w:t>
            </w:r>
          </w:p>
        </w:tc>
        <w:tc>
          <w:tcPr>
            <w:tcW w:type="dxa" w:w="2131"/>
            <w:vAlign w:val="center"/>
          </w:tcPr>
          <w:p>
            <w:pPr>
              <w:spacing w:after="0" w:line="240" w:lineRule="auto"/>
            </w:pPr>
            <w:r>
              <w:rPr>
                <w:rFonts w:ascii="Microsoft YaHei" w:hAnsi="Microsoft YaHei" w:eastAsia="Microsoft YaHei"/>
                <w:b w:val="0"/>
                <w:color w:val="19212A"/>
                <w:sz w:val="14"/>
              </w:rPr>
              <w:t>下沿多头 INVALID（POC过近）；只保留上沿 83,027-83,207 受阻做空</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81,498-83,127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2,462 收回与 EMA20 2,521，无独立交易卡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2,521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108.81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EMA20 110.31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的4H是区间，ETH/SOL处于过渡，因此当前更准确的描述是‘中线震荡、短线偏弱’，还不是确认的大级别牛市或熊市。今天下沿多头因第一阻力过近而取消，只保留上沿受阻空头条件。</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多（S1/S5）INVALID</w:t>
            </w:r>
          </w:p>
        </w:tc>
        <w:tc>
          <w:tcPr>
            <w:tcW w:type="dxa" w:w="1332"/>
            <w:vAlign w:val="center"/>
          </w:tcPr>
          <w:p>
            <w:pPr>
              <w:spacing w:after="0" w:line="240" w:lineRule="auto"/>
            </w:pPr>
            <w:r>
              <w:rPr>
                <w:rFonts w:ascii="Microsoft YaHei" w:hAnsi="Microsoft YaHei" w:eastAsia="Microsoft YaHei"/>
                <w:b w:val="0"/>
                <w:color w:val="19212A"/>
                <w:sz w:val="12"/>
              </w:rPr>
              <w:t>下沿 81,398-81,548 即使扫低收回也不执行：POC 81,532 距离过近，TP1净R:R不足</w:t>
            </w:r>
          </w:p>
        </w:tc>
        <w:tc>
          <w:tcPr>
            <w:tcW w:type="dxa" w:w="1332"/>
            <w:vAlign w:val="center"/>
          </w:tcPr>
          <w:p>
            <w:pPr>
              <w:spacing w:after="0" w:line="240" w:lineRule="auto"/>
            </w:pPr>
            <w:r>
              <w:rPr>
                <w:rFonts w:ascii="Microsoft YaHei" w:hAnsi="Microsoft YaHei" w:eastAsia="Microsoft YaHei"/>
                <w:b w:val="0"/>
                <w:color w:val="19212A"/>
                <w:sz w:val="12"/>
              </w:rPr>
              <w:t>81,398-81,548 / 81,548</w:t>
            </w:r>
          </w:p>
        </w:tc>
        <w:tc>
          <w:tcPr>
            <w:tcW w:type="dxa" w:w="1332"/>
            <w:vAlign w:val="center"/>
          </w:tcPr>
          <w:p>
            <w:pPr>
              <w:spacing w:after="0" w:line="240" w:lineRule="auto"/>
            </w:pPr>
            <w:r>
              <w:rPr>
                <w:rFonts w:ascii="Microsoft YaHei" w:hAnsi="Microsoft YaHei" w:eastAsia="Microsoft YaHei"/>
                <w:b w:val="0"/>
                <w:color w:val="19212A"/>
                <w:sz w:val="12"/>
              </w:rPr>
              <w:t>80,998</w:t>
            </w:r>
          </w:p>
        </w:tc>
        <w:tc>
          <w:tcPr>
            <w:tcW w:type="dxa" w:w="1332"/>
            <w:vAlign w:val="center"/>
          </w:tcPr>
          <w:p>
            <w:pPr>
              <w:spacing w:after="0" w:line="240" w:lineRule="auto"/>
            </w:pPr>
            <w:r>
              <w:rPr>
                <w:rFonts w:ascii="Microsoft YaHei" w:hAnsi="Microsoft YaHei" w:eastAsia="Microsoft YaHei"/>
                <w:b w:val="0"/>
                <w:color w:val="19212A"/>
                <w:sz w:val="12"/>
              </w:rPr>
              <w:t>81,532 / 83,127</w:t>
            </w:r>
          </w:p>
        </w:tc>
        <w:tc>
          <w:tcPr>
            <w:tcW w:type="dxa" w:w="1332"/>
            <w:vAlign w:val="center"/>
          </w:tcPr>
          <w:p>
            <w:pPr>
              <w:spacing w:after="0" w:line="240" w:lineRule="auto"/>
            </w:pPr>
            <w:r>
              <w:rPr>
                <w:rFonts w:ascii="Microsoft YaHei" w:hAnsi="Microsoft YaHei" w:eastAsia="Microsoft YaHei"/>
                <w:b w:val="0"/>
                <w:color w:val="19212A"/>
                <w:sz w:val="12"/>
              </w:rPr>
              <w:t>TP1 1:-0.18；加权 1:1.30</w:t>
            </w:r>
          </w:p>
        </w:tc>
        <w:tc>
          <w:tcPr>
            <w:tcW w:type="dxa" w:w="1332"/>
            <w:vAlign w:val="center"/>
          </w:tcPr>
          <w:p>
            <w:pPr>
              <w:spacing w:after="0" w:line="240" w:lineRule="auto"/>
            </w:pPr>
            <w:r>
              <w:rPr>
                <w:rFonts w:ascii="Microsoft YaHei" w:hAnsi="Microsoft YaHei" w:eastAsia="Microsoft YaHei"/>
                <w:b w:val="0"/>
                <w:color w:val="19212A"/>
                <w:sz w:val="12"/>
              </w:rPr>
              <w:t>本轮取消；等待价值区重算</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空（S5上沿受阻回落）</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83,027-83,207，15m/30m出现冲高失败、LH并重新跌回 VAH 83,127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83,027-83,207 / 83,207</w:t>
            </w:r>
          </w:p>
        </w:tc>
        <w:tc>
          <w:tcPr>
            <w:tcW w:type="dxa" w:w="1332"/>
            <w:vAlign w:val="center"/>
            <w:shd w:fill="EAF2F8"/>
          </w:tcPr>
          <w:p>
            <w:pPr>
              <w:spacing w:after="0" w:line="240" w:lineRule="auto"/>
            </w:pPr>
            <w:r>
              <w:rPr>
                <w:rFonts w:ascii="Microsoft YaHei" w:hAnsi="Microsoft YaHei" w:eastAsia="Microsoft YaHei"/>
                <w:b w:val="0"/>
                <w:color w:val="19212A"/>
                <w:sz w:val="12"/>
              </w:rPr>
              <w:t>83,627</w:t>
            </w:r>
          </w:p>
        </w:tc>
        <w:tc>
          <w:tcPr>
            <w:tcW w:type="dxa" w:w="1332"/>
            <w:vAlign w:val="center"/>
            <w:shd w:fill="EAF2F8"/>
          </w:tcPr>
          <w:p>
            <w:pPr>
              <w:spacing w:after="0" w:line="240" w:lineRule="auto"/>
            </w:pPr>
            <w:r>
              <w:rPr>
                <w:rFonts w:ascii="Microsoft YaHei" w:hAnsi="Microsoft YaHei" w:eastAsia="Microsoft YaHei"/>
                <w:b w:val="0"/>
                <w:color w:val="19212A"/>
                <w:sz w:val="12"/>
              </w:rPr>
              <w:t>81,532 / 81,498</w:t>
            </w:r>
          </w:p>
        </w:tc>
        <w:tc>
          <w:tcPr>
            <w:tcW w:type="dxa" w:w="1332"/>
            <w:vAlign w:val="center"/>
            <w:shd w:fill="EAF2F8"/>
          </w:tcPr>
          <w:p>
            <w:pPr>
              <w:spacing w:after="0" w:line="240" w:lineRule="auto"/>
            </w:pPr>
            <w:r>
              <w:rPr>
                <w:rFonts w:ascii="Microsoft YaHei" w:hAnsi="Microsoft YaHei" w:eastAsia="Microsoft YaHei"/>
                <w:b w:val="0"/>
                <w:color w:val="19212A"/>
                <w:sz w:val="12"/>
              </w:rPr>
              <w:t>TP1 1:3.03；加权 1:3.07</w:t>
            </w:r>
          </w:p>
        </w:tc>
        <w:tc>
          <w:tcPr>
            <w:tcW w:type="dxa" w:w="1332"/>
            <w:vAlign w:val="center"/>
            <w:shd w:fill="EAF2F8"/>
          </w:tcPr>
          <w:p>
            <w:pPr>
              <w:spacing w:after="0" w:line="240" w:lineRule="auto"/>
            </w:pPr>
            <w:r>
              <w:rPr>
                <w:rFonts w:ascii="Microsoft YaHei" w:hAnsi="Microsoft YaHei" w:eastAsia="Microsoft YaHei"/>
                <w:b w:val="0"/>
                <w:color w:val="19212A"/>
                <w:sz w:val="12"/>
              </w:rPr>
              <w:t>2026-10-13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当前在 POC 81,532 附近，POC 可以理解为最近成交最拥挤的中轴，不是追单位置。今天下沿多头卡因第一阻力过近被取消；只有上方 83,027-83,207 冲高失败、跌回 VAH 下方并形成 LH，才考虑做空。每张有效卡最多0.10%账户风险，只是亏损上限，不是必须用满的目标仓位。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窗口</w:t>
            </w:r>
          </w:p>
        </w:tc>
        <w:tc>
          <w:tcPr>
            <w:tcW w:type="dxa" w:w="1332"/>
            <w:shd w:fill="1F4E78"/>
          </w:tcPr>
          <w:p>
            <w:r>
              <w:rPr>
                <w:rFonts w:ascii="Microsoft YaHei" w:hAnsi="Microsoft YaHei" w:eastAsia="Microsoft YaHei"/>
                <w:b/>
                <w:color w:val="FFFFFF"/>
                <w:sz w:val="13"/>
              </w:rPr>
              <w:t>统计±1σ</w:t>
            </w:r>
          </w:p>
        </w:tc>
        <w:tc>
          <w:tcPr>
            <w:tcW w:type="dxa" w:w="1332"/>
            <w:shd w:fill="1F4E78"/>
          </w:tcPr>
          <w:p>
            <w:r>
              <w:rPr>
                <w:rFonts w:ascii="Microsoft YaHei" w:hAnsi="Microsoft YaHei" w:eastAsia="Microsoft YaHei"/>
                <w:b/>
                <w:color w:val="FFFFFF"/>
                <w:sz w:val="13"/>
              </w:rPr>
              <w:t>条件底带</w:t>
            </w:r>
          </w:p>
        </w:tc>
        <w:tc>
          <w:tcPr>
            <w:tcW w:type="dxa" w:w="1332"/>
            <w:shd w:fill="1F4E78"/>
          </w:tcPr>
          <w:p>
            <w:r>
              <w:rPr>
                <w:rFonts w:ascii="Microsoft YaHei" w:hAnsi="Microsoft YaHei" w:eastAsia="Microsoft YaHei"/>
                <w:b/>
                <w:color w:val="FFFFFF"/>
                <w:sz w:val="13"/>
              </w:rPr>
              <w:t>条件顶带</w:t>
            </w:r>
          </w:p>
        </w:tc>
        <w:tc>
          <w:tcPr>
            <w:tcW w:type="dxa" w:w="1332"/>
            <w:shd w:fill="1F4E78"/>
          </w:tcPr>
          <w:p>
            <w:r>
              <w:rPr>
                <w:rFonts w:ascii="Microsoft YaHei" w:hAnsi="Microsoft YaHei" w:eastAsia="Microsoft YaHei"/>
                <w:b/>
                <w:color w:val="FFFFFF"/>
                <w:sz w:val="13"/>
              </w:rPr>
              <w:t>历史近邻：底/顶/无</w:t>
            </w:r>
          </w:p>
        </w:tc>
        <w:tc>
          <w:tcPr>
            <w:tcW w:type="dxa" w:w="1332"/>
            <w:shd w:fill="1F4E78"/>
          </w:tcPr>
          <w:p>
            <w:r>
              <w:rPr>
                <w:rFonts w:ascii="Microsoft YaHei" w:hAnsi="Microsoft YaHei" w:eastAsia="Microsoft YaHei"/>
                <w:b/>
                <w:color w:val="FFFFFF"/>
                <w:sz w:val="13"/>
              </w:rPr>
              <w:t>双向洗盘</w:t>
            </w:r>
          </w:p>
        </w:tc>
        <w:tc>
          <w:tcPr>
            <w:tcW w:type="dxa" w:w="1332"/>
            <w:shd w:fill="1F4E78"/>
          </w:tcPr>
          <w:p>
            <w:r>
              <w:rPr>
                <w:rFonts w:ascii="Microsoft YaHei" w:hAnsi="Microsoft YaHei" w:eastAsia="Microsoft YaHei"/>
                <w:b/>
                <w:color w:val="FFFFFF"/>
                <w:sz w:val="13"/>
              </w:rPr>
              <w:t>有效N</w:t>
            </w:r>
          </w:p>
        </w:tc>
        <w:tc>
          <w:tcPr>
            <w:tcW w:type="dxa" w:w="1332"/>
            <w:shd w:fill="1F4E78"/>
          </w:tcPr>
          <w:p>
            <w:r>
              <w:rPr>
                <w:rFonts w:ascii="Microsoft YaHei" w:hAnsi="Microsoft YaHei" w:eastAsia="Microsoft YaHei"/>
                <w:b/>
                <w:color w:val="FFFFFF"/>
                <w:sz w:val="13"/>
              </w:rPr>
              <w:t>状态</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24h</w:t>
            </w:r>
          </w:p>
        </w:tc>
        <w:tc>
          <w:tcPr>
            <w:tcW w:type="dxa" w:w="1332"/>
            <w:vAlign w:val="center"/>
          </w:tcPr>
          <w:p>
            <w:pPr>
              <w:spacing w:after="0" w:line="240" w:lineRule="auto"/>
            </w:pPr>
            <w:r>
              <w:rPr>
                <w:rFonts w:ascii="Microsoft YaHei" w:hAnsi="Microsoft YaHei" w:eastAsia="Microsoft YaHei"/>
                <w:b w:val="0"/>
                <w:color w:val="19212A"/>
                <w:sz w:val="13"/>
              </w:rPr>
              <w:t>80,833-82,806</w:t>
            </w:r>
          </w:p>
        </w:tc>
        <w:tc>
          <w:tcPr>
            <w:tcW w:type="dxa" w:w="1332"/>
            <w:vAlign w:val="center"/>
          </w:tcPr>
          <w:p>
            <w:pPr>
              <w:spacing w:after="0" w:line="240" w:lineRule="auto"/>
            </w:pPr>
            <w:r>
              <w:rPr>
                <w:rFonts w:ascii="Microsoft YaHei" w:hAnsi="Microsoft YaHei" w:eastAsia="Microsoft YaHei"/>
                <w:b w:val="0"/>
                <w:color w:val="19212A"/>
                <w:sz w:val="13"/>
              </w:rPr>
              <w:t>80,575-81,539</w:t>
            </w:r>
          </w:p>
        </w:tc>
        <w:tc>
          <w:tcPr>
            <w:tcW w:type="dxa" w:w="1332"/>
            <w:vAlign w:val="center"/>
          </w:tcPr>
          <w:p>
            <w:pPr>
              <w:spacing w:after="0" w:line="240" w:lineRule="auto"/>
            </w:pPr>
            <w:r>
              <w:rPr>
                <w:rFonts w:ascii="Microsoft YaHei" w:hAnsi="Microsoft YaHei" w:eastAsia="Microsoft YaHei"/>
                <w:b w:val="0"/>
                <w:color w:val="19212A"/>
                <w:sz w:val="13"/>
              </w:rPr>
              <w:t>82,128-83,040</w:t>
            </w:r>
          </w:p>
        </w:tc>
        <w:tc>
          <w:tcPr>
            <w:tcW w:type="dxa" w:w="1332"/>
            <w:vAlign w:val="center"/>
          </w:tcPr>
          <w:p>
            <w:pPr>
              <w:spacing w:after="0" w:line="240" w:lineRule="auto"/>
            </w:pPr>
            <w:r>
              <w:rPr>
                <w:rFonts w:ascii="Microsoft YaHei" w:hAnsi="Microsoft YaHei" w:eastAsia="Microsoft YaHei"/>
                <w:b w:val="0"/>
                <w:color w:val="19212A"/>
                <w:sz w:val="13"/>
              </w:rPr>
              <w:t>32.7% / 28.1% / 39.1%</w:t>
            </w:r>
          </w:p>
        </w:tc>
        <w:tc>
          <w:tcPr>
            <w:tcW w:type="dxa" w:w="1332"/>
            <w:vAlign w:val="center"/>
          </w:tcPr>
          <w:p>
            <w:pPr>
              <w:spacing w:after="0" w:line="240" w:lineRule="auto"/>
            </w:pPr>
            <w:r>
              <w:rPr>
                <w:rFonts w:ascii="Microsoft YaHei" w:hAnsi="Microsoft YaHei" w:eastAsia="Microsoft YaHei"/>
                <w:b w:val="0"/>
                <w:color w:val="19212A"/>
                <w:sz w:val="13"/>
              </w:rPr>
              <w:t>4.5%</w:t>
            </w:r>
          </w:p>
        </w:tc>
        <w:tc>
          <w:tcPr>
            <w:tcW w:type="dxa" w:w="1332"/>
            <w:vAlign w:val="center"/>
          </w:tcPr>
          <w:p>
            <w:pPr>
              <w:spacing w:after="0" w:line="240" w:lineRule="auto"/>
            </w:pPr>
            <w:r>
              <w:rPr>
                <w:rFonts w:ascii="Microsoft YaHei" w:hAnsi="Microsoft YaHei" w:eastAsia="Microsoft YaHei"/>
                <w:b w:val="0"/>
                <w:color w:val="19212A"/>
                <w:sz w:val="13"/>
              </w:rPr>
              <w:t>116.1</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shd w:fill="EAF2F8"/>
          </w:tcPr>
          <w:p>
            <w:pPr>
              <w:spacing w:after="0" w:line="240" w:lineRule="auto"/>
            </w:pPr>
            <w:r>
              <w:rPr>
                <w:rFonts w:ascii="Microsoft YaHei" w:hAnsi="Microsoft YaHei" w:eastAsia="Microsoft YaHei"/>
                <w:b w:val="0"/>
                <w:color w:val="19212A"/>
                <w:sz w:val="13"/>
              </w:rPr>
              <w:t>72h</w:t>
            </w:r>
          </w:p>
        </w:tc>
        <w:tc>
          <w:tcPr>
            <w:tcW w:type="dxa" w:w="1332"/>
            <w:vAlign w:val="center"/>
            <w:shd w:fill="EAF2F8"/>
          </w:tcPr>
          <w:p>
            <w:pPr>
              <w:spacing w:after="0" w:line="240" w:lineRule="auto"/>
            </w:pPr>
            <w:r>
              <w:rPr>
                <w:rFonts w:ascii="Microsoft YaHei" w:hAnsi="Microsoft YaHei" w:eastAsia="Microsoft YaHei"/>
                <w:b w:val="0"/>
                <w:color w:val="19212A"/>
                <w:sz w:val="13"/>
              </w:rPr>
              <w:t>80,122-83,540</w:t>
            </w:r>
          </w:p>
        </w:tc>
        <w:tc>
          <w:tcPr>
            <w:tcW w:type="dxa" w:w="1332"/>
            <w:vAlign w:val="center"/>
            <w:shd w:fill="EAF2F8"/>
          </w:tcPr>
          <w:p>
            <w:pPr>
              <w:spacing w:after="0" w:line="240" w:lineRule="auto"/>
            </w:pPr>
            <w:r>
              <w:rPr>
                <w:rFonts w:ascii="Microsoft YaHei" w:hAnsi="Microsoft YaHei" w:eastAsia="Microsoft YaHei"/>
                <w:b w:val="0"/>
                <w:color w:val="19212A"/>
                <w:sz w:val="13"/>
              </w:rPr>
              <w:t>79,959-81,340</w:t>
            </w:r>
          </w:p>
        </w:tc>
        <w:tc>
          <w:tcPr>
            <w:tcW w:type="dxa" w:w="1332"/>
            <w:vAlign w:val="center"/>
            <w:shd w:fill="EAF2F8"/>
          </w:tcPr>
          <w:p>
            <w:pPr>
              <w:spacing w:after="0" w:line="240" w:lineRule="auto"/>
            </w:pPr>
            <w:r>
              <w:rPr>
                <w:rFonts w:ascii="Microsoft YaHei" w:hAnsi="Microsoft YaHei" w:eastAsia="Microsoft YaHei"/>
                <w:b w:val="0"/>
                <w:color w:val="19212A"/>
                <w:sz w:val="13"/>
              </w:rPr>
              <w:t>82,560-84,153</w:t>
            </w:r>
          </w:p>
        </w:tc>
        <w:tc>
          <w:tcPr>
            <w:tcW w:type="dxa" w:w="1332"/>
            <w:vAlign w:val="center"/>
            <w:shd w:fill="EAF2F8"/>
          </w:tcPr>
          <w:p>
            <w:pPr>
              <w:spacing w:after="0" w:line="240" w:lineRule="auto"/>
            </w:pPr>
            <w:r>
              <w:rPr>
                <w:rFonts w:ascii="Microsoft YaHei" w:hAnsi="Microsoft YaHei" w:eastAsia="Microsoft YaHei"/>
                <w:b w:val="0"/>
                <w:color w:val="19212A"/>
                <w:sz w:val="13"/>
              </w:rPr>
              <w:t>43.0% / 39.3% / 17.7%</w:t>
            </w:r>
          </w:p>
        </w:tc>
        <w:tc>
          <w:tcPr>
            <w:tcW w:type="dxa" w:w="1332"/>
            <w:vAlign w:val="center"/>
            <w:shd w:fill="EAF2F8"/>
          </w:tcPr>
          <w:p>
            <w:pPr>
              <w:spacing w:after="0" w:line="240" w:lineRule="auto"/>
            </w:pPr>
            <w:r>
              <w:rPr>
                <w:rFonts w:ascii="Microsoft YaHei" w:hAnsi="Microsoft YaHei" w:eastAsia="Microsoft YaHei"/>
                <w:b w:val="0"/>
                <w:color w:val="19212A"/>
                <w:sz w:val="13"/>
              </w:rPr>
              <w:t>35.8%</w:t>
            </w:r>
          </w:p>
        </w:tc>
        <w:tc>
          <w:tcPr>
            <w:tcW w:type="dxa" w:w="1332"/>
            <w:vAlign w:val="center"/>
            <w:shd w:fill="EAF2F8"/>
          </w:tcPr>
          <w:p>
            <w:pPr>
              <w:spacing w:after="0" w:line="240" w:lineRule="auto"/>
            </w:pPr>
            <w:r>
              <w:rPr>
                <w:rFonts w:ascii="Microsoft YaHei" w:hAnsi="Microsoft YaHei" w:eastAsia="Microsoft YaHei"/>
                <w:b w:val="0"/>
                <w:color w:val="19212A"/>
                <w:sz w:val="13"/>
              </w:rPr>
              <w:t>116.1</w:t>
            </w:r>
          </w:p>
        </w:tc>
        <w:tc>
          <w:tcPr>
            <w:tcW w:type="dxa" w:w="1332"/>
            <w:vAlign w:val="center"/>
            <w:shd w:fill="EAF2F8"/>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7d</w:t>
            </w:r>
          </w:p>
        </w:tc>
        <w:tc>
          <w:tcPr>
            <w:tcW w:type="dxa" w:w="1332"/>
            <w:vAlign w:val="center"/>
          </w:tcPr>
          <w:p>
            <w:pPr>
              <w:spacing w:after="0" w:line="240" w:lineRule="auto"/>
            </w:pPr>
            <w:r>
              <w:rPr>
                <w:rFonts w:ascii="Microsoft YaHei" w:hAnsi="Microsoft YaHei" w:eastAsia="Microsoft YaHei"/>
                <w:b w:val="0"/>
                <w:color w:val="19212A"/>
                <w:sz w:val="13"/>
              </w:rPr>
              <w:t>79,244-84,466</w:t>
            </w:r>
          </w:p>
        </w:tc>
        <w:tc>
          <w:tcPr>
            <w:tcW w:type="dxa" w:w="1332"/>
            <w:vAlign w:val="center"/>
          </w:tcPr>
          <w:p>
            <w:pPr>
              <w:spacing w:after="0" w:line="240" w:lineRule="auto"/>
            </w:pPr>
            <w:r>
              <w:rPr>
                <w:rFonts w:ascii="Microsoft YaHei" w:hAnsi="Microsoft YaHei" w:eastAsia="Microsoft YaHei"/>
                <w:b w:val="0"/>
                <w:color w:val="19212A"/>
                <w:sz w:val="13"/>
              </w:rPr>
              <w:t>78,913-81,152</w:t>
            </w:r>
          </w:p>
        </w:tc>
        <w:tc>
          <w:tcPr>
            <w:tcW w:type="dxa" w:w="1332"/>
            <w:vAlign w:val="center"/>
          </w:tcPr>
          <w:p>
            <w:pPr>
              <w:spacing w:after="0" w:line="240" w:lineRule="auto"/>
            </w:pPr>
            <w:r>
              <w:rPr>
                <w:rFonts w:ascii="Microsoft YaHei" w:hAnsi="Microsoft YaHei" w:eastAsia="Microsoft YaHei"/>
                <w:b w:val="0"/>
                <w:color w:val="19212A"/>
                <w:sz w:val="13"/>
              </w:rPr>
              <w:t>82,971-85,325</w:t>
            </w:r>
          </w:p>
        </w:tc>
        <w:tc>
          <w:tcPr>
            <w:tcW w:type="dxa" w:w="1332"/>
            <w:vAlign w:val="center"/>
          </w:tcPr>
          <w:p>
            <w:pPr>
              <w:spacing w:after="0" w:line="240" w:lineRule="auto"/>
            </w:pPr>
            <w:r>
              <w:rPr>
                <w:rFonts w:ascii="Microsoft YaHei" w:hAnsi="Microsoft YaHei" w:eastAsia="Microsoft YaHei"/>
                <w:b w:val="0"/>
                <w:color w:val="19212A"/>
                <w:sz w:val="13"/>
              </w:rPr>
              <w:t>41.2% / 46.6% / 12.2%</w:t>
            </w:r>
          </w:p>
        </w:tc>
        <w:tc>
          <w:tcPr>
            <w:tcW w:type="dxa" w:w="1332"/>
            <w:vAlign w:val="center"/>
          </w:tcPr>
          <w:p>
            <w:pPr>
              <w:spacing w:after="0" w:line="240" w:lineRule="auto"/>
            </w:pPr>
            <w:r>
              <w:rPr>
                <w:rFonts w:ascii="Microsoft YaHei" w:hAnsi="Microsoft YaHei" w:eastAsia="Microsoft YaHei"/>
                <w:b w:val="0"/>
                <w:color w:val="19212A"/>
                <w:sz w:val="13"/>
              </w:rPr>
              <w:t>57.4%</w:t>
            </w:r>
          </w:p>
        </w:tc>
        <w:tc>
          <w:tcPr>
            <w:tcW w:type="dxa" w:w="1332"/>
            <w:vAlign w:val="center"/>
          </w:tcPr>
          <w:p>
            <w:pPr>
              <w:spacing w:after="0" w:line="240" w:lineRule="auto"/>
            </w:pPr>
            <w:r>
              <w:rPr>
                <w:rFonts w:ascii="Microsoft YaHei" w:hAnsi="Microsoft YaHei" w:eastAsia="Microsoft YaHei"/>
                <w:b w:val="0"/>
                <w:color w:val="19212A"/>
                <w:sz w:val="13"/>
              </w:rPr>
              <w:t>116.0</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这不是胜率。当前统计带只用于说明波动范围，不能把某一个点位当成绝对顶部。今天更重要的是观察上沿 83,027-83,207 是否冲高失败并形成LH；VAL 81,498 即使收回，也因POC过近而暂不构成多头交易条件。</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81,498 / POC 81,532 / VAH 83,127</w:t>
            </w:r>
          </w:p>
        </w:tc>
        <w:tc>
          <w:tcPr>
            <w:tcW w:type="dxa" w:w="2131"/>
            <w:vAlign w:val="center"/>
          </w:tcPr>
          <w:p>
            <w:pPr>
              <w:spacing w:after="0" w:line="240" w:lineRule="auto"/>
            </w:pPr>
            <w:r>
              <w:rPr>
                <w:rFonts w:ascii="Microsoft YaHei" w:hAnsi="Microsoft YaHei" w:eastAsia="Microsoft YaHei"/>
                <w:b w:val="0"/>
                <w:color w:val="19212A"/>
                <w:sz w:val="14"/>
              </w:rPr>
              <w:t>HTF_RANGE + FAILED_BREAKOUT</w:t>
            </w:r>
          </w:p>
        </w:tc>
        <w:tc>
          <w:tcPr>
            <w:tcW w:type="dxa" w:w="2131"/>
            <w:vAlign w:val="center"/>
          </w:tcPr>
          <w:p>
            <w:pPr>
              <w:spacing w:after="0" w:line="240" w:lineRule="auto"/>
            </w:pPr>
            <w:r>
              <w:rPr>
                <w:rFonts w:ascii="Microsoft YaHei" w:hAnsi="Microsoft YaHei" w:eastAsia="Microsoft YaHei"/>
                <w:b w:val="0"/>
                <w:color w:val="19212A"/>
                <w:sz w:val="14"/>
              </w:rPr>
              <w:t>区间中部不追单；下沿多 INVALID；只等上沿受阻空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VAL 2,462 / POC 2,463 / VAH 2,553</w:t>
            </w:r>
          </w:p>
        </w:tc>
        <w:tc>
          <w:tcPr>
            <w:tcW w:type="dxa" w:w="2131"/>
            <w:vAlign w:val="center"/>
            <w:shd w:fill="EAF2F8"/>
          </w:tcPr>
          <w:p>
            <w:pPr>
              <w:spacing w:after="0" w:line="240" w:lineRule="auto"/>
            </w:pPr>
            <w:r>
              <w:rPr>
                <w:rFonts w:ascii="Microsoft YaHei" w:hAnsi="Microsoft YaHei" w:eastAsia="Microsoft YaHei"/>
                <w:b w:val="0"/>
                <w:color w:val="19212A"/>
                <w:sz w:val="14"/>
              </w:rPr>
              <w:t>HTF_TRANSITION + FAILED_BREAKOUT</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108.81 / POC 109.75 / VAH 112.99</w:t>
            </w:r>
          </w:p>
        </w:tc>
        <w:tc>
          <w:tcPr>
            <w:tcW w:type="dxa" w:w="2131"/>
            <w:vAlign w:val="center"/>
          </w:tcPr>
          <w:p>
            <w:pPr>
              <w:spacing w:after="0" w:line="240" w:lineRule="auto"/>
            </w:pPr>
            <w:r>
              <w:rPr>
                <w:rFonts w:ascii="Microsoft YaHei" w:hAnsi="Microsoft YaHei" w:eastAsia="Microsoft YaHei"/>
                <w:b w:val="0"/>
                <w:color w:val="19212A"/>
                <w:sz w:val="14"/>
              </w:rPr>
              <w:t>HTF_TRANSITION + FAILED_BREAKOUT</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-5.21%；DOGE -5.54%；AVAX -8.18%</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81,532 是最近五天成交最密集的价格，可理解为短期筹码最拥挤的‘价格磁铁’；VAL 81,498 是正常震荡区下沿，VAH 83,127 是正常震荡区上沿。BTC 当前在 POC 上方、靠近价值区上半部，但仍未进入上沿执行带，不是自动做多或做空；今天下沿多头因 POC 过近而取消，只等待上沿冲高失败。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81,498后快速收回，卖压减弱并形成HL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本轮24h低点仍在 VAL 上方，尚未触达下沿扫单区</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BTC/ETH处于过渡区，不给趋势回踩卡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下沿多头 INVALID；只保留上沿 83,027-83,207 受阻做空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在 POC 81,532 上方、处于价值区中上部，不能把反弹强度当成追多信号。今天下沿多头因 POC 过近而取消，空头只等上沿 83,027-83,207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S5上沿受阻空；下沿多 INVALID</w:t>
            </w:r>
          </w:p>
        </w:tc>
        <w:tc>
          <w:tcPr>
            <w:tcW w:type="dxa" w:w="710"/>
            <w:vAlign w:val="center"/>
          </w:tcPr>
          <w:p>
            <w:pPr>
              <w:spacing w:after="0" w:line="240" w:lineRule="auto"/>
            </w:pPr>
            <w:r>
              <w:rPr>
                <w:rFonts w:ascii="Microsoft YaHei" w:hAnsi="Microsoft YaHei" w:eastAsia="Microsoft YaHei"/>
                <w:b w:val="0"/>
                <w:color w:val="19212A"/>
                <w:sz w:val="11"/>
              </w:rPr>
              <w:t>HTF_RANGE + RANGE_MIDDLE_UPPER_HALF</w:t>
            </w:r>
          </w:p>
        </w:tc>
        <w:tc>
          <w:tcPr>
            <w:tcW w:type="dxa" w:w="710"/>
            <w:vAlign w:val="center"/>
          </w:tcPr>
          <w:p>
            <w:pPr>
              <w:spacing w:after="0" w:line="240" w:lineRule="auto"/>
            </w:pPr>
            <w:r>
              <w:rPr>
                <w:rFonts w:ascii="Microsoft YaHei" w:hAnsi="Microsoft YaHei" w:eastAsia="Microsoft YaHei"/>
                <w:b w:val="0"/>
                <w:color w:val="19212A"/>
                <w:sz w:val="11"/>
              </w:rPr>
              <w:t>现价位于POC上方、接近价值区上半部；下沿第一阻力过近，只有上沿有合格位置</w:t>
            </w:r>
          </w:p>
        </w:tc>
        <w:tc>
          <w:tcPr>
            <w:tcW w:type="dxa" w:w="710"/>
            <w:vAlign w:val="center"/>
          </w:tcPr>
          <w:p>
            <w:pPr>
              <w:spacing w:after="0" w:line="240" w:lineRule="auto"/>
            </w:pPr>
            <w:r>
              <w:rPr>
                <w:rFonts w:ascii="Microsoft YaHei" w:hAnsi="Microsoft YaHei" w:eastAsia="Microsoft YaHei"/>
                <w:b w:val="0"/>
                <w:color w:val="19212A"/>
                <w:sz w:val="11"/>
              </w:rPr>
              <w:t>空：触及 VAH 83,127 后跌回；现价 81,555</w:t>
            </w:r>
          </w:p>
        </w:tc>
        <w:tc>
          <w:tcPr>
            <w:tcW w:type="dxa" w:w="710"/>
            <w:vAlign w:val="center"/>
          </w:tcPr>
          <w:p>
            <w:pPr>
              <w:spacing w:after="0" w:line="240" w:lineRule="auto"/>
            </w:pPr>
            <w:r>
              <w:rPr>
                <w:rFonts w:ascii="Microsoft YaHei" w:hAnsi="Microsoft YaHei" w:eastAsia="Microsoft YaHei"/>
                <w:b w:val="0"/>
                <w:color w:val="19212A"/>
                <w:sz w:val="11"/>
              </w:rPr>
              <w:t>空 83,147</w:t>
            </w:r>
          </w:p>
        </w:tc>
        <w:tc>
          <w:tcPr>
            <w:tcW w:type="dxa" w:w="710"/>
            <w:vAlign w:val="center"/>
          </w:tcPr>
          <w:p>
            <w:pPr>
              <w:spacing w:after="0" w:line="240" w:lineRule="auto"/>
            </w:pPr>
            <w:r>
              <w:rPr>
                <w:rFonts w:ascii="Microsoft YaHei" w:hAnsi="Microsoft YaHei" w:eastAsia="Microsoft YaHei"/>
                <w:b w:val="0"/>
                <w:color w:val="19212A"/>
                <w:sz w:val="11"/>
              </w:rPr>
              <w:t>空 83,207</w:t>
            </w:r>
          </w:p>
        </w:tc>
        <w:tc>
          <w:tcPr>
            <w:tcW w:type="dxa" w:w="710"/>
            <w:vAlign w:val="center"/>
          </w:tcPr>
          <w:p>
            <w:pPr>
              <w:spacing w:after="0" w:line="240" w:lineRule="auto"/>
            </w:pPr>
            <w:r>
              <w:rPr>
                <w:rFonts w:ascii="Microsoft YaHei" w:hAnsi="Microsoft YaHei" w:eastAsia="Microsoft YaHei"/>
                <w:b w:val="0"/>
                <w:color w:val="19212A"/>
                <w:sz w:val="11"/>
              </w:rPr>
              <w:t>空 83,627</w:t>
            </w:r>
          </w:p>
        </w:tc>
        <w:tc>
          <w:tcPr>
            <w:tcW w:type="dxa" w:w="710"/>
            <w:vAlign w:val="center"/>
          </w:tcPr>
          <w:p>
            <w:pPr>
              <w:spacing w:after="0" w:line="240" w:lineRule="auto"/>
            </w:pPr>
            <w:r>
              <w:rPr>
                <w:rFonts w:ascii="Microsoft YaHei" w:hAnsi="Microsoft YaHei" w:eastAsia="Microsoft YaHei"/>
                <w:b w:val="0"/>
                <w:color w:val="19212A"/>
                <w:sz w:val="11"/>
              </w:rPr>
              <w:t>空看 POC 81,532</w:t>
            </w:r>
          </w:p>
        </w:tc>
        <w:tc>
          <w:tcPr>
            <w:tcW w:type="dxa" w:w="710"/>
            <w:vAlign w:val="center"/>
          </w:tcPr>
          <w:p>
            <w:pPr>
              <w:spacing w:after="0" w:line="240" w:lineRule="auto"/>
            </w:pPr>
            <w:r>
              <w:rPr>
                <w:rFonts w:ascii="Microsoft YaHei" w:hAnsi="Microsoft YaHei" w:eastAsia="Microsoft YaHei"/>
                <w:b w:val="0"/>
                <w:color w:val="19212A"/>
                <w:sz w:val="11"/>
              </w:rPr>
              <w:t>空看 VAL 81,498</w:t>
            </w:r>
          </w:p>
        </w:tc>
        <w:tc>
          <w:tcPr>
            <w:tcW w:type="dxa" w:w="710"/>
            <w:vAlign w:val="center"/>
          </w:tcPr>
          <w:p>
            <w:pPr>
              <w:spacing w:after="0" w:line="240" w:lineRule="auto"/>
            </w:pPr>
            <w:r>
              <w:rPr>
                <w:rFonts w:ascii="Microsoft YaHei" w:hAnsi="Microsoft YaHei" w:eastAsia="Microsoft YaHei"/>
                <w:b w:val="0"/>
                <w:color w:val="19212A"/>
                <w:sz w:val="11"/>
              </w:rPr>
              <w:t>空 1:3.07</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最多0.10%账户风险上限</w:t>
            </w:r>
          </w:p>
        </w:tc>
        <w:tc>
          <w:tcPr>
            <w:tcW w:type="dxa" w:w="710"/>
            <w:vAlign w:val="center"/>
          </w:tcPr>
          <w:p>
            <w:pPr>
              <w:spacing w:after="0" w:line="240" w:lineRule="auto"/>
            </w:pPr>
            <w:r>
              <w:rPr>
                <w:rFonts w:ascii="Microsoft YaHei" w:hAnsi="Microsoft YaHei" w:eastAsia="Microsoft YaHei"/>
                <w:b w:val="0"/>
                <w:color w:val="19212A"/>
                <w:sz w:val="11"/>
              </w:rPr>
              <w:t>跌回VAH下并形成LH</w:t>
            </w:r>
          </w:p>
        </w:tc>
        <w:tc>
          <w:tcPr>
            <w:tcW w:type="dxa" w:w="710"/>
            <w:vAlign w:val="center"/>
          </w:tcPr>
          <w:p>
            <w:pPr>
              <w:spacing w:after="0" w:line="240" w:lineRule="auto"/>
            </w:pPr>
            <w:r>
              <w:rPr>
                <w:rFonts w:ascii="Microsoft YaHei" w:hAnsi="Microsoft YaHei" w:eastAsia="Microsoft YaHei"/>
                <w:b w:val="0"/>
                <w:color w:val="19212A"/>
                <w:sz w:val="11"/>
              </w:rPr>
              <w:t>重新站稳Max Entry即取消；超过Max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仍在中部。下沿多头因 POC 距离过近被取消；只有到上沿 83,027-83,207 并出现受阻、跌回 VAH 下方形成 LH，才从等待进入执行判断；触发后也不能超过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BTC价值区上沿 + S5</w:t>
            </w:r>
          </w:p>
        </w:tc>
        <w:tc>
          <w:tcPr>
            <w:tcW w:type="dxa" w:w="1332"/>
            <w:vAlign w:val="center"/>
          </w:tcPr>
          <w:p>
            <w:pPr>
              <w:spacing w:after="0" w:line="240" w:lineRule="auto"/>
            </w:pPr>
            <w:r>
              <w:rPr>
                <w:rFonts w:ascii="Microsoft YaHei" w:hAnsi="Microsoft YaHei" w:eastAsia="Microsoft YaHei"/>
                <w:b w:val="0"/>
                <w:color w:val="19212A"/>
                <w:sz w:val="13"/>
              </w:rPr>
              <w:t>1</w:t>
            </w:r>
          </w:p>
        </w:tc>
        <w:tc>
          <w:tcPr>
            <w:tcW w:type="dxa" w:w="1332"/>
            <w:vAlign w:val="center"/>
          </w:tcPr>
          <w:p>
            <w:pPr>
              <w:spacing w:after="0" w:line="240" w:lineRule="auto"/>
            </w:pPr>
            <w:r>
              <w:rPr>
                <w:rFonts w:ascii="Microsoft YaHei" w:hAnsi="Microsoft YaHei" w:eastAsia="Microsoft YaHei"/>
                <w:b w:val="0"/>
                <w:color w:val="19212A"/>
                <w:sz w:val="13"/>
              </w:rPr>
              <w:t>BTC上沿受阻空1张条件卡</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下沿多头TP1净R:R不足；ETH/SOL未给更好位置；山寨未形成题材共振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扫描了13个流动标的，只有 BTC 上沿的 S5 受阻做空路径通过位置和动态盈亏比检查。下沿多头因第一阻力过近、TP1净R:R不足而 INVALID；当前空头卡仍未触发，没有模型成交，当前价附近不追单。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S5 下沿收回多 / 上沿受阻空</w:t>
            </w:r>
          </w:p>
        </w:tc>
        <w:tc>
          <w:tcPr>
            <w:tcW w:type="dxa" w:w="888"/>
            <w:vAlign w:val="center"/>
          </w:tcPr>
          <w:p>
            <w:pPr>
              <w:spacing w:after="0" w:line="240" w:lineRule="auto"/>
            </w:pPr>
            <w:r>
              <w:rPr>
                <w:rFonts w:ascii="Microsoft YaHei" w:hAnsi="Microsoft YaHei" w:eastAsia="Microsoft YaHei"/>
                <w:b w:val="0"/>
                <w:color w:val="19212A"/>
                <w:sz w:val="13"/>
              </w:rPr>
              <w:t>HTF_RANGE / RANGE_MIDDLE_UPPER_HALF</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S5_RANGE_EDGE_SWEEP_RECLAIM_REJECTION</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0.50%</w:t>
            </w:r>
          </w:p>
        </w:tc>
        <w:tc>
          <w:tcPr>
            <w:tcW w:type="dxa" w:w="1332"/>
            <w:vAlign w:val="center"/>
          </w:tcPr>
          <w:p>
            <w:pPr>
              <w:spacing w:after="0" w:line="240" w:lineRule="auto"/>
            </w:pPr>
            <w:r>
              <w:rPr>
                <w:rFonts w:ascii="Microsoft YaHei" w:hAnsi="Microsoft YaHei" w:eastAsia="Microsoft YaHei"/>
                <w:b w:val="0"/>
                <w:color w:val="19212A"/>
                <w:sz w:val="13"/>
              </w:rPr>
              <w:t>19.8%</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9.9%-19.8%</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S5上沿受阻空；下沿多 INVALID</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INVALID_LONG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81,498 / POC 81,532 / VAH 83,127，下沿多头因第一阻力过近取消，仅保留上沿空头条件卡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81,498、POC 81,532、VAH 83,127，当前 Regime 为4H区间、执行级别位于中上部；下沿多头因第一阻力过近取消，只保留上沿冲高失败做空。这是按新快照和新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81,555.38 / -2.57%</w:t>
            </w:r>
          </w:p>
        </w:tc>
        <w:tc>
          <w:tcPr>
            <w:tcW w:type="dxa" w:w="1776"/>
            <w:vAlign w:val="center"/>
          </w:tcPr>
          <w:p>
            <w:pPr>
              <w:spacing w:after="0" w:line="240" w:lineRule="auto"/>
            </w:pPr>
            <w:r>
              <w:rPr>
                <w:rFonts w:ascii="Microsoft YaHei" w:hAnsi="Microsoft YaHei" w:eastAsia="Microsoft YaHei"/>
                <w:b w:val="0"/>
                <w:color w:val="19212A"/>
                <w:sz w:val="14"/>
              </w:rPr>
              <w:t>81,498.33 / 81,532.26 / 83,127.05</w:t>
            </w:r>
          </w:p>
        </w:tc>
        <w:tc>
          <w:tcPr>
            <w:tcW w:type="dxa" w:w="1776"/>
            <w:vAlign w:val="center"/>
          </w:tcPr>
          <w:p>
            <w:pPr>
              <w:spacing w:after="0" w:line="240" w:lineRule="auto"/>
            </w:pPr>
            <w:r>
              <w:rPr>
                <w:rFonts w:ascii="Microsoft YaHei" w:hAnsi="Microsoft YaHei" w:eastAsia="Microsoft YaHei"/>
                <w:b w:val="0"/>
                <w:color w:val="19212A"/>
                <w:sz w:val="14"/>
              </w:rPr>
              <w:t>+0.0067%</w:t>
            </w:r>
          </w:p>
        </w:tc>
        <w:tc>
          <w:tcPr>
            <w:tcW w:type="dxa" w:w="1776"/>
            <w:vAlign w:val="center"/>
          </w:tcPr>
          <w:p>
            <w:pPr>
              <w:spacing w:after="0" w:line="240" w:lineRule="auto"/>
            </w:pPr>
            <w:r>
              <w:rPr>
                <w:rFonts w:ascii="Microsoft YaHei" w:hAnsi="Microsoft YaHei" w:eastAsia="Microsoft YaHei"/>
                <w:b w:val="0"/>
                <w:color w:val="19212A"/>
                <w:sz w:val="14"/>
              </w:rPr>
              <w:t>$7.64bn / -1.18%</w:t>
            </w:r>
          </w:p>
        </w:tc>
        <w:tc>
          <w:tcPr>
            <w:tcW w:type="dxa" w:w="1776"/>
            <w:vAlign w:val="center"/>
          </w:tcPr>
          <w:p>
            <w:pPr>
              <w:spacing w:after="0" w:line="240" w:lineRule="auto"/>
            </w:pPr>
            <w:r>
              <w:rPr>
                <w:rFonts w:ascii="Microsoft YaHei" w:hAnsi="Microsoft YaHei" w:eastAsia="Microsoft YaHei"/>
                <w:b w:val="0"/>
                <w:color w:val="19212A"/>
                <w:sz w:val="14"/>
              </w:rPr>
              <w:t>0.840 / 0.738 / 0.705</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2,432.18 / -4.13%</w:t>
            </w:r>
          </w:p>
        </w:tc>
        <w:tc>
          <w:tcPr>
            <w:tcW w:type="dxa" w:w="1776"/>
            <w:vAlign w:val="center"/>
            <w:shd w:fill="EAF2F8"/>
          </w:tcPr>
          <w:p>
            <w:pPr>
              <w:spacing w:after="0" w:line="240" w:lineRule="auto"/>
            </w:pPr>
            <w:r>
              <w:rPr>
                <w:rFonts w:ascii="Microsoft YaHei" w:hAnsi="Microsoft YaHei" w:eastAsia="Microsoft YaHei"/>
                <w:b w:val="0"/>
                <w:color w:val="19212A"/>
                <w:sz w:val="14"/>
              </w:rPr>
              <w:t>2,461.66 / 2,463.29 / 2,552.87</w:t>
            </w:r>
          </w:p>
        </w:tc>
        <w:tc>
          <w:tcPr>
            <w:tcW w:type="dxa" w:w="1776"/>
            <w:vAlign w:val="center"/>
            <w:shd w:fill="EAF2F8"/>
          </w:tcPr>
          <w:p>
            <w:pPr>
              <w:spacing w:after="0" w:line="240" w:lineRule="auto"/>
            </w:pPr>
            <w:r>
              <w:rPr>
                <w:rFonts w:ascii="Microsoft YaHei" w:hAnsi="Microsoft YaHei" w:eastAsia="Microsoft YaHei"/>
                <w:b w:val="0"/>
                <w:color w:val="19212A"/>
                <w:sz w:val="14"/>
              </w:rPr>
              <w:t>+0.0006%</w:t>
            </w:r>
          </w:p>
        </w:tc>
        <w:tc>
          <w:tcPr>
            <w:tcW w:type="dxa" w:w="1776"/>
            <w:vAlign w:val="center"/>
            <w:shd w:fill="EAF2F8"/>
          </w:tcPr>
          <w:p>
            <w:pPr>
              <w:spacing w:after="0" w:line="240" w:lineRule="auto"/>
            </w:pPr>
            <w:r>
              <w:rPr>
                <w:rFonts w:ascii="Microsoft YaHei" w:hAnsi="Microsoft YaHei" w:eastAsia="Microsoft YaHei"/>
                <w:b w:val="0"/>
                <w:color w:val="19212A"/>
                <w:sz w:val="14"/>
              </w:rPr>
              <w:t>$5.57bn / -4.64%</w:t>
            </w:r>
          </w:p>
        </w:tc>
        <w:tc>
          <w:tcPr>
            <w:tcW w:type="dxa" w:w="1776"/>
            <w:vAlign w:val="center"/>
            <w:shd w:fill="EAF2F8"/>
          </w:tcPr>
          <w:p>
            <w:pPr>
              <w:spacing w:after="0" w:line="240" w:lineRule="auto"/>
            </w:pPr>
            <w:r>
              <w:rPr>
                <w:rFonts w:ascii="Microsoft YaHei" w:hAnsi="Microsoft YaHei" w:eastAsia="Microsoft YaHei"/>
                <w:b w:val="0"/>
                <w:color w:val="19212A"/>
                <w:sz w:val="14"/>
              </w:rPr>
              <w:t>0.597 / 0.714 / 0.793</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104.57 / -5.95%</w:t>
            </w:r>
          </w:p>
        </w:tc>
        <w:tc>
          <w:tcPr>
            <w:tcW w:type="dxa" w:w="1776"/>
            <w:vAlign w:val="center"/>
          </w:tcPr>
          <w:p>
            <w:pPr>
              <w:spacing w:after="0" w:line="240" w:lineRule="auto"/>
            </w:pPr>
            <w:r>
              <w:rPr>
                <w:rFonts w:ascii="Microsoft YaHei" w:hAnsi="Microsoft YaHei" w:eastAsia="Microsoft YaHei"/>
                <w:b w:val="0"/>
                <w:color w:val="19212A"/>
                <w:sz w:val="14"/>
              </w:rPr>
              <w:t>108.81 / 109.75 / 112.99</w:t>
            </w:r>
          </w:p>
        </w:tc>
        <w:tc>
          <w:tcPr>
            <w:tcW w:type="dxa" w:w="1776"/>
            <w:vAlign w:val="center"/>
          </w:tcPr>
          <w:p>
            <w:pPr>
              <w:spacing w:after="0" w:line="240" w:lineRule="auto"/>
            </w:pPr>
            <w:r>
              <w:rPr>
                <w:rFonts w:ascii="Microsoft YaHei" w:hAnsi="Microsoft YaHei" w:eastAsia="Microsoft YaHei"/>
                <w:b w:val="0"/>
                <w:color w:val="19212A"/>
                <w:sz w:val="14"/>
              </w:rPr>
              <w:t>+0.0032%</w:t>
            </w:r>
          </w:p>
        </w:tc>
        <w:tc>
          <w:tcPr>
            <w:tcW w:type="dxa" w:w="1776"/>
            <w:vAlign w:val="center"/>
          </w:tcPr>
          <w:p>
            <w:pPr>
              <w:spacing w:after="0" w:line="240" w:lineRule="auto"/>
            </w:pPr>
            <w:r>
              <w:rPr>
                <w:rFonts w:ascii="Microsoft YaHei" w:hAnsi="Microsoft YaHei" w:eastAsia="Microsoft YaHei"/>
                <w:b w:val="0"/>
                <w:color w:val="19212A"/>
                <w:sz w:val="14"/>
              </w:rPr>
              <w:t>$0.92bn / -2.26%</w:t>
            </w:r>
          </w:p>
        </w:tc>
        <w:tc>
          <w:tcPr>
            <w:tcW w:type="dxa" w:w="1776"/>
            <w:vAlign w:val="center"/>
          </w:tcPr>
          <w:p>
            <w:pPr>
              <w:spacing w:after="0" w:line="240" w:lineRule="auto"/>
            </w:pPr>
            <w:r>
              <w:rPr>
                <w:rFonts w:ascii="Microsoft YaHei" w:hAnsi="Microsoft YaHei" w:eastAsia="Microsoft YaHei"/>
                <w:b w:val="0"/>
                <w:color w:val="19212A"/>
                <w:sz w:val="14"/>
              </w:rPr>
              <w:t>0.742 / 0.869 / 0.786</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0.705，今天只有上沿冲高失败形成更低高点，才有空头交易依据；下沿多头要等价值区重算后第一阻力拉开。</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日正常成交区。数据：Binance USDⓈ-M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7,807.24</w:t>
            </w:r>
          </w:p>
        </w:tc>
        <w:tc>
          <w:tcPr>
            <w:tcW w:type="dxa" w:w="2664"/>
            <w:vAlign w:val="center"/>
            <w:shd w:fill="EAF2F8"/>
          </w:tcPr>
          <w:p>
            <w:pPr>
              <w:spacing w:after="0" w:line="240" w:lineRule="auto"/>
            </w:pPr>
            <w:r>
              <w:rPr>
                <w:rFonts w:ascii="Microsoft YaHei" w:hAnsi="Microsoft YaHei" w:eastAsia="Microsoft YaHei"/>
                <w:b w:val="0"/>
                <w:color w:val="19212A"/>
                <w:sz w:val="14"/>
              </w:rPr>
              <w:t>-0.06%</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27,245.90</w:t>
            </w:r>
          </w:p>
        </w:tc>
        <w:tc>
          <w:tcPr>
            <w:tcW w:type="dxa" w:w="2664"/>
            <w:vAlign w:val="center"/>
          </w:tcPr>
          <w:p>
            <w:pPr>
              <w:spacing w:after="0" w:line="240" w:lineRule="auto"/>
            </w:pPr>
            <w:r>
              <w:rPr>
                <w:rFonts w:ascii="Microsoft YaHei" w:hAnsi="Microsoft YaHei" w:eastAsia="Microsoft YaHei"/>
                <w:b w:val="0"/>
                <w:color w:val="19212A"/>
                <w:sz w:val="14"/>
              </w:rPr>
              <w:t>-0.44%</w:t>
            </w:r>
          </w:p>
        </w:tc>
        <w:tc>
          <w:tcPr>
            <w:tcW w:type="dxa" w:w="2664"/>
            <w:vAlign w:val="center"/>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102.54</w:t>
            </w:r>
          </w:p>
        </w:tc>
        <w:tc>
          <w:tcPr>
            <w:tcW w:type="dxa" w:w="2664"/>
            <w:vAlign w:val="center"/>
            <w:shd w:fill="EAF2F8"/>
          </w:tcPr>
          <w:p>
            <w:pPr>
              <w:spacing w:after="0" w:line="240" w:lineRule="auto"/>
            </w:pPr>
            <w:r>
              <w:rPr>
                <w:rFonts w:ascii="Microsoft YaHei" w:hAnsi="Microsoft YaHei" w:eastAsia="Microsoft YaHei"/>
                <w:b w:val="0"/>
                <w:color w:val="19212A"/>
                <w:sz w:val="14"/>
              </w:rPr>
              <w:t>+0.32%</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5.24</w:t>
            </w:r>
          </w:p>
        </w:tc>
        <w:tc>
          <w:tcPr>
            <w:tcW w:type="dxa" w:w="2664"/>
            <w:vAlign w:val="center"/>
          </w:tcPr>
          <w:p>
            <w:pPr>
              <w:spacing w:after="0" w:line="240" w:lineRule="auto"/>
            </w:pPr>
            <w:r>
              <w:rPr>
                <w:rFonts w:ascii="Microsoft YaHei" w:hAnsi="Microsoft YaHei" w:eastAsia="Microsoft YaHei"/>
                <w:b w:val="0"/>
                <w:color w:val="19212A"/>
                <w:sz w:val="14"/>
              </w:rPr>
              <w:t>-0.08%</w:t>
            </w:r>
          </w:p>
        </w:tc>
        <w:tc>
          <w:tcPr>
            <w:tcW w:type="dxa" w:w="2664"/>
            <w:vAlign w:val="center"/>
          </w:tcPr>
          <w:p>
            <w:pPr>
              <w:spacing w:after="0" w:line="240" w:lineRule="auto"/>
            </w:pPr>
            <w:r>
              <w:rPr>
                <w:rFonts w:ascii="Microsoft YaHei" w:hAnsi="Microsoft YaHei" w:eastAsia="Microsoft YaHei"/>
                <w:b w:val="0"/>
                <w:color w:val="19212A"/>
                <w:sz w:val="14"/>
              </w:rPr>
              <w:t>收益率回落，边际缓解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4,194.30</w:t>
            </w:r>
          </w:p>
        </w:tc>
        <w:tc>
          <w:tcPr>
            <w:tcW w:type="dxa" w:w="2664"/>
            <w:vAlign w:val="center"/>
            <w:shd w:fill="EAF2F8"/>
          </w:tcPr>
          <w:p>
            <w:pPr>
              <w:spacing w:after="0" w:line="240" w:lineRule="auto"/>
            </w:pPr>
            <w:r>
              <w:rPr>
                <w:rFonts w:ascii="Microsoft YaHei" w:hAnsi="Microsoft YaHei" w:eastAsia="Microsoft YaHei"/>
                <w:b w:val="0"/>
                <w:color w:val="19212A"/>
                <w:sz w:val="14"/>
              </w:rPr>
              <w:t>-0.52%</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93.23</w:t>
            </w:r>
          </w:p>
        </w:tc>
        <w:tc>
          <w:tcPr>
            <w:tcW w:type="dxa" w:w="2664"/>
            <w:vAlign w:val="center"/>
          </w:tcPr>
          <w:p>
            <w:pPr>
              <w:spacing w:after="0" w:line="240" w:lineRule="auto"/>
            </w:pPr>
            <w:r>
              <w:rPr>
                <w:rFonts w:ascii="Microsoft YaHei" w:hAnsi="Microsoft YaHei" w:eastAsia="Microsoft YaHei"/>
                <w:b w:val="0"/>
                <w:color w:val="19212A"/>
                <w:sz w:val="14"/>
              </w:rPr>
              <w:t>+1.50%</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今天的跨资产信号偏混合：标普和纳指上涨，提供风险偏好支持；但 DXY 与10年期收益率也上行，说明美元和利率仍有压制，黄金上涨又提示避险与通胀对冲需求。宏观没有给出可以覆盖技术结构的单边优势，因此不在 BTC POC 中部猜方向，只等待上沿受阻空；下沿多头因第一阻力过近暂不执行。</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条候选标题，并对SEC、Senate、White House、Saylor、Dalio、BlackRock和Warren相关线索复核。结论是 NO_MATERIAL_CHANGE：不是没有抓取，而是没有新的、足以改变仓位或制度预期的立场变化。</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10-01</w:t>
            </w:r>
          </w:p>
        </w:tc>
        <w:tc>
          <w:tcPr>
            <w:tcW w:type="dxa" w:w="2664"/>
            <w:vAlign w:val="center"/>
          </w:tcPr>
          <w:p>
            <w:pPr>
              <w:spacing w:after="0" w:line="240" w:lineRule="auto"/>
            </w:pPr>
            <w:r>
              <w:rPr>
                <w:rFonts w:ascii="Microsoft YaHei" w:hAnsi="Microsoft YaHei" w:eastAsia="Microsoft YaHei"/>
                <w:b w:val="0"/>
                <w:color w:val="19212A"/>
                <w:sz w:val="14"/>
              </w:rPr>
              <w:t>+102.7m</w:t>
            </w:r>
          </w:p>
        </w:tc>
        <w:tc>
          <w:tcPr>
            <w:tcW w:type="dxa" w:w="2664"/>
            <w:vAlign w:val="center"/>
          </w:tcPr>
          <w:p>
            <w:pPr>
              <w:spacing w:after="0" w:line="240" w:lineRule="auto"/>
            </w:pPr>
            <w:r>
              <w:rPr>
                <w:rFonts w:ascii="Microsoft YaHei" w:hAnsi="Microsoft YaHei" w:eastAsia="Microsoft YaHei"/>
                <w:b w:val="0"/>
                <w:color w:val="19212A"/>
                <w:sz w:val="14"/>
              </w:rPr>
              <w:t>-55.4m</w:t>
            </w:r>
          </w:p>
        </w:tc>
        <w:tc>
          <w:tcPr>
            <w:tcW w:type="dxa" w:w="2664"/>
            <w:vAlign w:val="center"/>
          </w:tcPr>
          <w:p>
            <w:pPr>
              <w:spacing w:after="0" w:line="240" w:lineRule="auto"/>
            </w:pPr>
            <w:r>
              <w:rPr>
                <w:rFonts w:ascii="Microsoft YaHei" w:hAnsi="Microsoft YaHei" w:eastAsia="Microsoft YaHei"/>
                <w:b w:val="0"/>
                <w:color w:val="19212A"/>
                <w:sz w:val="14"/>
              </w:rPr>
              <w:t>-1.1m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10-02</w:t>
            </w:r>
          </w:p>
        </w:tc>
        <w:tc>
          <w:tcPr>
            <w:tcW w:type="dxa" w:w="2664"/>
            <w:vAlign w:val="center"/>
            <w:shd w:fill="EAF2F8"/>
          </w:tcPr>
          <w:p>
            <w:pPr>
              <w:spacing w:after="0" w:line="240" w:lineRule="auto"/>
            </w:pPr>
            <w:r>
              <w:rPr>
                <w:rFonts w:ascii="Microsoft YaHei" w:hAnsi="Microsoft YaHei" w:eastAsia="Microsoft YaHei"/>
                <w:b w:val="0"/>
                <w:color w:val="19212A"/>
                <w:sz w:val="14"/>
              </w:rPr>
              <w:t>+189.9m</w:t>
            </w:r>
          </w:p>
        </w:tc>
        <w:tc>
          <w:tcPr>
            <w:tcW w:type="dxa" w:w="2664"/>
            <w:vAlign w:val="center"/>
            <w:shd w:fill="EAF2F8"/>
          </w:tcPr>
          <w:p>
            <w:pPr>
              <w:spacing w:after="0" w:line="240" w:lineRule="auto"/>
            </w:pPr>
            <w:r>
              <w:rPr>
                <w:rFonts w:ascii="Microsoft YaHei" w:hAnsi="Microsoft YaHei" w:eastAsia="Microsoft YaHei"/>
                <w:b w:val="0"/>
                <w:color w:val="19212A"/>
                <w:sz w:val="14"/>
              </w:rPr>
              <w:t>-37.4m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10-05</w:t>
            </w:r>
          </w:p>
        </w:tc>
        <w:tc>
          <w:tcPr>
            <w:tcW w:type="dxa" w:w="2664"/>
            <w:vAlign w:val="center"/>
          </w:tcPr>
          <w:p>
            <w:pPr>
              <w:spacing w:after="0" w:line="240" w:lineRule="auto"/>
            </w:pPr>
            <w:r>
              <w:rPr>
                <w:rFonts w:ascii="Microsoft YaHei" w:hAnsi="Microsoft YaHei" w:eastAsia="Microsoft YaHei"/>
                <w:b w:val="0"/>
                <w:color w:val="19212A"/>
                <w:sz w:val="14"/>
              </w:rPr>
              <w:t>-89.8m</w:t>
            </w:r>
          </w:p>
        </w:tc>
        <w:tc>
          <w:tcPr>
            <w:tcW w:type="dxa" w:w="2664"/>
            <w:vAlign w:val="center"/>
          </w:tcPr>
          <w:p>
            <w:pPr>
              <w:spacing w:after="0" w:line="240" w:lineRule="auto"/>
            </w:pPr>
            <w:r>
              <w:rPr>
                <w:rFonts w:ascii="Microsoft YaHei" w:hAnsi="Microsoft YaHei" w:eastAsia="Microsoft YaHei"/>
                <w:b w:val="0"/>
                <w:color w:val="19212A"/>
                <w:sz w:val="14"/>
              </w:rPr>
              <w:t>-50.8m</w:t>
            </w:r>
          </w:p>
        </w:tc>
        <w:tc>
          <w:tcPr>
            <w:tcW w:type="dxa" w:w="2664"/>
            <w:vAlign w:val="center"/>
          </w:tcPr>
          <w:p>
            <w:pPr>
              <w:spacing w:after="0" w:line="240" w:lineRule="auto"/>
            </w:pPr>
            <w:r>
              <w:rPr>
                <w:rFonts w:ascii="Microsoft YaHei" w:hAnsi="Microsoft YaHei" w:eastAsia="Microsoft YaHei"/>
                <w:b w:val="0"/>
                <w:color w:val="19212A"/>
                <w:sz w:val="14"/>
              </w:rPr>
              <w:t>-9.2m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10-06</w:t>
            </w:r>
          </w:p>
        </w:tc>
        <w:tc>
          <w:tcPr>
            <w:tcW w:type="dxa" w:w="2664"/>
            <w:vAlign w:val="center"/>
            <w:shd w:fill="EAF2F8"/>
          </w:tcPr>
          <w:p>
            <w:pPr>
              <w:spacing w:after="0" w:line="240" w:lineRule="auto"/>
            </w:pPr>
            <w:r>
              <w:rPr>
                <w:rFonts w:ascii="Microsoft YaHei" w:hAnsi="Microsoft YaHei" w:eastAsia="Microsoft YaHei"/>
                <w:b w:val="0"/>
                <w:color w:val="19212A"/>
                <w:sz w:val="14"/>
              </w:rPr>
              <w:t>-3.2m</w:t>
            </w:r>
          </w:p>
        </w:tc>
        <w:tc>
          <w:tcPr>
            <w:tcW w:type="dxa" w:w="2664"/>
            <w:vAlign w:val="center"/>
            <w:shd w:fill="EAF2F8"/>
          </w:tcPr>
          <w:p>
            <w:pPr>
              <w:spacing w:after="0" w:line="240" w:lineRule="auto"/>
            </w:pPr>
            <w:r>
              <w:rPr>
                <w:rFonts w:ascii="Microsoft YaHei" w:hAnsi="Microsoft YaHei" w:eastAsia="Microsoft YaHei"/>
                <w:b w:val="0"/>
                <w:color w:val="19212A"/>
                <w:sz w:val="14"/>
              </w:rPr>
              <w:t>+0.0m</w:t>
            </w:r>
          </w:p>
        </w:tc>
        <w:tc>
          <w:tcPr>
            <w:tcW w:type="dxa" w:w="2664"/>
            <w:vAlign w:val="center"/>
            <w:shd w:fill="EAF2F8"/>
          </w:tcPr>
          <w:p>
            <w:pPr>
              <w:spacing w:after="0" w:line="240" w:lineRule="auto"/>
            </w:pPr>
            <w:r>
              <w:rPr>
                <w:rFonts w:ascii="Microsoft YaHei" w:hAnsi="Microsoft YaHei" w:eastAsia="Microsoft YaHei"/>
                <w:b w:val="0"/>
                <w:color w:val="19212A"/>
                <w:sz w:val="14"/>
              </w:rPr>
              <w:t>-3.7m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10-07</w:t>
            </w:r>
          </w:p>
        </w:tc>
        <w:tc>
          <w:tcPr>
            <w:tcW w:type="dxa" w:w="2664"/>
            <w:vAlign w:val="center"/>
          </w:tcPr>
          <w:p>
            <w:pPr>
              <w:spacing w:after="0" w:line="240" w:lineRule="auto"/>
            </w:pPr>
            <w:r>
              <w:rPr>
                <w:rFonts w:ascii="Microsoft YaHei" w:hAnsi="Microsoft YaHei" w:eastAsia="Microsoft YaHei"/>
                <w:b w:val="0"/>
                <w:color w:val="19212A"/>
                <w:sz w:val="14"/>
              </w:rPr>
              <w:t>+332.2m</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N/A</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已取得的最近发布日里，BTC ETF合计 +531.8m 美元；ETH -143.6m、SOL -12.7m 仅统计已公布的日子，10月7日 ETH/SOL 尚未完整取得，不能把 N/A 当成零流量。稳定币总供应约 $313.0bn，提供中期流动性底座，但不能证明今天正在主动买币。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个发布日净流。BTC 最新公开值到 10 月 7 日；ETH/SOL 部分日期未公布。来源：公开 ETF 流数据汇总。</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Binance Spot</w:t>
            </w:r>
          </w:p>
        </w:tc>
        <w:tc>
          <w:tcPr>
            <w:tcW w:type="dxa" w:w="1522"/>
            <w:vAlign w:val="center"/>
          </w:tcPr>
          <w:p>
            <w:pPr>
              <w:spacing w:after="0" w:line="240" w:lineRule="auto"/>
            </w:pPr>
            <w:r>
              <w:rPr>
                <w:rFonts w:ascii="Microsoft YaHei" w:hAnsi="Microsoft YaHei" w:eastAsia="Microsoft YaHei"/>
                <w:b w:val="0"/>
                <w:color w:val="19212A"/>
                <w:sz w:val="13"/>
              </w:rPr>
              <w:t>39s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81.8%</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Binance Spot</w:t>
            </w:r>
          </w:p>
        </w:tc>
        <w:tc>
          <w:tcPr>
            <w:tcW w:type="dxa" w:w="1522"/>
            <w:vAlign w:val="center"/>
            <w:shd w:fill="EAF2F8"/>
          </w:tcPr>
          <w:p>
            <w:pPr>
              <w:spacing w:after="0" w:line="240" w:lineRule="auto"/>
            </w:pPr>
            <w:r>
              <w:rPr>
                <w:rFonts w:ascii="Microsoft YaHei" w:hAnsi="Microsoft YaHei" w:eastAsia="Microsoft YaHei"/>
                <w:b w:val="0"/>
                <w:color w:val="19212A"/>
                <w:sz w:val="13"/>
              </w:rPr>
              <w:t>35s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71.0%</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Binance Spot</w:t>
            </w:r>
          </w:p>
        </w:tc>
        <w:tc>
          <w:tcPr>
            <w:tcW w:type="dxa" w:w="1522"/>
            <w:vAlign w:val="center"/>
          </w:tcPr>
          <w:p>
            <w:pPr>
              <w:spacing w:after="0" w:line="240" w:lineRule="auto"/>
            </w:pPr>
            <w:r>
              <w:rPr>
                <w:rFonts w:ascii="Microsoft YaHei" w:hAnsi="Microsoft YaHei" w:eastAsia="Microsoft YaHei"/>
                <w:b w:val="0"/>
                <w:color w:val="19212A"/>
                <w:sz w:val="13"/>
              </w:rPr>
              <w:t>83s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$0.27m / $0.00m</w:t>
            </w:r>
          </w:p>
        </w:tc>
        <w:tc>
          <w:tcPr>
            <w:tcW w:type="dxa" w:w="1522"/>
            <w:vAlign w:val="center"/>
          </w:tcPr>
          <w:p>
            <w:pPr>
              <w:spacing w:after="0" w:line="240" w:lineRule="auto"/>
            </w:pPr>
            <w:r>
              <w:rPr>
                <w:rFonts w:ascii="Microsoft YaHei" w:hAnsi="Microsoft YaHei" w:eastAsia="Microsoft YaHei"/>
                <w:b w:val="0"/>
                <w:color w:val="19212A"/>
                <w:sz w:val="13"/>
              </w:rPr>
              <w:t>$+0.27m</w:t>
            </w:r>
          </w:p>
        </w:tc>
        <w:tc>
          <w:tcPr>
            <w:tcW w:type="dxa" w:w="1522"/>
            <w:vAlign w:val="center"/>
          </w:tcPr>
          <w:p>
            <w:pPr>
              <w:spacing w:after="0" w:line="240" w:lineRule="auto"/>
            </w:pPr>
            <w:r>
              <w:rPr>
                <w:rFonts w:ascii="Microsoft YaHei" w:hAnsi="Microsoft YaHei" w:eastAsia="Microsoft YaHei"/>
                <w:b w:val="0"/>
                <w:color w:val="19212A"/>
                <w:sz w:val="13"/>
              </w:rPr>
              <w:t>68.0%</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$14.00m</w:t>
            </w:r>
          </w:p>
        </w:tc>
        <w:tc>
          <w:tcPr>
            <w:tcW w:type="dxa" w:w="2131"/>
            <w:vAlign w:val="center"/>
          </w:tcPr>
          <w:p>
            <w:pPr>
              <w:spacing w:after="0" w:line="240" w:lineRule="auto"/>
            </w:pPr>
            <w:r>
              <w:rPr>
                <w:rFonts w:ascii="Microsoft YaHei" w:hAnsi="Microsoft YaHei" w:eastAsia="Microsoft YaHei"/>
                <w:b w:val="0"/>
                <w:color w:val="19212A"/>
                <w:sz w:val="14"/>
              </w:rPr>
              <w:t>$12.00m</w:t>
            </w:r>
          </w:p>
        </w:tc>
        <w:tc>
          <w:tcPr>
            <w:tcW w:type="dxa" w:w="2131"/>
            <w:vAlign w:val="center"/>
          </w:tcPr>
          <w:p>
            <w:pPr>
              <w:spacing w:after="0" w:line="240" w:lineRule="auto"/>
            </w:pPr>
            <w:r>
              <w:rPr>
                <w:rFonts w:ascii="Microsoft YaHei" w:hAnsi="Microsoft YaHei" w:eastAsia="Microsoft YaHei"/>
                <w:b w:val="0"/>
                <w:color w:val="19212A"/>
                <w:sz w:val="14"/>
              </w:rPr>
              <w:t>+7.7%</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$7.40m</w:t>
            </w:r>
          </w:p>
        </w:tc>
        <w:tc>
          <w:tcPr>
            <w:tcW w:type="dxa" w:w="2131"/>
            <w:vAlign w:val="center"/>
            <w:shd w:fill="EAF2F8"/>
          </w:tcPr>
          <w:p>
            <w:pPr>
              <w:spacing w:after="0" w:line="240" w:lineRule="auto"/>
            </w:pPr>
            <w:r>
              <w:rPr>
                <w:rFonts w:ascii="Microsoft YaHei" w:hAnsi="Microsoft YaHei" w:eastAsia="Microsoft YaHei"/>
                <w:b w:val="0"/>
                <w:color w:val="19212A"/>
                <w:sz w:val="14"/>
              </w:rPr>
              <w:t>$5.79m</w:t>
            </w:r>
          </w:p>
        </w:tc>
        <w:tc>
          <w:tcPr>
            <w:tcW w:type="dxa" w:w="2131"/>
            <w:vAlign w:val="center"/>
            <w:shd w:fill="EAF2F8"/>
          </w:tcPr>
          <w:p>
            <w:pPr>
              <w:spacing w:after="0" w:line="240" w:lineRule="auto"/>
            </w:pPr>
            <w:r>
              <w:rPr>
                <w:rFonts w:ascii="Microsoft YaHei" w:hAnsi="Microsoft YaHei" w:eastAsia="Microsoft YaHei"/>
                <w:b w:val="0"/>
                <w:color w:val="19212A"/>
                <w:sz w:val="14"/>
              </w:rPr>
              <w:t>+12.2%</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$3.34m</w:t>
            </w:r>
          </w:p>
        </w:tc>
        <w:tc>
          <w:tcPr>
            <w:tcW w:type="dxa" w:w="2131"/>
            <w:vAlign w:val="center"/>
          </w:tcPr>
          <w:p>
            <w:pPr>
              <w:spacing w:after="0" w:line="240" w:lineRule="auto"/>
            </w:pPr>
            <w:r>
              <w:rPr>
                <w:rFonts w:ascii="Microsoft YaHei" w:hAnsi="Microsoft YaHei" w:eastAsia="Microsoft YaHei"/>
                <w:b w:val="0"/>
                <w:color w:val="19212A"/>
                <w:sz w:val="14"/>
              </w:rPr>
              <w:t>$2.08m</w:t>
            </w:r>
          </w:p>
        </w:tc>
        <w:tc>
          <w:tcPr>
            <w:tcW w:type="dxa" w:w="2131"/>
            <w:vAlign w:val="center"/>
          </w:tcPr>
          <w:p>
            <w:pPr>
              <w:spacing w:after="0" w:line="240" w:lineRule="auto"/>
            </w:pPr>
            <w:r>
              <w:rPr>
                <w:rFonts w:ascii="Microsoft YaHei" w:hAnsi="Microsoft YaHei" w:eastAsia="Microsoft YaHei"/>
                <w:b w:val="0"/>
                <w:color w:val="19212A"/>
                <w:sz w:val="14"/>
              </w:rPr>
              <w:t>+23.3%</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1,665 BTC @ $85,681</w:t>
            </w:r>
          </w:p>
        </w:tc>
        <w:tc>
          <w:tcPr>
            <w:tcW w:type="dxa" w:w="2131"/>
            <w:vAlign w:val="center"/>
          </w:tcPr>
          <w:p>
            <w:pPr>
              <w:spacing w:after="0" w:line="240" w:lineRule="auto"/>
            </w:pPr>
            <w:r>
              <w:rPr>
                <w:rFonts w:ascii="Microsoft YaHei" w:hAnsi="Microsoft YaHei" w:eastAsia="Microsoft YaHei"/>
                <w:b w:val="0"/>
                <w:color w:val="19212A"/>
                <w:sz w:val="14"/>
              </w:rPr>
              <w:t>847,666 BTC</w:t>
            </w:r>
          </w:p>
        </w:tc>
        <w:tc>
          <w:tcPr>
            <w:tcW w:type="dxa" w:w="2131"/>
            <w:vAlign w:val="center"/>
          </w:tcPr>
          <w:p>
            <w:pPr>
              <w:spacing w:after="0" w:line="240" w:lineRule="auto"/>
            </w:pPr>
            <w:r>
              <w:rPr>
                <w:rFonts w:ascii="Microsoft YaHei" w:hAnsi="Microsoft YaHei" w:eastAsia="Microsoft YaHei"/>
                <w:b w:val="0"/>
                <w:color w:val="19212A"/>
                <w:sz w:val="14"/>
              </w:rPr>
              <w:t>$63.95bn / $75,437</w:t>
            </w:r>
          </w:p>
        </w:tc>
        <w:tc>
          <w:tcPr>
            <w:tcW w:type="dxa" w:w="2131"/>
            <w:vAlign w:val="center"/>
          </w:tcPr>
          <w:p>
            <w:pPr>
              <w:spacing w:after="0" w:line="240" w:lineRule="auto"/>
            </w:pPr>
            <w:r>
              <w:rPr>
                <w:rFonts w:ascii="Microsoft YaHei" w:hAnsi="Microsoft YaHei" w:eastAsia="Microsoft YaHei"/>
                <w:b w:val="0"/>
                <w:color w:val="19212A"/>
                <w:sz w:val="14"/>
              </w:rPr>
              <w:t>2026-09-28</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Binance 现货短样本中，BTC 主动净额约 +0.44m 美元、买方占比 81.8%，盘口偏差 +7.7%；ETH 主动净额约 +0.37m、买方占比 71.0%，盘口偏差 +12.2%；SOL 末端主动流量仍有修复，但不是持续买盘证据。BTC/ETH 样本显示卖压更明显，标签化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-2.57%</w:t>
            </w:r>
          </w:p>
        </w:tc>
        <w:tc>
          <w:tcPr>
            <w:tcW w:type="dxa" w:w="1522"/>
            <w:vAlign w:val="center"/>
          </w:tcPr>
          <w:p>
            <w:pPr>
              <w:spacing w:after="0" w:line="240" w:lineRule="auto"/>
            </w:pPr>
            <w:r>
              <w:rPr>
                <w:rFonts w:ascii="Microsoft YaHei" w:hAnsi="Microsoft YaHei" w:eastAsia="Microsoft YaHei"/>
                <w:b w:val="0"/>
                <w:color w:val="19212A"/>
                <w:sz w:val="13"/>
              </w:rPr>
              <w:t>+0.0067%</w:t>
            </w:r>
          </w:p>
        </w:tc>
        <w:tc>
          <w:tcPr>
            <w:tcW w:type="dxa" w:w="1522"/>
            <w:vAlign w:val="center"/>
          </w:tcPr>
          <w:p>
            <w:pPr>
              <w:spacing w:after="0" w:line="240" w:lineRule="auto"/>
            </w:pPr>
            <w:r>
              <w:rPr>
                <w:rFonts w:ascii="Microsoft YaHei" w:hAnsi="Microsoft YaHei" w:eastAsia="Microsoft YaHei"/>
                <w:b w:val="0"/>
                <w:color w:val="19212A"/>
                <w:sz w:val="13"/>
              </w:rPr>
              <w:t>$7.64bn</w:t>
            </w:r>
          </w:p>
        </w:tc>
        <w:tc>
          <w:tcPr>
            <w:tcW w:type="dxa" w:w="1522"/>
            <w:vAlign w:val="center"/>
          </w:tcPr>
          <w:p>
            <w:pPr>
              <w:spacing w:after="0" w:line="240" w:lineRule="auto"/>
            </w:pPr>
            <w:r>
              <w:rPr>
                <w:rFonts w:ascii="Microsoft YaHei" w:hAnsi="Microsoft YaHei" w:eastAsia="Microsoft YaHei"/>
                <w:b w:val="0"/>
                <w:color w:val="19212A"/>
                <w:sz w:val="13"/>
              </w:rPr>
              <w:t>-1.18%</w:t>
            </w:r>
          </w:p>
        </w:tc>
        <w:tc>
          <w:tcPr>
            <w:tcW w:type="dxa" w:w="1522"/>
            <w:vAlign w:val="center"/>
          </w:tcPr>
          <w:p>
            <w:pPr>
              <w:spacing w:after="0" w:line="240" w:lineRule="auto"/>
            </w:pPr>
            <w:r>
              <w:rPr>
                <w:rFonts w:ascii="Microsoft YaHei" w:hAnsi="Microsoft YaHei" w:eastAsia="Microsoft YaHei"/>
                <w:b w:val="0"/>
                <w:color w:val="19212A"/>
                <w:sz w:val="13"/>
              </w:rPr>
              <w:t>0.840/0.738/0.705</w:t>
            </w:r>
          </w:p>
        </w:tc>
        <w:tc>
          <w:tcPr>
            <w:tcW w:type="dxa" w:w="1522"/>
            <w:vAlign w:val="center"/>
          </w:tcPr>
          <w:p>
            <w:pPr>
              <w:spacing w:after="0" w:line="240" w:lineRule="auto"/>
            </w:pPr>
            <w:r>
              <w:rPr>
                <w:rFonts w:ascii="Microsoft YaHei" w:hAnsi="Microsoft YaHei" w:eastAsia="Microsoft YaHei"/>
                <w:b w:val="0"/>
                <w:color w:val="19212A"/>
                <w:sz w:val="13"/>
              </w:rPr>
              <w:t>价格跌/OI降，去杠杆进行中，末端Taker转弱</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-4.13%</w:t>
            </w:r>
          </w:p>
        </w:tc>
        <w:tc>
          <w:tcPr>
            <w:tcW w:type="dxa" w:w="1522"/>
            <w:vAlign w:val="center"/>
            <w:shd w:fill="EAF2F8"/>
          </w:tcPr>
          <w:p>
            <w:pPr>
              <w:spacing w:after="0" w:line="240" w:lineRule="auto"/>
            </w:pPr>
            <w:r>
              <w:rPr>
                <w:rFonts w:ascii="Microsoft YaHei" w:hAnsi="Microsoft YaHei" w:eastAsia="Microsoft YaHei"/>
                <w:b w:val="0"/>
                <w:color w:val="19212A"/>
                <w:sz w:val="13"/>
              </w:rPr>
              <w:t>+0.0006%</w:t>
            </w:r>
          </w:p>
        </w:tc>
        <w:tc>
          <w:tcPr>
            <w:tcW w:type="dxa" w:w="1522"/>
            <w:vAlign w:val="center"/>
            <w:shd w:fill="EAF2F8"/>
          </w:tcPr>
          <w:p>
            <w:pPr>
              <w:spacing w:after="0" w:line="240" w:lineRule="auto"/>
            </w:pPr>
            <w:r>
              <w:rPr>
                <w:rFonts w:ascii="Microsoft YaHei" w:hAnsi="Microsoft YaHei" w:eastAsia="Microsoft YaHei"/>
                <w:b w:val="0"/>
                <w:color w:val="19212A"/>
                <w:sz w:val="13"/>
              </w:rPr>
              <w:t>$5.57bn</w:t>
            </w:r>
          </w:p>
        </w:tc>
        <w:tc>
          <w:tcPr>
            <w:tcW w:type="dxa" w:w="1522"/>
            <w:vAlign w:val="center"/>
            <w:shd w:fill="EAF2F8"/>
          </w:tcPr>
          <w:p>
            <w:pPr>
              <w:spacing w:after="0" w:line="240" w:lineRule="auto"/>
            </w:pPr>
            <w:r>
              <w:rPr>
                <w:rFonts w:ascii="Microsoft YaHei" w:hAnsi="Microsoft YaHei" w:eastAsia="Microsoft YaHei"/>
                <w:b w:val="0"/>
                <w:color w:val="19212A"/>
                <w:sz w:val="13"/>
              </w:rPr>
              <w:t>-4.64%</w:t>
            </w:r>
          </w:p>
        </w:tc>
        <w:tc>
          <w:tcPr>
            <w:tcW w:type="dxa" w:w="1522"/>
            <w:vAlign w:val="center"/>
            <w:shd w:fill="EAF2F8"/>
          </w:tcPr>
          <w:p>
            <w:pPr>
              <w:spacing w:after="0" w:line="240" w:lineRule="auto"/>
            </w:pPr>
            <w:r>
              <w:rPr>
                <w:rFonts w:ascii="Microsoft YaHei" w:hAnsi="Microsoft YaHei" w:eastAsia="Microsoft YaHei"/>
                <w:b w:val="0"/>
                <w:color w:val="19212A"/>
                <w:sz w:val="13"/>
              </w:rPr>
              <w:t>0.597/0.714/0.793</w:t>
            </w:r>
          </w:p>
        </w:tc>
        <w:tc>
          <w:tcPr>
            <w:tcW w:type="dxa" w:w="1522"/>
            <w:vAlign w:val="center"/>
            <w:shd w:fill="EAF2F8"/>
          </w:tcPr>
          <w:p>
            <w:pPr>
              <w:spacing w:after="0" w:line="240" w:lineRule="auto"/>
            </w:pPr>
            <w:r>
              <w:rPr>
                <w:rFonts w:ascii="Microsoft YaHei" w:hAnsi="Microsoft YaHei" w:eastAsia="Microsoft YaHei"/>
                <w:b w:val="0"/>
                <w:color w:val="19212A"/>
                <w:sz w:val="13"/>
              </w:rPr>
              <w:t>价格跌/OI降，去杠杆进行中，末端Taker转弱</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-5.95%</w:t>
            </w:r>
          </w:p>
        </w:tc>
        <w:tc>
          <w:tcPr>
            <w:tcW w:type="dxa" w:w="1522"/>
            <w:vAlign w:val="center"/>
          </w:tcPr>
          <w:p>
            <w:pPr>
              <w:spacing w:after="0" w:line="240" w:lineRule="auto"/>
            </w:pPr>
            <w:r>
              <w:rPr>
                <w:rFonts w:ascii="Microsoft YaHei" w:hAnsi="Microsoft YaHei" w:eastAsia="Microsoft YaHei"/>
                <w:b w:val="0"/>
                <w:color w:val="19212A"/>
                <w:sz w:val="13"/>
              </w:rPr>
              <w:t>+0.0032%</w:t>
            </w:r>
          </w:p>
        </w:tc>
        <w:tc>
          <w:tcPr>
            <w:tcW w:type="dxa" w:w="1522"/>
            <w:vAlign w:val="center"/>
          </w:tcPr>
          <w:p>
            <w:pPr>
              <w:spacing w:after="0" w:line="240" w:lineRule="auto"/>
            </w:pPr>
            <w:r>
              <w:rPr>
                <w:rFonts w:ascii="Microsoft YaHei" w:hAnsi="Microsoft YaHei" w:eastAsia="Microsoft YaHei"/>
                <w:b w:val="0"/>
                <w:color w:val="19212A"/>
                <w:sz w:val="13"/>
              </w:rPr>
              <w:t>$0.92bn</w:t>
            </w:r>
          </w:p>
        </w:tc>
        <w:tc>
          <w:tcPr>
            <w:tcW w:type="dxa" w:w="1522"/>
            <w:vAlign w:val="center"/>
          </w:tcPr>
          <w:p>
            <w:pPr>
              <w:spacing w:after="0" w:line="240" w:lineRule="auto"/>
            </w:pPr>
            <w:r>
              <w:rPr>
                <w:rFonts w:ascii="Microsoft YaHei" w:hAnsi="Microsoft YaHei" w:eastAsia="Microsoft YaHei"/>
                <w:b w:val="0"/>
                <w:color w:val="19212A"/>
                <w:sz w:val="13"/>
              </w:rPr>
              <w:t>-2.26%</w:t>
            </w:r>
          </w:p>
        </w:tc>
        <w:tc>
          <w:tcPr>
            <w:tcW w:type="dxa" w:w="1522"/>
            <w:vAlign w:val="center"/>
          </w:tcPr>
          <w:p>
            <w:pPr>
              <w:spacing w:after="0" w:line="240" w:lineRule="auto"/>
            </w:pPr>
            <w:r>
              <w:rPr>
                <w:rFonts w:ascii="Microsoft YaHei" w:hAnsi="Microsoft YaHei" w:eastAsia="Microsoft YaHei"/>
                <w:b w:val="0"/>
                <w:color w:val="19212A"/>
                <w:sz w:val="13"/>
              </w:rPr>
              <w:t>0.742/0.869/0.786</w:t>
            </w:r>
          </w:p>
        </w:tc>
        <w:tc>
          <w:tcPr>
            <w:tcW w:type="dxa" w:w="1522"/>
            <w:vAlign w:val="center"/>
          </w:tcPr>
          <w:p>
            <w:pPr>
              <w:spacing w:after="0" w:line="240" w:lineRule="auto"/>
            </w:pPr>
            <w:r>
              <w:rPr>
                <w:rFonts w:ascii="Microsoft YaHei" w:hAnsi="Microsoft YaHei" w:eastAsia="Microsoft YaHei"/>
                <w:b w:val="0"/>
                <w:color w:val="19212A"/>
                <w:sz w:val="13"/>
              </w:rPr>
              <w:t>价格跌/OI降，去杠杆进行中，末端Taker转弱</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24小时下跌 2.57%、OI 下降 1.18%，最近三小时 Taker 为 0.840、0.738、0.705：价格与OI同步增加更像反弹中的杠杆回补，但末端 Taker 尚未稳定站上1.10，不能直接当成趋势反转。ETH 24小时下跌 4.13%、OI 下降 4.64%；SOL 24小时下跌 5.95%、OI 下降 2.26%。当前更像下跌后的修复与重新加杠杆混合，只有价格重新站回价值区、Taker持续改善且OI扩张不伴随冲高回落，才升级为趋势反转观察。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CVD。来源：Binance USDⓈ-M。</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0.59</w:t>
            </w:r>
          </w:p>
        </w:tc>
        <w:tc>
          <w:tcPr>
            <w:tcW w:type="dxa" w:w="1776"/>
            <w:vAlign w:val="center"/>
          </w:tcPr>
          <w:p>
            <w:pPr>
              <w:spacing w:after="0" w:line="240" w:lineRule="auto"/>
            </w:pPr>
            <w:r>
              <w:rPr>
                <w:rFonts w:ascii="Microsoft YaHei" w:hAnsi="Microsoft YaHei" w:eastAsia="Microsoft YaHei"/>
                <w:b w:val="0"/>
                <w:color w:val="19212A"/>
                <w:sz w:val="14"/>
              </w:rPr>
              <w:t>13OCT26</w:t>
            </w:r>
          </w:p>
        </w:tc>
        <w:tc>
          <w:tcPr>
            <w:tcW w:type="dxa" w:w="1776"/>
            <w:vAlign w:val="center"/>
          </w:tcPr>
          <w:p>
            <w:pPr>
              <w:spacing w:after="0" w:line="240" w:lineRule="auto"/>
            </w:pPr>
            <w:r>
              <w:rPr>
                <w:rFonts w:ascii="Microsoft YaHei" w:hAnsi="Microsoft YaHei" w:eastAsia="Microsoft YaHei"/>
                <w:b w:val="0"/>
                <w:color w:val="19212A"/>
                <w:sz w:val="14"/>
              </w:rPr>
              <w:t>1.39</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0.52</w:t>
            </w:r>
          </w:p>
        </w:tc>
        <w:tc>
          <w:tcPr>
            <w:tcW w:type="dxa" w:w="1776"/>
            <w:vAlign w:val="center"/>
            <w:shd w:fill="EAF2F8"/>
          </w:tcPr>
          <w:p>
            <w:pPr>
              <w:spacing w:after="0" w:line="240" w:lineRule="auto"/>
            </w:pPr>
            <w:r>
              <w:rPr>
                <w:rFonts w:ascii="Microsoft YaHei" w:hAnsi="Microsoft YaHei" w:eastAsia="Microsoft YaHei"/>
                <w:b w:val="0"/>
                <w:color w:val="19212A"/>
                <w:sz w:val="14"/>
              </w:rPr>
              <w:t>13OCT26</w:t>
            </w:r>
          </w:p>
        </w:tc>
        <w:tc>
          <w:tcPr>
            <w:tcW w:type="dxa" w:w="1776"/>
            <w:vAlign w:val="center"/>
            <w:shd w:fill="EAF2F8"/>
          </w:tcPr>
          <w:p>
            <w:pPr>
              <w:spacing w:after="0" w:line="240" w:lineRule="auto"/>
            </w:pPr>
            <w:r>
              <w:rPr>
                <w:rFonts w:ascii="Microsoft YaHei" w:hAnsi="Microsoft YaHei" w:eastAsia="Microsoft YaHei"/>
                <w:b w:val="0"/>
                <w:color w:val="19212A"/>
                <w:sz w:val="14"/>
              </w:rPr>
              <w:t>0.70</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0.59、近月 1.39；ETH 全期限 0.52、近月 0.70。本轮只取得期权持仓结构，没有稳定的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81,498</w:t>
            </w:r>
          </w:p>
        </w:tc>
        <w:tc>
          <w:tcPr>
            <w:tcW w:type="dxa" w:w="1522"/>
            <w:vAlign w:val="center"/>
          </w:tcPr>
          <w:p>
            <w:pPr>
              <w:spacing w:after="0" w:line="240" w:lineRule="auto"/>
            </w:pPr>
            <w:r>
              <w:rPr>
                <w:rFonts w:ascii="Microsoft YaHei" w:hAnsi="Microsoft YaHei" w:eastAsia="Microsoft YaHei"/>
                <w:b w:val="0"/>
                <w:color w:val="19212A"/>
                <w:sz w:val="12"/>
              </w:rPr>
              <w:t>81,532</w:t>
            </w:r>
          </w:p>
        </w:tc>
        <w:tc>
          <w:tcPr>
            <w:tcW w:type="dxa" w:w="1522"/>
            <w:vAlign w:val="center"/>
          </w:tcPr>
          <w:p>
            <w:pPr>
              <w:spacing w:after="0" w:line="240" w:lineRule="auto"/>
            </w:pPr>
            <w:r>
              <w:rPr>
                <w:rFonts w:ascii="Microsoft YaHei" w:hAnsi="Microsoft YaHei" w:eastAsia="Microsoft YaHei"/>
                <w:b w:val="0"/>
                <w:color w:val="19212A"/>
                <w:sz w:val="12"/>
              </w:rPr>
              <w:t>83,127</w:t>
            </w:r>
          </w:p>
        </w:tc>
        <w:tc>
          <w:tcPr>
            <w:tcW w:type="dxa" w:w="1522"/>
            <w:vAlign w:val="center"/>
          </w:tcPr>
          <w:p>
            <w:pPr>
              <w:spacing w:after="0" w:line="240" w:lineRule="auto"/>
            </w:pPr>
            <w:r>
              <w:rPr>
                <w:rFonts w:ascii="Microsoft YaHei" w:hAnsi="Microsoft YaHei" w:eastAsia="Microsoft YaHei"/>
                <w:b w:val="0"/>
                <w:color w:val="19212A"/>
                <w:sz w:val="12"/>
              </w:rPr>
              <w:t>81,498 / 80,998 / 81,498</w:t>
            </w:r>
          </w:p>
        </w:tc>
        <w:tc>
          <w:tcPr>
            <w:tcW w:type="dxa" w:w="1522"/>
            <w:vAlign w:val="center"/>
          </w:tcPr>
          <w:p>
            <w:pPr>
              <w:spacing w:after="0" w:line="240" w:lineRule="auto"/>
            </w:pPr>
            <w:r>
              <w:rPr>
                <w:rFonts w:ascii="Microsoft YaHei" w:hAnsi="Microsoft YaHei" w:eastAsia="Microsoft YaHei"/>
                <w:b w:val="0"/>
                <w:color w:val="19212A"/>
                <w:sz w:val="12"/>
              </w:rPr>
              <w:t>83,127 / 83,627 / 84,077</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2,462</w:t>
            </w:r>
          </w:p>
        </w:tc>
        <w:tc>
          <w:tcPr>
            <w:tcW w:type="dxa" w:w="1522"/>
            <w:vAlign w:val="center"/>
            <w:shd w:fill="EAF2F8"/>
          </w:tcPr>
          <w:p>
            <w:pPr>
              <w:spacing w:after="0" w:line="240" w:lineRule="auto"/>
            </w:pPr>
            <w:r>
              <w:rPr>
                <w:rFonts w:ascii="Microsoft YaHei" w:hAnsi="Microsoft YaHei" w:eastAsia="Microsoft YaHei"/>
                <w:b w:val="0"/>
                <w:color w:val="19212A"/>
                <w:sz w:val="12"/>
              </w:rPr>
              <w:t>2,463</w:t>
            </w:r>
          </w:p>
        </w:tc>
        <w:tc>
          <w:tcPr>
            <w:tcW w:type="dxa" w:w="1522"/>
            <w:vAlign w:val="center"/>
            <w:shd w:fill="EAF2F8"/>
          </w:tcPr>
          <w:p>
            <w:pPr>
              <w:spacing w:after="0" w:line="240" w:lineRule="auto"/>
            </w:pPr>
            <w:r>
              <w:rPr>
                <w:rFonts w:ascii="Microsoft YaHei" w:hAnsi="Microsoft YaHei" w:eastAsia="Microsoft YaHei"/>
                <w:b w:val="0"/>
                <w:color w:val="19212A"/>
                <w:sz w:val="12"/>
              </w:rPr>
              <w:t>2,553</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108.81</w:t>
            </w:r>
          </w:p>
        </w:tc>
        <w:tc>
          <w:tcPr>
            <w:tcW w:type="dxa" w:w="1522"/>
            <w:vAlign w:val="center"/>
          </w:tcPr>
          <w:p>
            <w:pPr>
              <w:spacing w:after="0" w:line="240" w:lineRule="auto"/>
            </w:pPr>
            <w:r>
              <w:rPr>
                <w:rFonts w:ascii="Microsoft YaHei" w:hAnsi="Microsoft YaHei" w:eastAsia="Microsoft YaHei"/>
                <w:b w:val="0"/>
                <w:color w:val="19212A"/>
                <w:sz w:val="12"/>
              </w:rPr>
              <w:t>109.75</w:t>
            </w:r>
          </w:p>
        </w:tc>
        <w:tc>
          <w:tcPr>
            <w:tcW w:type="dxa" w:w="1522"/>
            <w:vAlign w:val="center"/>
          </w:tcPr>
          <w:p>
            <w:pPr>
              <w:spacing w:after="0" w:line="240" w:lineRule="auto"/>
            </w:pPr>
            <w:r>
              <w:rPr>
                <w:rFonts w:ascii="Microsoft YaHei" w:hAnsi="Microsoft YaHei" w:eastAsia="Microsoft YaHei"/>
                <w:b w:val="0"/>
                <w:color w:val="19212A"/>
                <w:sz w:val="12"/>
              </w:rPr>
              <w:t>112.99</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10.0330</w:t>
            </w:r>
          </w:p>
        </w:tc>
        <w:tc>
          <w:tcPr>
            <w:tcW w:type="dxa" w:w="1522"/>
            <w:vAlign w:val="center"/>
            <w:shd w:fill="EAF2F8"/>
          </w:tcPr>
          <w:p>
            <w:pPr>
              <w:spacing w:after="0" w:line="240" w:lineRule="auto"/>
            </w:pPr>
            <w:r>
              <w:rPr>
                <w:rFonts w:ascii="Microsoft YaHei" w:hAnsi="Microsoft YaHei" w:eastAsia="Microsoft YaHei"/>
                <w:b w:val="0"/>
                <w:color w:val="19212A"/>
                <w:sz w:val="12"/>
              </w:rPr>
              <w:t>10.1444</w:t>
            </w:r>
          </w:p>
        </w:tc>
        <w:tc>
          <w:tcPr>
            <w:tcW w:type="dxa" w:w="1522"/>
            <w:vAlign w:val="center"/>
            <w:shd w:fill="EAF2F8"/>
          </w:tcPr>
          <w:p>
            <w:pPr>
              <w:spacing w:after="0" w:line="240" w:lineRule="auto"/>
            </w:pPr>
            <w:r>
              <w:rPr>
                <w:rFonts w:ascii="Microsoft YaHei" w:hAnsi="Microsoft YaHei" w:eastAsia="Microsoft YaHei"/>
                <w:b w:val="0"/>
                <w:color w:val="19212A"/>
                <w:sz w:val="12"/>
              </w:rPr>
              <w:t>10.8501</w:t>
            </w:r>
          </w:p>
        </w:tc>
        <w:tc>
          <w:tcPr>
            <w:tcW w:type="dxa" w:w="1522"/>
            <w:vAlign w:val="center"/>
            <w:shd w:fill="EAF2F8"/>
          </w:tcPr>
          <w:p>
            <w:pPr>
              <w:spacing w:after="0" w:line="240" w:lineRule="auto"/>
            </w:pPr>
            <w:r>
              <w:rPr>
                <w:rFonts w:ascii="Microsoft YaHei" w:hAnsi="Microsoft YaHei" w:eastAsia="Microsoft YaHei"/>
                <w:b w:val="0"/>
                <w:color w:val="19212A"/>
                <w:sz w:val="12"/>
              </w:rPr>
              <w:t>9.9820 / 10.0330</w:t>
            </w:r>
          </w:p>
        </w:tc>
        <w:tc>
          <w:tcPr>
            <w:tcW w:type="dxa" w:w="1522"/>
            <w:vAlign w:val="center"/>
            <w:shd w:fill="EAF2F8"/>
          </w:tcPr>
          <w:p>
            <w:pPr>
              <w:spacing w:after="0" w:line="240" w:lineRule="auto"/>
            </w:pPr>
            <w:r>
              <w:rPr>
                <w:rFonts w:ascii="Microsoft YaHei" w:hAnsi="Microsoft YaHei" w:eastAsia="Microsoft YaHei"/>
                <w:b w:val="0"/>
                <w:color w:val="19212A"/>
                <w:sz w:val="12"/>
              </w:rPr>
              <w:t>10.8501 / 11.1100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1.3751</w:t>
            </w:r>
          </w:p>
        </w:tc>
        <w:tc>
          <w:tcPr>
            <w:tcW w:type="dxa" w:w="1522"/>
            <w:vAlign w:val="center"/>
          </w:tcPr>
          <w:p>
            <w:pPr>
              <w:spacing w:after="0" w:line="240" w:lineRule="auto"/>
            </w:pPr>
            <w:r>
              <w:rPr>
                <w:rFonts w:ascii="Microsoft YaHei" w:hAnsi="Microsoft YaHei" w:eastAsia="Microsoft YaHei"/>
                <w:b w:val="0"/>
                <w:color w:val="19212A"/>
                <w:sz w:val="12"/>
              </w:rPr>
              <w:t>1.4023</w:t>
            </w:r>
          </w:p>
        </w:tc>
        <w:tc>
          <w:tcPr>
            <w:tcW w:type="dxa" w:w="1522"/>
            <w:vAlign w:val="center"/>
          </w:tcPr>
          <w:p>
            <w:pPr>
              <w:spacing w:after="0" w:line="240" w:lineRule="auto"/>
            </w:pPr>
            <w:r>
              <w:rPr>
                <w:rFonts w:ascii="Microsoft YaHei" w:hAnsi="Microsoft YaHei" w:eastAsia="Microsoft YaHei"/>
                <w:b w:val="0"/>
                <w:color w:val="19212A"/>
                <w:sz w:val="12"/>
              </w:rPr>
              <w:t>1.4221</w:t>
            </w:r>
          </w:p>
        </w:tc>
        <w:tc>
          <w:tcPr>
            <w:tcW w:type="dxa" w:w="1522"/>
            <w:vAlign w:val="center"/>
          </w:tcPr>
          <w:p>
            <w:pPr>
              <w:spacing w:after="0" w:line="240" w:lineRule="auto"/>
            </w:pPr>
            <w:r>
              <w:rPr>
                <w:rFonts w:ascii="Microsoft YaHei" w:hAnsi="Microsoft YaHei" w:eastAsia="Microsoft YaHei"/>
                <w:b w:val="0"/>
                <w:color w:val="19212A"/>
                <w:sz w:val="12"/>
              </w:rPr>
              <w:t>1.3262 / 1.3751</w:t>
            </w:r>
          </w:p>
        </w:tc>
        <w:tc>
          <w:tcPr>
            <w:tcW w:type="dxa" w:w="1522"/>
            <w:vAlign w:val="center"/>
          </w:tcPr>
          <w:p>
            <w:pPr>
              <w:spacing w:after="0" w:line="240" w:lineRule="auto"/>
            </w:pPr>
            <w:r>
              <w:rPr>
                <w:rFonts w:ascii="Microsoft YaHei" w:hAnsi="Microsoft YaHei" w:eastAsia="Microsoft YaHei"/>
                <w:b w:val="0"/>
                <w:color w:val="19212A"/>
                <w:sz w:val="12"/>
              </w:rPr>
              <w:t>1.4221 / 1.4209</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81,498 与 VAH 83,127 之间、靠近 POC 81,532，说明价格在正常成交区中部，不自动等于多头或空头；下沿扫低收回才有多头条件，上沿 83,027-83,207 失败才有空头条件。AVAX 的 POC 约 10.1444、XRP 的 POC 约 1.4023，只代表这五天成交最密集处。真实全网清算热力图本轮未取得，图中上下方数字只是止损/流动性代理，不代表真实清算金额。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-2.57%</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-4.13%</w:t>
            </w:r>
          </w:p>
        </w:tc>
        <w:tc>
          <w:tcPr>
            <w:tcW w:type="dxa" w:w="2131"/>
            <w:vAlign w:val="center"/>
            <w:shd w:fill="EAF2F8"/>
          </w:tcPr>
          <w:p>
            <w:pPr>
              <w:spacing w:after="0" w:line="240" w:lineRule="auto"/>
            </w:pPr>
            <w:r>
              <w:rPr>
                <w:rFonts w:ascii="Microsoft YaHei" w:hAnsi="Microsoft YaHei" w:eastAsia="Microsoft YaHei"/>
                <w:b w:val="0"/>
                <w:color w:val="19212A"/>
                <w:sz w:val="14"/>
              </w:rPr>
              <w:t>ETH/BTC -1.66%</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-5.95% / -8.18% / -5.21%</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-6.69% / -5.21% / -5.54%</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-5.62pp</w:t>
            </w:r>
          </w:p>
        </w:tc>
        <w:tc>
          <w:tcPr>
            <w:tcW w:type="dxa" w:w="1776"/>
            <w:vAlign w:val="center"/>
          </w:tcPr>
          <w:p>
            <w:pPr>
              <w:spacing w:after="0" w:line="240" w:lineRule="auto"/>
            </w:pPr>
            <w:r>
              <w:rPr>
                <w:rFonts w:ascii="Microsoft YaHei" w:hAnsi="Microsoft YaHei" w:eastAsia="Microsoft YaHei"/>
                <w:b w:val="0"/>
                <w:color w:val="19212A"/>
                <w:sz w:val="13"/>
              </w:rPr>
              <w:t>TVL $642.5m；7d +1.85%；DEX量7d -4.76%；费用未取得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-8.18%；OI -10.37%；Funding -0.0011%；Taker 0.804</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-2.65pp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-5.21%；OI -2.42%；Funding -0.0065%；Taker 0.872</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-5.62pp</w:t>
            </w:r>
          </w:p>
        </w:tc>
        <w:tc>
          <w:tcPr>
            <w:tcW w:type="dxa" w:w="2664"/>
            <w:vAlign w:val="center"/>
          </w:tcPr>
          <w:p>
            <w:pPr>
              <w:spacing w:after="0" w:line="240" w:lineRule="auto"/>
            </w:pPr>
            <w:r>
              <w:rPr>
                <w:rFonts w:ascii="Microsoft YaHei" w:hAnsi="Microsoft YaHei" w:eastAsia="Microsoft YaHei"/>
                <w:b w:val="0"/>
                <w:color w:val="19212A"/>
                <w:sz w:val="14"/>
              </w:rPr>
              <w:t>-2.65pp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-10.37%，Taker 0.804</w:t>
            </w:r>
          </w:p>
        </w:tc>
        <w:tc>
          <w:tcPr>
            <w:tcW w:type="dxa" w:w="2664"/>
            <w:vAlign w:val="center"/>
          </w:tcPr>
          <w:p>
            <w:pPr>
              <w:spacing w:after="0" w:line="240" w:lineRule="auto"/>
            </w:pPr>
            <w:r>
              <w:rPr>
                <w:rFonts w:ascii="Microsoft YaHei" w:hAnsi="Microsoft YaHei" w:eastAsia="Microsoft YaHei"/>
                <w:b w:val="0"/>
                <w:color w:val="19212A"/>
                <w:sz w:val="14"/>
              </w:rPr>
              <w:t>OI -2.42%，Taker 0.872</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S5 条件卡没有可核验成交，所以没有模型交易，也不能计入 Kelly。今天下沿多头因第一阻力过近取消，只保留‘反弹失败做空’路径；有效卡的最大风险预算仍是0.10%，不是要求必须用满的目标仓位。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around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next meeting October 27-28</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2026-10-29 20:30</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BEA 2026 release calendar</w:t>
            </w:r>
          </w:p>
        </w:tc>
        <w:tc>
          <w:tcPr>
            <w:tcW w:type="dxa" w:w="1066"/>
            <w:vAlign w:val="center"/>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2026-09-16 completed</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shd w:fill="EAF2F8"/>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shd w:fill="EAF2F8"/>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已发生或计划日期已过去的事件不会因为当天没有新消息就从时间线消失；报告把它们标为‘已落地’，并单独写首次确认时间和本次是否新增。10月13日 Solana staking rewards、10月8日稳定币与10月9日 MOVE 解锁的计划时间都已过去，但本轮没有取得实际结果，因此保留为已落地事件而不是重新列为待公布。下一项正式宏观节点是10月14日CPI；CLARITY投票结果没有新日期，只保留历史结果。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83,027-83,207是否触达；15m/30m能否冲高失败、跌回VAH 83,127下方并形成LH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83,027-83,207是否触达；反弹后能否重新跌回VAL下方并形成LH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OI增加后是否继续；Taker能否从0.705回落并再次转弱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会涨还是跌，而是观察上沿 83,027-83,207 是否出现冲高失败。今天 VAL 81,498 附近即使收回，也因 POC 81,532 过近而不能直接做多；只有价值区重算后第一阻力重新拉开，才恢复多头评估。当前价附近不追空，也不直接抄底。</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Binance USDⓈ-M direct API</w:t>
            </w:r>
          </w:p>
        </w:tc>
        <w:tc>
          <w:tcPr>
            <w:tcW w:type="dxa" w:w="2131"/>
            <w:vAlign w:val="center"/>
          </w:tcPr>
          <w:p>
            <w:pPr>
              <w:spacing w:after="0" w:line="240" w:lineRule="auto"/>
            </w:pPr>
            <w:r>
              <w:rPr>
                <w:rFonts w:ascii="Microsoft YaHei" w:hAnsi="Microsoft YaHei" w:eastAsia="Microsoft YaHei"/>
                <w:b w:val="0"/>
                <w:color w:val="19212A"/>
                <w:sz w:val="12"/>
              </w:rPr>
              <w:t>2026-10-13T08:11:23.049021+08:00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2026-10-13T08:11:23.049021+08:00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2026-10-13 08:11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published through 2026-10-07 for BTC;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2026-10-13T08:11:23.049021+08:00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2026-09-28</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2026-10-13T08:11:23.049021+08:00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2026-10-13T08:11:23.049021+08:00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2026-10-13T08:11:23.049021+08:00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2026-10-13</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Binance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2026-10-13T08:11:23.049021+08:00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2026-10-13</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2026-10-13</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2026-10-13T08:11:23.049021+08:00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2026-10-13</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- 2026-10-13</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