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2026-10-16 | 市场快照 09:37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2026-10-16T09:37:09.264818+08:00 的 BTC/ETH/SOL 行情与 OKX 永续合约备选源（Binance/Bybit 本轮不可用）、Deribit 期权、Binance/OKX 现货成交带与盘口快照；ETF 数据以本次输入中最新可核验公开值为准，ETH/SOL 当日值可能不完整，宏观、催化剂与大佬观点核验截止 2026-10-16 09:37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82,197处于 POC 81,334 与 VAH 83,541 之间、位于价值区上半部，现价不直接追单；下沿只有扫过 VAL 81,141 后收回并形成 HL 才做多，上沿只有进入 83,441-83,621 后冲高失败才做空。两条条件卡有效至 2026-10-16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HTF_TREND_DOWN + PULLBACK / 处于 POC 81,334 与 VAH 83,541 之间、位于价值区上半部</w:t>
            </w:r>
          </w:p>
        </w:tc>
        <w:tc>
          <w:tcPr>
            <w:tcW w:type="dxa" w:w="2131"/>
            <w:vAlign w:val="center"/>
          </w:tcPr>
          <w:p>
            <w:pPr>
              <w:spacing w:after="0" w:line="240" w:lineRule="auto"/>
            </w:pPr>
            <w:r>
              <w:rPr>
                <w:rFonts w:ascii="Microsoft YaHei" w:hAnsi="Microsoft YaHei" w:eastAsia="Microsoft YaHei"/>
                <w:b w:val="0"/>
                <w:color w:val="19212A"/>
                <w:sz w:val="14"/>
              </w:rPr>
              <w:t>下沿等S1 流动性扫单反转多；上沿等S2c 趋势回踩空 83,441-83,621</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81,141-83,541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2,349 收回与 EMA20 2,455，无独立交易卡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2,455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104.22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EMA20 106.04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三者日线都低于20日均线但仍高于60日均线，BTC当前为 HTF_TREND_DOWN + PULLBACK，ETH/SOL处于过渡，因此当前更准确的描述是‘中线震荡、短线偏弱’，还不是确认的大级别牛市或熊市。今天只允许下沿扫低收回多、上沿回踩受阻空，现价附近不交易。</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多（无合格预案）</w:t>
            </w:r>
          </w:p>
        </w:tc>
        <w:tc>
          <w:tcPr>
            <w:tcW w:type="dxa" w:w="1332"/>
            <w:vAlign w:val="center"/>
          </w:tcPr>
          <w:p>
            <w:pPr>
              <w:spacing w:after="0" w:line="240" w:lineRule="auto"/>
            </w:pPr>
            <w:r>
              <w:rPr>
                <w:rFonts w:ascii="Microsoft YaHei" w:hAnsi="Microsoft YaHei" w:eastAsia="Microsoft YaHei"/>
                <w:b w:val="0"/>
                <w:color w:val="19212A"/>
                <w:sz w:val="12"/>
              </w:rPr>
              <w:t>下沿 81,041-81,191 未通过本轮 R:R/结构闸门</w:t>
            </w:r>
          </w:p>
        </w:tc>
        <w:tc>
          <w:tcPr>
            <w:tcW w:type="dxa" w:w="1332"/>
            <w:vAlign w:val="center"/>
          </w:tcPr>
          <w:p>
            <w:pPr>
              <w:spacing w:after="0" w:line="240" w:lineRule="auto"/>
            </w:pPr>
            <w:r>
              <w:rPr>
                <w:rFonts w:ascii="Microsoft YaHei" w:hAnsi="Microsoft YaHei" w:eastAsia="Microsoft YaHei"/>
                <w:b w:val="0"/>
                <w:color w:val="19212A"/>
                <w:sz w:val="12"/>
              </w:rPr>
              <w:t>81,041-81,191 / 81,191</w:t>
            </w:r>
          </w:p>
        </w:tc>
        <w:tc>
          <w:tcPr>
            <w:tcW w:type="dxa" w:w="1332"/>
            <w:vAlign w:val="center"/>
          </w:tcPr>
          <w:p>
            <w:pPr>
              <w:spacing w:after="0" w:line="240" w:lineRule="auto"/>
            </w:pPr>
            <w:r>
              <w:rPr>
                <w:rFonts w:ascii="Microsoft YaHei" w:hAnsi="Microsoft YaHei" w:eastAsia="Microsoft YaHei"/>
                <w:b w:val="0"/>
                <w:color w:val="19212A"/>
                <w:sz w:val="12"/>
              </w:rPr>
              <w:t>80,641</w:t>
            </w:r>
          </w:p>
        </w:tc>
        <w:tc>
          <w:tcPr>
            <w:tcW w:type="dxa" w:w="1332"/>
            <w:vAlign w:val="center"/>
          </w:tcPr>
          <w:p>
            <w:pPr>
              <w:spacing w:after="0" w:line="240" w:lineRule="auto"/>
            </w:pPr>
            <w:r>
              <w:rPr>
                <w:rFonts w:ascii="Microsoft YaHei" w:hAnsi="Microsoft YaHei" w:eastAsia="Microsoft YaHei"/>
                <w:b w:val="0"/>
                <w:color w:val="19212A"/>
                <w:sz w:val="12"/>
              </w:rPr>
              <w:t>81,334 / 83,541</w:t>
            </w:r>
          </w:p>
        </w:tc>
        <w:tc>
          <w:tcPr>
            <w:tcW w:type="dxa" w:w="1332"/>
            <w:vAlign w:val="center"/>
          </w:tcPr>
          <w:p>
            <w:pPr>
              <w:spacing w:after="0" w:line="240" w:lineRule="auto"/>
            </w:pPr>
            <w:r>
              <w:rPr>
                <w:rFonts w:ascii="Microsoft YaHei" w:hAnsi="Microsoft YaHei" w:eastAsia="Microsoft YaHei"/>
                <w:b w:val="0"/>
                <w:color w:val="19212A"/>
                <w:sz w:val="12"/>
              </w:rPr>
              <w:t>TP1 1:0.07；加权 1:2.12</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空（S2c 趋势回踩空）</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83,441-83,621，15m/30m出现冲高失败、LH并重新跌回 VAH 83,541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83,441-83,621 / 83,621</w:t>
            </w:r>
          </w:p>
        </w:tc>
        <w:tc>
          <w:tcPr>
            <w:tcW w:type="dxa" w:w="1332"/>
            <w:vAlign w:val="center"/>
            <w:shd w:fill="EAF2F8"/>
          </w:tcPr>
          <w:p>
            <w:pPr>
              <w:spacing w:after="0" w:line="240" w:lineRule="auto"/>
            </w:pPr>
            <w:r>
              <w:rPr>
                <w:rFonts w:ascii="Microsoft YaHei" w:hAnsi="Microsoft YaHei" w:eastAsia="Microsoft YaHei"/>
                <w:b w:val="0"/>
                <w:color w:val="19212A"/>
                <w:sz w:val="12"/>
              </w:rPr>
              <w:t>84,041</w:t>
            </w:r>
          </w:p>
        </w:tc>
        <w:tc>
          <w:tcPr>
            <w:tcW w:type="dxa" w:w="1332"/>
            <w:vAlign w:val="center"/>
            <w:shd w:fill="EAF2F8"/>
          </w:tcPr>
          <w:p>
            <w:pPr>
              <w:spacing w:after="0" w:line="240" w:lineRule="auto"/>
            </w:pPr>
            <w:r>
              <w:rPr>
                <w:rFonts w:ascii="Microsoft YaHei" w:hAnsi="Microsoft YaHei" w:eastAsia="Microsoft YaHei"/>
                <w:b w:val="0"/>
                <w:color w:val="19212A"/>
                <w:sz w:val="12"/>
              </w:rPr>
              <w:t>81,334 / 81,141</w:t>
            </w:r>
          </w:p>
        </w:tc>
        <w:tc>
          <w:tcPr>
            <w:tcW w:type="dxa" w:w="1332"/>
            <w:vAlign w:val="center"/>
            <w:shd w:fill="EAF2F8"/>
          </w:tcPr>
          <w:p>
            <w:pPr>
              <w:spacing w:after="0" w:line="240" w:lineRule="auto"/>
            </w:pPr>
            <w:r>
              <w:rPr>
                <w:rFonts w:ascii="Microsoft YaHei" w:hAnsi="Microsoft YaHei" w:eastAsia="Microsoft YaHei"/>
                <w:b w:val="0"/>
                <w:color w:val="19212A"/>
                <w:sz w:val="12"/>
              </w:rPr>
              <w:t>TP1 1:4.20；加权 1:4.43</w:t>
            </w:r>
          </w:p>
        </w:tc>
        <w:tc>
          <w:tcPr>
            <w:tcW w:type="dxa" w:w="1332"/>
            <w:vAlign w:val="center"/>
            <w:shd w:fill="EAF2F8"/>
          </w:tcPr>
          <w:p>
            <w:pPr>
              <w:spacing w:after="0" w:line="240" w:lineRule="auto"/>
            </w:pPr>
            <w:r>
              <w:rPr>
                <w:rFonts w:ascii="Microsoft YaHei" w:hAnsi="Microsoft YaHei" w:eastAsia="Microsoft YaHei"/>
                <w:b w:val="0"/>
                <w:color w:val="19212A"/>
                <w:sz w:val="12"/>
              </w:rPr>
              <w:t>2026-10-16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当前处于 POC 81,334 与 VAH 83,541 之间、位于价值区上半部；POC 81,334 可以理解为最近成交最拥挤的中轴，不是追单位置。下沿多头必须先扫过 VAL 81,141 再收回并形成 HL，上沿空头必须先进入 83,441-83,621 再冲高失败；每张有效卡最多0.10%账户风险，只是亏损上限，不是必须用满的目标仓位。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80,363-84,065</w:t>
            </w:r>
          </w:p>
        </w:tc>
        <w:tc>
          <w:tcPr>
            <w:tcW w:type="dxa" w:w="1332"/>
            <w:vAlign w:val="center"/>
          </w:tcPr>
          <w:p>
            <w:pPr>
              <w:spacing w:after="0" w:line="240" w:lineRule="auto"/>
            </w:pPr>
            <w:r>
              <w:rPr>
                <w:rFonts w:ascii="Microsoft YaHei" w:hAnsi="Microsoft YaHei" w:eastAsia="Microsoft YaHei"/>
                <w:b w:val="0"/>
                <w:color w:val="19212A"/>
                <w:sz w:val="13"/>
              </w:rPr>
              <w:t>78,665-81,840</w:t>
            </w:r>
          </w:p>
        </w:tc>
        <w:tc>
          <w:tcPr>
            <w:tcW w:type="dxa" w:w="1332"/>
            <w:vAlign w:val="center"/>
          </w:tcPr>
          <w:p>
            <w:pPr>
              <w:spacing w:after="0" w:line="240" w:lineRule="auto"/>
            </w:pPr>
            <w:r>
              <w:rPr>
                <w:rFonts w:ascii="Microsoft YaHei" w:hAnsi="Microsoft YaHei" w:eastAsia="Microsoft YaHei"/>
                <w:b w:val="0"/>
                <w:color w:val="19212A"/>
                <w:sz w:val="13"/>
              </w:rPr>
              <w:t>82,775-83,953</w:t>
            </w:r>
          </w:p>
        </w:tc>
        <w:tc>
          <w:tcPr>
            <w:tcW w:type="dxa" w:w="1332"/>
            <w:vAlign w:val="center"/>
          </w:tcPr>
          <w:p>
            <w:pPr>
              <w:spacing w:after="0" w:line="240" w:lineRule="auto"/>
            </w:pPr>
            <w:r>
              <w:rPr>
                <w:rFonts w:ascii="Microsoft YaHei" w:hAnsi="Microsoft YaHei" w:eastAsia="Microsoft YaHei"/>
                <w:b w:val="0"/>
                <w:color w:val="19212A"/>
                <w:sz w:val="13"/>
              </w:rPr>
              <w:t>27.2% / 26.1% / 46.7%</w:t>
            </w:r>
          </w:p>
        </w:tc>
        <w:tc>
          <w:tcPr>
            <w:tcW w:type="dxa" w:w="1332"/>
            <w:vAlign w:val="center"/>
          </w:tcPr>
          <w:p>
            <w:pPr>
              <w:spacing w:after="0" w:line="240" w:lineRule="auto"/>
            </w:pPr>
            <w:r>
              <w:rPr>
                <w:rFonts w:ascii="Microsoft YaHei" w:hAnsi="Microsoft YaHei" w:eastAsia="Microsoft YaHei"/>
                <w:b w:val="0"/>
                <w:color w:val="19212A"/>
                <w:sz w:val="13"/>
              </w:rPr>
              <w:t>5.1%</w:t>
            </w:r>
          </w:p>
        </w:tc>
        <w:tc>
          <w:tcPr>
            <w:tcW w:type="dxa" w:w="1332"/>
            <w:vAlign w:val="center"/>
          </w:tcPr>
          <w:p>
            <w:pPr>
              <w:spacing w:after="0" w:line="240" w:lineRule="auto"/>
            </w:pPr>
            <w:r>
              <w:rPr>
                <w:rFonts w:ascii="Microsoft YaHei" w:hAnsi="Microsoft YaHei" w:eastAsia="Microsoft YaHei"/>
                <w:b w:val="0"/>
                <w:color w:val="19212A"/>
                <w:sz w:val="13"/>
              </w:rPr>
              <w:t>31.2</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79,049-85,462</w:t>
            </w:r>
          </w:p>
        </w:tc>
        <w:tc>
          <w:tcPr>
            <w:tcW w:type="dxa" w:w="1332"/>
            <w:vAlign w:val="center"/>
            <w:shd w:fill="EAF2F8"/>
          </w:tcPr>
          <w:p>
            <w:pPr>
              <w:spacing w:after="0" w:line="240" w:lineRule="auto"/>
            </w:pPr>
            <w:r>
              <w:rPr>
                <w:rFonts w:ascii="Microsoft YaHei" w:hAnsi="Microsoft YaHei" w:eastAsia="Microsoft YaHei"/>
                <w:b w:val="0"/>
                <w:color w:val="19212A"/>
                <w:sz w:val="13"/>
              </w:rPr>
              <w:t>75,567-79,348</w:t>
            </w:r>
          </w:p>
        </w:tc>
        <w:tc>
          <w:tcPr>
            <w:tcW w:type="dxa" w:w="1332"/>
            <w:vAlign w:val="center"/>
            <w:shd w:fill="EAF2F8"/>
          </w:tcPr>
          <w:p>
            <w:pPr>
              <w:spacing w:after="0" w:line="240" w:lineRule="auto"/>
            </w:pPr>
            <w:r>
              <w:rPr>
                <w:rFonts w:ascii="Microsoft YaHei" w:hAnsi="Microsoft YaHei" w:eastAsia="Microsoft YaHei"/>
                <w:b w:val="0"/>
                <w:color w:val="19212A"/>
                <w:sz w:val="13"/>
              </w:rPr>
              <w:t>83,963-84,764</w:t>
            </w:r>
          </w:p>
        </w:tc>
        <w:tc>
          <w:tcPr>
            <w:tcW w:type="dxa" w:w="1332"/>
            <w:vAlign w:val="center"/>
            <w:shd w:fill="EAF2F8"/>
          </w:tcPr>
          <w:p>
            <w:pPr>
              <w:spacing w:after="0" w:line="240" w:lineRule="auto"/>
            </w:pPr>
            <w:r>
              <w:rPr>
                <w:rFonts w:ascii="Microsoft YaHei" w:hAnsi="Microsoft YaHei" w:eastAsia="Microsoft YaHei"/>
                <w:b w:val="0"/>
                <w:color w:val="19212A"/>
                <w:sz w:val="13"/>
              </w:rPr>
              <w:t>26.2% / 70.4% / 3.5%</w:t>
            </w:r>
          </w:p>
        </w:tc>
        <w:tc>
          <w:tcPr>
            <w:tcW w:type="dxa" w:w="1332"/>
            <w:vAlign w:val="center"/>
            <w:shd w:fill="EAF2F8"/>
          </w:tcPr>
          <w:p>
            <w:pPr>
              <w:spacing w:after="0" w:line="240" w:lineRule="auto"/>
            </w:pPr>
            <w:r>
              <w:rPr>
                <w:rFonts w:ascii="Microsoft YaHei" w:hAnsi="Microsoft YaHei" w:eastAsia="Microsoft YaHei"/>
                <w:b w:val="0"/>
                <w:color w:val="19212A"/>
                <w:sz w:val="13"/>
              </w:rPr>
              <w:t>69.3%</w:t>
            </w:r>
          </w:p>
        </w:tc>
        <w:tc>
          <w:tcPr>
            <w:tcW w:type="dxa" w:w="1332"/>
            <w:vAlign w:val="center"/>
            <w:shd w:fill="EAF2F8"/>
          </w:tcPr>
          <w:p>
            <w:pPr>
              <w:spacing w:after="0" w:line="240" w:lineRule="auto"/>
            </w:pPr>
            <w:r>
              <w:rPr>
                <w:rFonts w:ascii="Microsoft YaHei" w:hAnsi="Microsoft YaHei" w:eastAsia="Microsoft YaHei"/>
                <w:b w:val="0"/>
                <w:color w:val="19212A"/>
                <w:sz w:val="13"/>
              </w:rPr>
              <w:t>20.3</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80,211-84,083</w:t>
            </w:r>
          </w:p>
        </w:tc>
        <w:tc>
          <w:tcPr>
            <w:tcW w:type="dxa" w:w="1332"/>
            <w:vAlign w:val="center"/>
          </w:tcPr>
          <w:p>
            <w:pPr>
              <w:spacing w:after="0" w:line="240" w:lineRule="auto"/>
            </w:pPr>
            <w:r>
              <w:rPr>
                <w:rFonts w:ascii="Microsoft YaHei" w:hAnsi="Microsoft YaHei" w:eastAsia="Microsoft YaHei"/>
                <w:b w:val="0"/>
                <w:color w:val="19212A"/>
                <w:sz w:val="13"/>
              </w:rPr>
              <w:t>81,141-81,334</w:t>
            </w:r>
          </w:p>
        </w:tc>
        <w:tc>
          <w:tcPr>
            <w:tcW w:type="dxa" w:w="1332"/>
            <w:vAlign w:val="center"/>
          </w:tcPr>
          <w:p>
            <w:pPr>
              <w:spacing w:after="0" w:line="240" w:lineRule="auto"/>
            </w:pPr>
            <w:r>
              <w:rPr>
                <w:rFonts w:ascii="Microsoft YaHei" w:hAnsi="Microsoft YaHei" w:eastAsia="Microsoft YaHei"/>
                <w:b w:val="0"/>
                <w:color w:val="19212A"/>
                <w:sz w:val="13"/>
              </w:rPr>
              <w:t>81,334-83,541</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这不是胜率。当前统计带只用于说明波动范围，不能把某一个点位当成绝对顶部。今天要同时观察下沿是否扫过 VAL 81,141 后收回形成 HL，以及上沿 83,441-83,621 是否冲高失败形成 LH；现价不属于执行区。</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81,141 / POC 81,334 / VAH 83,541</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处于 POC 81,334 与 VAH 83,541 之间、位于价值区上半部不追单；下沿等扫低收回多；上沿等S2c 趋势回踩空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2,349 / POC 2,369 / VAH 2,508</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PULLBACK</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104.22 / POC 107.27 / VAH 112.80</w:t>
            </w:r>
          </w:p>
        </w:tc>
        <w:tc>
          <w:tcPr>
            <w:tcW w:type="dxa" w:w="2131"/>
            <w:vAlign w:val="center"/>
          </w:tcPr>
          <w:p>
            <w:pPr>
              <w:spacing w:after="0" w:line="240" w:lineRule="auto"/>
            </w:pPr>
            <w:r>
              <w:rPr>
                <w:rFonts w:ascii="Microsoft YaHei" w:hAnsi="Microsoft YaHei" w:eastAsia="Microsoft YaHei"/>
                <w:b w:val="0"/>
                <w:color w:val="19212A"/>
                <w:sz w:val="14"/>
              </w:rPr>
              <w:t>HTF_TREND_DOWN + PULLBACK</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+0.34%；DOGE -0.64%；AVAX +0.74%</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81,334 是最近五天成交最密集的价格，可理解为短期筹码最拥挤的‘价格磁铁’；VAL 81,141 是正常震荡区下沿，VAH 83,541 是正常震荡区上沿。BTC 当前处于 POC 81,334 与 VAH 83,541 之间、位于价值区上半部，仍未进入任一执行带，不是自动做多或做空；下沿等扫低收回，上沿等冲高失败。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81,141后快速收回，卖压减弱并形成HL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S1 流动性扫单反转多条件已定义；本轮24h低点仍在VAL上方，尚未触发</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 S2c 趋势回踩空 条件路径；ETH/SOL没有独立交易卡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只有HTF_RANGE且触及VAL/VAH边缘并收回，最差入场R:R通过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当前 HTF_TREND_DOWN + PULLBACK，S5不作为主执行；上沿路径按 S2c 趋势回踩空 处理</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处于 POC 81,334 与 VAH 83,541 之间、位于价值区上半部，不能把反弹强度当成追多信号。下沿多头只等扫过 VAL 81,141 后收回形成 HL，空头只等上沿 83,441-83,621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S2c 趋势回踩空；S1 流动性扫单反转多</w:t>
            </w:r>
          </w:p>
        </w:tc>
        <w:tc>
          <w:tcPr>
            <w:tcW w:type="dxa" w:w="710"/>
            <w:vAlign w:val="center"/>
          </w:tcPr>
          <w:p>
            <w:pPr>
              <w:spacing w:after="0" w:line="240" w:lineRule="auto"/>
            </w:pPr>
            <w:r>
              <w:rPr>
                <w:rFonts w:ascii="Microsoft YaHei" w:hAnsi="Microsoft YaHei" w:eastAsia="Microsoft YaHei"/>
                <w:b w:val="0"/>
                <w:color w:val="19212A"/>
                <w:sz w:val="11"/>
              </w:rPr>
              <w:t>HTF_TREND_DOWN + PULLBACK</w:t>
            </w:r>
          </w:p>
        </w:tc>
        <w:tc>
          <w:tcPr>
            <w:tcW w:type="dxa" w:w="710"/>
            <w:vAlign w:val="center"/>
          </w:tcPr>
          <w:p>
            <w:pPr>
              <w:spacing w:after="0" w:line="240" w:lineRule="auto"/>
            </w:pPr>
            <w:r>
              <w:rPr>
                <w:rFonts w:ascii="Microsoft YaHei" w:hAnsi="Microsoft YaHei" w:eastAsia="Microsoft YaHei"/>
                <w:b w:val="0"/>
                <w:color w:val="19212A"/>
                <w:sz w:val="11"/>
              </w:rPr>
              <w:t>现价处于 POC 81,334 与 VAH 83,541 之间、位于价值区上半部；两端都有结构位置，但现价不在执行区</w:t>
            </w:r>
          </w:p>
        </w:tc>
        <w:tc>
          <w:tcPr>
            <w:tcW w:type="dxa" w:w="710"/>
            <w:vAlign w:val="center"/>
          </w:tcPr>
          <w:p>
            <w:pPr>
              <w:spacing w:after="0" w:line="240" w:lineRule="auto"/>
            </w:pPr>
            <w:r>
              <w:rPr>
                <w:rFonts w:ascii="Microsoft YaHei" w:hAnsi="Microsoft YaHei" w:eastAsia="Microsoft YaHei"/>
                <w:b w:val="0"/>
                <w:color w:val="19212A"/>
                <w:sz w:val="11"/>
              </w:rPr>
              <w:t>空：触及 VAH 83,541 后跌回；多：扫过 VAL 81,141 后收回；现价 82,197</w:t>
            </w:r>
          </w:p>
        </w:tc>
        <w:tc>
          <w:tcPr>
            <w:tcW w:type="dxa" w:w="710"/>
            <w:vAlign w:val="center"/>
          </w:tcPr>
          <w:p>
            <w:pPr>
              <w:spacing w:after="0" w:line="240" w:lineRule="auto"/>
            </w:pPr>
            <w:r>
              <w:rPr>
                <w:rFonts w:ascii="Microsoft YaHei" w:hAnsi="Microsoft YaHei" w:eastAsia="Microsoft YaHei"/>
                <w:b w:val="0"/>
                <w:color w:val="19212A"/>
                <w:sz w:val="11"/>
              </w:rPr>
              <w:t>空 83,561 / 多 81,121</w:t>
            </w:r>
          </w:p>
        </w:tc>
        <w:tc>
          <w:tcPr>
            <w:tcW w:type="dxa" w:w="710"/>
            <w:vAlign w:val="center"/>
          </w:tcPr>
          <w:p>
            <w:pPr>
              <w:spacing w:after="0" w:line="240" w:lineRule="auto"/>
            </w:pPr>
            <w:r>
              <w:rPr>
                <w:rFonts w:ascii="Microsoft YaHei" w:hAnsi="Microsoft YaHei" w:eastAsia="Microsoft YaHei"/>
                <w:b w:val="0"/>
                <w:color w:val="19212A"/>
                <w:sz w:val="11"/>
              </w:rPr>
              <w:t>空 83,621 / 多 81,191</w:t>
            </w:r>
          </w:p>
        </w:tc>
        <w:tc>
          <w:tcPr>
            <w:tcW w:type="dxa" w:w="710"/>
            <w:vAlign w:val="center"/>
          </w:tcPr>
          <w:p>
            <w:pPr>
              <w:spacing w:after="0" w:line="240" w:lineRule="auto"/>
            </w:pPr>
            <w:r>
              <w:rPr>
                <w:rFonts w:ascii="Microsoft YaHei" w:hAnsi="Microsoft YaHei" w:eastAsia="Microsoft YaHei"/>
                <w:b w:val="0"/>
                <w:color w:val="19212A"/>
                <w:sz w:val="11"/>
              </w:rPr>
              <w:t>空 84,041 / 多 80,641</w:t>
            </w:r>
          </w:p>
        </w:tc>
        <w:tc>
          <w:tcPr>
            <w:tcW w:type="dxa" w:w="710"/>
            <w:vAlign w:val="center"/>
          </w:tcPr>
          <w:p>
            <w:pPr>
              <w:spacing w:after="0" w:line="240" w:lineRule="auto"/>
            </w:pPr>
            <w:r>
              <w:rPr>
                <w:rFonts w:ascii="Microsoft YaHei" w:hAnsi="Microsoft YaHei" w:eastAsia="Microsoft YaHei"/>
                <w:b w:val="0"/>
                <w:color w:val="19212A"/>
                <w:sz w:val="11"/>
              </w:rPr>
              <w:t>空看 POC 81,334 / 多看 POC 81,334</w:t>
            </w:r>
          </w:p>
        </w:tc>
        <w:tc>
          <w:tcPr>
            <w:tcW w:type="dxa" w:w="710"/>
            <w:vAlign w:val="center"/>
          </w:tcPr>
          <w:p>
            <w:pPr>
              <w:spacing w:after="0" w:line="240" w:lineRule="auto"/>
            </w:pPr>
            <w:r>
              <w:rPr>
                <w:rFonts w:ascii="Microsoft YaHei" w:hAnsi="Microsoft YaHei" w:eastAsia="Microsoft YaHei"/>
                <w:b w:val="0"/>
                <w:color w:val="19212A"/>
                <w:sz w:val="11"/>
              </w:rPr>
              <w:t>空看 VAL 81,141 / 多看 VAH 83,541</w:t>
            </w:r>
          </w:p>
        </w:tc>
        <w:tc>
          <w:tcPr>
            <w:tcW w:type="dxa" w:w="710"/>
            <w:vAlign w:val="center"/>
          </w:tcPr>
          <w:p>
            <w:pPr>
              <w:spacing w:after="0" w:line="240" w:lineRule="auto"/>
            </w:pPr>
            <w:r>
              <w:rPr>
                <w:rFonts w:ascii="Microsoft YaHei" w:hAnsi="Microsoft YaHei" w:eastAsia="Microsoft YaHei"/>
                <w:b w:val="0"/>
                <w:color w:val="19212A"/>
                <w:sz w:val="11"/>
              </w:rPr>
              <w:t>空 1:4.43 / 多 1:2.12</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每张最多0.10%账户风险上限</w:t>
            </w:r>
          </w:p>
        </w:tc>
        <w:tc>
          <w:tcPr>
            <w:tcW w:type="dxa" w:w="710"/>
            <w:vAlign w:val="center"/>
          </w:tcPr>
          <w:p>
            <w:pPr>
              <w:spacing w:after="0" w:line="240" w:lineRule="auto"/>
            </w:pPr>
            <w:r>
              <w:rPr>
                <w:rFonts w:ascii="Microsoft YaHei" w:hAnsi="Microsoft YaHei" w:eastAsia="Microsoft YaHei"/>
                <w:b w:val="0"/>
                <w:color w:val="19212A"/>
                <w:sz w:val="11"/>
              </w:rPr>
              <w:t>各自出现 LH/HL 且流量不恶化</w:t>
            </w:r>
          </w:p>
        </w:tc>
        <w:tc>
          <w:tcPr>
            <w:tcW w:type="dxa" w:w="710"/>
            <w:vAlign w:val="center"/>
          </w:tcPr>
          <w:p>
            <w:pPr>
              <w:spacing w:after="0" w:line="240" w:lineRule="auto"/>
            </w:pPr>
            <w:r>
              <w:rPr>
                <w:rFonts w:ascii="Microsoft YaHei" w:hAnsi="Microsoft YaHei" w:eastAsia="Microsoft YaHei"/>
                <w:b w:val="0"/>
                <w:color w:val="19212A"/>
                <w:sz w:val="11"/>
              </w:rPr>
              <w:t>对应结构失效或超过Max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仍在价值区下半部。下沿要先扫过 VAL 81,141 再收回形成 HL，上沿要进入 83,441-83,621 后受阻并跌回 VAH 下方形成 LH；两边触发后都不能超过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BTC价值区两端 + S1/S2c</w:t>
            </w:r>
          </w:p>
        </w:tc>
        <w:tc>
          <w:tcPr>
            <w:tcW w:type="dxa" w:w="1332"/>
            <w:vAlign w:val="center"/>
          </w:tcPr>
          <w:p>
            <w:pPr>
              <w:spacing w:after="0" w:line="240" w:lineRule="auto"/>
            </w:pPr>
            <w:r>
              <w:rPr>
                <w:rFonts w:ascii="Microsoft YaHei" w:hAnsi="Microsoft YaHei" w:eastAsia="Microsoft YaHei"/>
                <w:b w:val="0"/>
                <w:color w:val="19212A"/>
                <w:sz w:val="13"/>
              </w:rPr>
              <w:t>2</w:t>
            </w:r>
          </w:p>
        </w:tc>
        <w:tc>
          <w:tcPr>
            <w:tcW w:type="dxa" w:w="1332"/>
            <w:vAlign w:val="center"/>
          </w:tcPr>
          <w:p>
            <w:pPr>
              <w:spacing w:after="0" w:line="240" w:lineRule="auto"/>
            </w:pPr>
            <w:r>
              <w:rPr>
                <w:rFonts w:ascii="Microsoft YaHei" w:hAnsi="Microsoft YaHei" w:eastAsia="Microsoft YaHei"/>
                <w:b w:val="0"/>
                <w:color w:val="19212A"/>
                <w:sz w:val="13"/>
              </w:rPr>
              <w:t>BTC上下沿各1张条件卡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现价不在执行区；ETH/SOL未给更好位置；山寨未形成题材共振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扫描了13个流动标的，BTC上下沿各有一张通过位置和动态盈亏比检查的条件卡，分别是 S1 流动性扫单反转多 与 S2c 趋势回踩空。两张卡都尚未触发，没有模型成交，当前价附近不追单。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S1/S2c 两端条件卡</w:t>
            </w:r>
          </w:p>
        </w:tc>
        <w:tc>
          <w:tcPr>
            <w:tcW w:type="dxa" w:w="888"/>
            <w:vAlign w:val="center"/>
          </w:tcPr>
          <w:p>
            <w:pPr>
              <w:spacing w:after="0" w:line="240" w:lineRule="auto"/>
            </w:pPr>
            <w:r>
              <w:rPr>
                <w:rFonts w:ascii="Microsoft YaHei" w:hAnsi="Microsoft YaHei" w:eastAsia="Microsoft YaHei"/>
                <w:b w:val="0"/>
                <w:color w:val="19212A"/>
                <w:sz w:val="13"/>
              </w:rPr>
              <w:t>HTF_TREND_DOWN + PULLBACK</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S2c_TREND_PULLBACK</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19.9%</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10.0%-19.9%</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S1 流动性扫单反转多 / S2c 趋势回踩空</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81,141 / POC 81,334 / VAH 83,541，两端条件卡均保留，现价不在执行区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81,141、POC 81,334、VAH 83,541，当前 Regime 为 HTF_TREND_DOWN + PULLBACK，价格处于 POC 81,334 与 VAH 83,541 之间、位于价值区上半部；两端条件卡均保留，现价不在执行区。这是按新快照和新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82,197.20 / +0.48%</w:t>
            </w:r>
          </w:p>
        </w:tc>
        <w:tc>
          <w:tcPr>
            <w:tcW w:type="dxa" w:w="1776"/>
            <w:vAlign w:val="center"/>
          </w:tcPr>
          <w:p>
            <w:pPr>
              <w:spacing w:after="0" w:line="240" w:lineRule="auto"/>
            </w:pPr>
            <w:r>
              <w:rPr>
                <w:rFonts w:ascii="Microsoft YaHei" w:hAnsi="Microsoft YaHei" w:eastAsia="Microsoft YaHei"/>
                <w:b w:val="0"/>
                <w:color w:val="19212A"/>
                <w:sz w:val="14"/>
              </w:rPr>
              <w:t>81,140.71 / 81,334.30 / 83,541.32</w:t>
            </w:r>
          </w:p>
        </w:tc>
        <w:tc>
          <w:tcPr>
            <w:tcW w:type="dxa" w:w="1776"/>
            <w:vAlign w:val="center"/>
          </w:tcPr>
          <w:p>
            <w:pPr>
              <w:spacing w:after="0" w:line="240" w:lineRule="auto"/>
            </w:pPr>
            <w:r>
              <w:rPr>
                <w:rFonts w:ascii="Microsoft YaHei" w:hAnsi="Microsoft YaHei" w:eastAsia="Microsoft YaHei"/>
                <w:b w:val="0"/>
                <w:color w:val="19212A"/>
                <w:sz w:val="14"/>
              </w:rPr>
              <w:t>+0.0015%</w:t>
            </w:r>
          </w:p>
        </w:tc>
        <w:tc>
          <w:tcPr>
            <w:tcW w:type="dxa" w:w="1776"/>
            <w:vAlign w:val="center"/>
          </w:tcPr>
          <w:p>
            <w:pPr>
              <w:spacing w:after="0" w:line="240" w:lineRule="auto"/>
            </w:pPr>
            <w:r>
              <w:rPr>
                <w:rFonts w:ascii="Microsoft YaHei" w:hAnsi="Microsoft YaHei" w:eastAsia="Microsoft YaHei"/>
                <w:b w:val="0"/>
                <w:color w:val="19212A"/>
                <w:sz w:val="14"/>
              </w:rPr>
              <w:t>$2.43bn / +0.00%</w:t>
            </w:r>
          </w:p>
        </w:tc>
        <w:tc>
          <w:tcPr>
            <w:tcW w:type="dxa" w:w="1776"/>
            <w:vAlign w:val="center"/>
          </w:tcPr>
          <w:p>
            <w:pPr>
              <w:spacing w:after="0" w:line="240" w:lineRule="auto"/>
            </w:pPr>
            <w:r>
              <w:rPr>
                <w:rFonts w:ascii="Microsoft YaHei" w:hAnsi="Microsoft YaHei" w:eastAsia="Microsoft YaHei"/>
                <w:b w:val="0"/>
                <w:color w:val="19212A"/>
                <w:sz w:val="14"/>
              </w:rPr>
              <w:t>0.044 / 0.044 / 0.044</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2,435.01 / +0.56%</w:t>
            </w:r>
          </w:p>
        </w:tc>
        <w:tc>
          <w:tcPr>
            <w:tcW w:type="dxa" w:w="1776"/>
            <w:vAlign w:val="center"/>
            <w:shd w:fill="EAF2F8"/>
          </w:tcPr>
          <w:p>
            <w:pPr>
              <w:spacing w:after="0" w:line="240" w:lineRule="auto"/>
            </w:pPr>
            <w:r>
              <w:rPr>
                <w:rFonts w:ascii="Microsoft YaHei" w:hAnsi="Microsoft YaHei" w:eastAsia="Microsoft YaHei"/>
                <w:b w:val="0"/>
                <w:color w:val="19212A"/>
                <w:sz w:val="14"/>
              </w:rPr>
              <w:t>2,348.58 / 2,369.13 / 2,508.39</w:t>
            </w:r>
          </w:p>
        </w:tc>
        <w:tc>
          <w:tcPr>
            <w:tcW w:type="dxa" w:w="1776"/>
            <w:vAlign w:val="center"/>
            <w:shd w:fill="EAF2F8"/>
          </w:tcPr>
          <w:p>
            <w:pPr>
              <w:spacing w:after="0" w:line="240" w:lineRule="auto"/>
            </w:pPr>
            <w:r>
              <w:rPr>
                <w:rFonts w:ascii="Microsoft YaHei" w:hAnsi="Microsoft YaHei" w:eastAsia="Microsoft YaHei"/>
                <w:b w:val="0"/>
                <w:color w:val="19212A"/>
                <w:sz w:val="14"/>
              </w:rPr>
              <w:t>+0.0042%</w:t>
            </w:r>
          </w:p>
        </w:tc>
        <w:tc>
          <w:tcPr>
            <w:tcW w:type="dxa" w:w="1776"/>
            <w:vAlign w:val="center"/>
            <w:shd w:fill="EAF2F8"/>
          </w:tcPr>
          <w:p>
            <w:pPr>
              <w:spacing w:after="0" w:line="240" w:lineRule="auto"/>
            </w:pPr>
            <w:r>
              <w:rPr>
                <w:rFonts w:ascii="Microsoft YaHei" w:hAnsi="Microsoft YaHei" w:eastAsia="Microsoft YaHei"/>
                <w:b w:val="0"/>
                <w:color w:val="19212A"/>
                <w:sz w:val="14"/>
              </w:rPr>
              <w:t>$1.39bn / +0.00%</w:t>
            </w:r>
          </w:p>
        </w:tc>
        <w:tc>
          <w:tcPr>
            <w:tcW w:type="dxa" w:w="1776"/>
            <w:vAlign w:val="center"/>
            <w:shd w:fill="EAF2F8"/>
          </w:tcPr>
          <w:p>
            <w:pPr>
              <w:spacing w:after="0" w:line="240" w:lineRule="auto"/>
            </w:pPr>
            <w:r>
              <w:rPr>
                <w:rFonts w:ascii="Microsoft YaHei" w:hAnsi="Microsoft YaHei" w:eastAsia="Microsoft YaHei"/>
                <w:b w:val="0"/>
                <w:color w:val="19212A"/>
                <w:sz w:val="14"/>
              </w:rPr>
              <w:t>0.569 / 0.569 / 0.569</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105.21 / +0.63%</w:t>
            </w:r>
          </w:p>
        </w:tc>
        <w:tc>
          <w:tcPr>
            <w:tcW w:type="dxa" w:w="1776"/>
            <w:vAlign w:val="center"/>
          </w:tcPr>
          <w:p>
            <w:pPr>
              <w:spacing w:after="0" w:line="240" w:lineRule="auto"/>
            </w:pPr>
            <w:r>
              <w:rPr>
                <w:rFonts w:ascii="Microsoft YaHei" w:hAnsi="Microsoft YaHei" w:eastAsia="Microsoft YaHei"/>
                <w:b w:val="0"/>
                <w:color w:val="19212A"/>
                <w:sz w:val="14"/>
              </w:rPr>
              <w:t>104.22 / 107.27 / 112.80</w:t>
            </w:r>
          </w:p>
        </w:tc>
        <w:tc>
          <w:tcPr>
            <w:tcW w:type="dxa" w:w="1776"/>
            <w:vAlign w:val="center"/>
          </w:tcPr>
          <w:p>
            <w:pPr>
              <w:spacing w:after="0" w:line="240" w:lineRule="auto"/>
            </w:pPr>
            <w:r>
              <w:rPr>
                <w:rFonts w:ascii="Microsoft YaHei" w:hAnsi="Microsoft YaHei" w:eastAsia="Microsoft YaHei"/>
                <w:b w:val="0"/>
                <w:color w:val="19212A"/>
                <w:sz w:val="14"/>
              </w:rPr>
              <w:t>+0.0066%</w:t>
            </w:r>
          </w:p>
        </w:tc>
        <w:tc>
          <w:tcPr>
            <w:tcW w:type="dxa" w:w="1776"/>
            <w:vAlign w:val="center"/>
          </w:tcPr>
          <w:p>
            <w:pPr>
              <w:spacing w:after="0" w:line="240" w:lineRule="auto"/>
            </w:pPr>
            <w:r>
              <w:rPr>
                <w:rFonts w:ascii="Microsoft YaHei" w:hAnsi="Microsoft YaHei" w:eastAsia="Microsoft YaHei"/>
                <w:b w:val="0"/>
                <w:color w:val="19212A"/>
                <w:sz w:val="14"/>
              </w:rPr>
              <w:t>$0.31bn / +0.00%</w:t>
            </w:r>
          </w:p>
        </w:tc>
        <w:tc>
          <w:tcPr>
            <w:tcW w:type="dxa" w:w="1776"/>
            <w:vAlign w:val="center"/>
          </w:tcPr>
          <w:p>
            <w:pPr>
              <w:spacing w:after="0" w:line="240" w:lineRule="auto"/>
            </w:pPr>
            <w:r>
              <w:rPr>
                <w:rFonts w:ascii="Microsoft YaHei" w:hAnsi="Microsoft YaHei" w:eastAsia="Microsoft YaHei"/>
                <w:b w:val="0"/>
                <w:color w:val="19212A"/>
                <w:sz w:val="14"/>
              </w:rPr>
              <w:t>0.000 / 0.000 / 0.000</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0.044，下沿多头要等扫过 VAL 后收回形成 HL，上沿空头要等冲高失败形成 LH。</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日正常成交区。数据：OKX 永续合约备选源（Binance/Bybit 本轮不可用）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7,744.06</w:t>
            </w:r>
          </w:p>
        </w:tc>
        <w:tc>
          <w:tcPr>
            <w:tcW w:type="dxa" w:w="2664"/>
            <w:vAlign w:val="center"/>
            <w:shd w:fill="EAF2F8"/>
          </w:tcPr>
          <w:p>
            <w:pPr>
              <w:spacing w:after="0" w:line="240" w:lineRule="auto"/>
            </w:pPr>
            <w:r>
              <w:rPr>
                <w:rFonts w:ascii="Microsoft YaHei" w:hAnsi="Microsoft YaHei" w:eastAsia="Microsoft YaHei"/>
                <w:b w:val="0"/>
                <w:color w:val="19212A"/>
                <w:sz w:val="14"/>
              </w:rPr>
              <w:t>+0.33%</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26,713.03</w:t>
            </w:r>
          </w:p>
        </w:tc>
        <w:tc>
          <w:tcPr>
            <w:tcW w:type="dxa" w:w="2664"/>
            <w:vAlign w:val="center"/>
          </w:tcPr>
          <w:p>
            <w:pPr>
              <w:spacing w:after="0" w:line="240" w:lineRule="auto"/>
            </w:pPr>
            <w:r>
              <w:rPr>
                <w:rFonts w:ascii="Microsoft YaHei" w:hAnsi="Microsoft YaHei" w:eastAsia="Microsoft YaHei"/>
                <w:b w:val="0"/>
                <w:color w:val="19212A"/>
                <w:sz w:val="14"/>
              </w:rPr>
              <w:t>+0.08%</w:t>
            </w:r>
          </w:p>
        </w:tc>
        <w:tc>
          <w:tcPr>
            <w:tcW w:type="dxa" w:w="2664"/>
            <w:vAlign w:val="center"/>
          </w:tcPr>
          <w:p>
            <w:pPr>
              <w:spacing w:after="0" w:line="240" w:lineRule="auto"/>
            </w:pPr>
            <w:r>
              <w:rPr>
                <w:rFonts w:ascii="Microsoft YaHei" w:hAnsi="Microsoft YaHei" w:eastAsia="Microsoft YaHei"/>
                <w:b w:val="0"/>
                <w:color w:val="19212A"/>
                <w:sz w:val="14"/>
              </w:rPr>
              <w:t>风险资产支持</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102.06</w:t>
            </w:r>
          </w:p>
        </w:tc>
        <w:tc>
          <w:tcPr>
            <w:tcW w:type="dxa" w:w="2664"/>
            <w:vAlign w:val="center"/>
            <w:shd w:fill="EAF2F8"/>
          </w:tcPr>
          <w:p>
            <w:pPr>
              <w:spacing w:after="0" w:line="240" w:lineRule="auto"/>
            </w:pPr>
            <w:r>
              <w:rPr>
                <w:rFonts w:ascii="Microsoft YaHei" w:hAnsi="Microsoft YaHei" w:eastAsia="Microsoft YaHei"/>
                <w:b w:val="0"/>
                <w:color w:val="19212A"/>
                <w:sz w:val="14"/>
              </w:rPr>
              <w:t>+0.06%</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5.09</w:t>
            </w:r>
          </w:p>
        </w:tc>
        <w:tc>
          <w:tcPr>
            <w:tcW w:type="dxa" w:w="2664"/>
            <w:vAlign w:val="center"/>
          </w:tcPr>
          <w:p>
            <w:pPr>
              <w:spacing w:after="0" w:line="240" w:lineRule="auto"/>
            </w:pPr>
            <w:r>
              <w:rPr>
                <w:rFonts w:ascii="Microsoft YaHei" w:hAnsi="Microsoft YaHei" w:eastAsia="Microsoft YaHei"/>
                <w:b w:val="0"/>
                <w:color w:val="19212A"/>
                <w:sz w:val="14"/>
              </w:rPr>
              <w:t>-1.95%</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4,171.60</w:t>
            </w:r>
          </w:p>
        </w:tc>
        <w:tc>
          <w:tcPr>
            <w:tcW w:type="dxa" w:w="2664"/>
            <w:vAlign w:val="center"/>
            <w:shd w:fill="EAF2F8"/>
          </w:tcPr>
          <w:p>
            <w:pPr>
              <w:spacing w:after="0" w:line="240" w:lineRule="auto"/>
            </w:pPr>
            <w:r>
              <w:rPr>
                <w:rFonts w:ascii="Microsoft YaHei" w:hAnsi="Microsoft YaHei" w:eastAsia="Microsoft YaHei"/>
                <w:b w:val="0"/>
                <w:color w:val="19212A"/>
                <w:sz w:val="14"/>
              </w:rPr>
              <w:t>+1.55%</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95.93</w:t>
            </w:r>
          </w:p>
        </w:tc>
        <w:tc>
          <w:tcPr>
            <w:tcW w:type="dxa" w:w="2664"/>
            <w:vAlign w:val="center"/>
          </w:tcPr>
          <w:p>
            <w:pPr>
              <w:spacing w:after="0" w:line="240" w:lineRule="auto"/>
            </w:pPr>
            <w:r>
              <w:rPr>
                <w:rFonts w:ascii="Microsoft YaHei" w:hAnsi="Microsoft YaHei" w:eastAsia="Microsoft YaHei"/>
                <w:b w:val="0"/>
                <w:color w:val="19212A"/>
                <w:sz w:val="14"/>
              </w:rPr>
              <w:t>+0.88%</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处于 POC 81,334 与 VAH 83,541 之间、位于价值区上半部 猜方向，只执行两端条件：下沿扫低收回多、上沿受阻空。</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$306.3bn，提供中期流动性底座，但不能证明今天正在主动买币。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206s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87.1%</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335s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72.9%</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580s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45.4%</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$5.18m</w:t>
            </w:r>
          </w:p>
        </w:tc>
        <w:tc>
          <w:tcPr>
            <w:tcW w:type="dxa" w:w="2131"/>
            <w:vAlign w:val="center"/>
          </w:tcPr>
          <w:p>
            <w:pPr>
              <w:spacing w:after="0" w:line="240" w:lineRule="auto"/>
            </w:pPr>
            <w:r>
              <w:rPr>
                <w:rFonts w:ascii="Microsoft YaHei" w:hAnsi="Microsoft YaHei" w:eastAsia="Microsoft YaHei"/>
                <w:b w:val="0"/>
                <w:color w:val="19212A"/>
                <w:sz w:val="14"/>
              </w:rPr>
              <w:t>$5.70m</w:t>
            </w:r>
          </w:p>
        </w:tc>
        <w:tc>
          <w:tcPr>
            <w:tcW w:type="dxa" w:w="2131"/>
            <w:vAlign w:val="center"/>
          </w:tcPr>
          <w:p>
            <w:pPr>
              <w:spacing w:after="0" w:line="240" w:lineRule="auto"/>
            </w:pPr>
            <w:r>
              <w:rPr>
                <w:rFonts w:ascii="Microsoft YaHei" w:hAnsi="Microsoft YaHei" w:eastAsia="Microsoft YaHei"/>
                <w:b w:val="0"/>
                <w:color w:val="19212A"/>
                <w:sz w:val="14"/>
              </w:rPr>
              <w:t>-4.8%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$4.95m</w:t>
            </w:r>
          </w:p>
        </w:tc>
        <w:tc>
          <w:tcPr>
            <w:tcW w:type="dxa" w:w="2131"/>
            <w:vAlign w:val="center"/>
            <w:shd w:fill="EAF2F8"/>
          </w:tcPr>
          <w:p>
            <w:pPr>
              <w:spacing w:after="0" w:line="240" w:lineRule="auto"/>
            </w:pPr>
            <w:r>
              <w:rPr>
                <w:rFonts w:ascii="Microsoft YaHei" w:hAnsi="Microsoft YaHei" w:eastAsia="Microsoft YaHei"/>
                <w:b w:val="0"/>
                <w:color w:val="19212A"/>
                <w:sz w:val="14"/>
              </w:rPr>
              <w:t>$4.00m</w:t>
            </w:r>
          </w:p>
        </w:tc>
        <w:tc>
          <w:tcPr>
            <w:tcW w:type="dxa" w:w="2131"/>
            <w:vAlign w:val="center"/>
            <w:shd w:fill="EAF2F8"/>
          </w:tcPr>
          <w:p>
            <w:pPr>
              <w:spacing w:after="0" w:line="240" w:lineRule="auto"/>
            </w:pPr>
            <w:r>
              <w:rPr>
                <w:rFonts w:ascii="Microsoft YaHei" w:hAnsi="Microsoft YaHei" w:eastAsia="Microsoft YaHei"/>
                <w:b w:val="0"/>
                <w:color w:val="19212A"/>
                <w:sz w:val="14"/>
              </w:rPr>
              <w:t>+10.7%</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$1.44m</w:t>
            </w:r>
          </w:p>
        </w:tc>
        <w:tc>
          <w:tcPr>
            <w:tcW w:type="dxa" w:w="2131"/>
            <w:vAlign w:val="center"/>
          </w:tcPr>
          <w:p>
            <w:pPr>
              <w:spacing w:after="0" w:line="240" w:lineRule="auto"/>
            </w:pPr>
            <w:r>
              <w:rPr>
                <w:rFonts w:ascii="Microsoft YaHei" w:hAnsi="Microsoft YaHei" w:eastAsia="Microsoft YaHei"/>
                <w:b w:val="0"/>
                <w:color w:val="19212A"/>
                <w:sz w:val="14"/>
              </w:rPr>
              <w:t>$1.24m</w:t>
            </w:r>
          </w:p>
        </w:tc>
        <w:tc>
          <w:tcPr>
            <w:tcW w:type="dxa" w:w="2131"/>
            <w:vAlign w:val="center"/>
          </w:tcPr>
          <w:p>
            <w:pPr>
              <w:spacing w:after="0" w:line="240" w:lineRule="auto"/>
            </w:pPr>
            <w:r>
              <w:rPr>
                <w:rFonts w:ascii="Microsoft YaHei" w:hAnsi="Microsoft YaHei" w:eastAsia="Microsoft YaHei"/>
                <w:b w:val="0"/>
                <w:color w:val="19212A"/>
                <w:sz w:val="14"/>
              </w:rPr>
              <w:t>+7.7%</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+0.48%</w:t>
            </w:r>
          </w:p>
        </w:tc>
        <w:tc>
          <w:tcPr>
            <w:tcW w:type="dxa" w:w="1522"/>
            <w:vAlign w:val="center"/>
          </w:tcPr>
          <w:p>
            <w:pPr>
              <w:spacing w:after="0" w:line="240" w:lineRule="auto"/>
            </w:pPr>
            <w:r>
              <w:rPr>
                <w:rFonts w:ascii="Microsoft YaHei" w:hAnsi="Microsoft YaHei" w:eastAsia="Microsoft YaHei"/>
                <w:b w:val="0"/>
                <w:color w:val="19212A"/>
                <w:sz w:val="13"/>
              </w:rPr>
              <w:t>+0.0015%</w:t>
            </w:r>
          </w:p>
        </w:tc>
        <w:tc>
          <w:tcPr>
            <w:tcW w:type="dxa" w:w="1522"/>
            <w:vAlign w:val="center"/>
          </w:tcPr>
          <w:p>
            <w:pPr>
              <w:spacing w:after="0" w:line="240" w:lineRule="auto"/>
            </w:pPr>
            <w:r>
              <w:rPr>
                <w:rFonts w:ascii="Microsoft YaHei" w:hAnsi="Microsoft YaHei" w:eastAsia="Microsoft YaHei"/>
                <w:b w:val="0"/>
                <w:color w:val="19212A"/>
                <w:sz w:val="13"/>
              </w:rPr>
              <w:t>$2.43bn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0.044/0.044/0.044</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价格涨/OI增，反弹中有杠杆回补，末端仍未确认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+0.56%</w:t>
            </w:r>
          </w:p>
        </w:tc>
        <w:tc>
          <w:tcPr>
            <w:tcW w:type="dxa" w:w="1522"/>
            <w:vAlign w:val="center"/>
            <w:shd w:fill="EAF2F8"/>
          </w:tcPr>
          <w:p>
            <w:pPr>
              <w:spacing w:after="0" w:line="240" w:lineRule="auto"/>
            </w:pPr>
            <w:r>
              <w:rPr>
                <w:rFonts w:ascii="Microsoft YaHei" w:hAnsi="Microsoft YaHei" w:eastAsia="Microsoft YaHei"/>
                <w:b w:val="0"/>
                <w:color w:val="19212A"/>
                <w:sz w:val="13"/>
              </w:rPr>
              <w:t>+0.0042%</w:t>
            </w:r>
          </w:p>
        </w:tc>
        <w:tc>
          <w:tcPr>
            <w:tcW w:type="dxa" w:w="1522"/>
            <w:vAlign w:val="center"/>
            <w:shd w:fill="EAF2F8"/>
          </w:tcPr>
          <w:p>
            <w:pPr>
              <w:spacing w:after="0" w:line="240" w:lineRule="auto"/>
            </w:pPr>
            <w:r>
              <w:rPr>
                <w:rFonts w:ascii="Microsoft YaHei" w:hAnsi="Microsoft YaHei" w:eastAsia="Microsoft YaHei"/>
                <w:b w:val="0"/>
                <w:color w:val="19212A"/>
                <w:sz w:val="13"/>
              </w:rPr>
              <w:t>$1.39bn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0.569/0.569/0.569</w:t>
            </w:r>
          </w:p>
        </w:tc>
        <w:tc>
          <w:tcPr>
            <w:tcW w:type="dxa" w:w="1522"/>
            <w:vAlign w:val="center"/>
            <w:shd w:fill="EAF2F8"/>
          </w:tcPr>
          <w:p>
            <w:pPr>
              <w:spacing w:after="0" w:line="240" w:lineRule="auto"/>
            </w:pPr>
            <w:r>
              <w:rPr>
                <w:rFonts w:ascii="Microsoft YaHei" w:hAnsi="Microsoft YaHei" w:eastAsia="Microsoft YaHei"/>
                <w:b w:val="0"/>
                <w:color w:val="19212A"/>
                <w:sz w:val="13"/>
              </w:rPr>
              <w:t>价格涨/OI增，反弹中有杠杆回补，末端Taker仍偏弱</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+0.63%</w:t>
            </w:r>
          </w:p>
        </w:tc>
        <w:tc>
          <w:tcPr>
            <w:tcW w:type="dxa" w:w="1522"/>
            <w:vAlign w:val="center"/>
          </w:tcPr>
          <w:p>
            <w:pPr>
              <w:spacing w:after="0" w:line="240" w:lineRule="auto"/>
            </w:pPr>
            <w:r>
              <w:rPr>
                <w:rFonts w:ascii="Microsoft YaHei" w:hAnsi="Microsoft YaHei" w:eastAsia="Microsoft YaHei"/>
                <w:b w:val="0"/>
                <w:color w:val="19212A"/>
                <w:sz w:val="13"/>
              </w:rPr>
              <w:t>+0.0066%</w:t>
            </w:r>
          </w:p>
        </w:tc>
        <w:tc>
          <w:tcPr>
            <w:tcW w:type="dxa" w:w="1522"/>
            <w:vAlign w:val="center"/>
          </w:tcPr>
          <w:p>
            <w:pPr>
              <w:spacing w:after="0" w:line="240" w:lineRule="auto"/>
            </w:pPr>
            <w:r>
              <w:rPr>
                <w:rFonts w:ascii="Microsoft YaHei" w:hAnsi="Microsoft YaHei" w:eastAsia="Microsoft YaHei"/>
                <w:b w:val="0"/>
                <w:color w:val="19212A"/>
                <w:sz w:val="13"/>
              </w:rPr>
              <w:t>$0.31bn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0.000/0.000/0.000</w:t>
            </w:r>
          </w:p>
        </w:tc>
        <w:tc>
          <w:tcPr>
            <w:tcW w:type="dxa" w:w="1522"/>
            <w:vAlign w:val="center"/>
          </w:tcPr>
          <w:p>
            <w:pPr>
              <w:spacing w:after="0" w:line="240" w:lineRule="auto"/>
            </w:pPr>
            <w:r>
              <w:rPr>
                <w:rFonts w:ascii="Microsoft YaHei" w:hAnsi="Microsoft YaHei" w:eastAsia="Microsoft YaHei"/>
                <w:b w:val="0"/>
                <w:color w:val="19212A"/>
                <w:sz w:val="13"/>
              </w:rPr>
              <w:t>价格涨/OI增，反弹中有杠杆回补，末端Taker仍偏弱</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24小时上涨 0.48%、OI 增加 0.00%，最近三小时 Taker 为 0.044、0.044、0.044：价格与OI同步增加更像反弹中的杠杆回补，但末端 Taker 尚未稳定站上1.10，不能直接当成趋势反转。ETH 24小时上涨 0.56%、OI 增加 0.00%；SOL 24小时上涨 0.63%、OI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CVD。来源：OKX 永续合约备选源（Binance/Bybit 本轮不可用）。</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0.61</w:t>
            </w:r>
          </w:p>
        </w:tc>
        <w:tc>
          <w:tcPr>
            <w:tcW w:type="dxa" w:w="1776"/>
            <w:vAlign w:val="center"/>
          </w:tcPr>
          <w:p>
            <w:pPr>
              <w:spacing w:after="0" w:line="240" w:lineRule="auto"/>
            </w:pPr>
            <w:r>
              <w:rPr>
                <w:rFonts w:ascii="Microsoft YaHei" w:hAnsi="Microsoft YaHei" w:eastAsia="Microsoft YaHei"/>
                <w:b w:val="0"/>
                <w:color w:val="19212A"/>
                <w:sz w:val="14"/>
              </w:rPr>
              <w:t>16OCT26</w:t>
            </w:r>
          </w:p>
        </w:tc>
        <w:tc>
          <w:tcPr>
            <w:tcW w:type="dxa" w:w="1776"/>
            <w:vAlign w:val="center"/>
          </w:tcPr>
          <w:p>
            <w:pPr>
              <w:spacing w:after="0" w:line="240" w:lineRule="auto"/>
            </w:pPr>
            <w:r>
              <w:rPr>
                <w:rFonts w:ascii="Microsoft YaHei" w:hAnsi="Microsoft YaHei" w:eastAsia="Microsoft YaHei"/>
                <w:b w:val="0"/>
                <w:color w:val="19212A"/>
                <w:sz w:val="14"/>
              </w:rPr>
              <w:t>1.27</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0.51</w:t>
            </w:r>
          </w:p>
        </w:tc>
        <w:tc>
          <w:tcPr>
            <w:tcW w:type="dxa" w:w="1776"/>
            <w:vAlign w:val="center"/>
            <w:shd w:fill="EAF2F8"/>
          </w:tcPr>
          <w:p>
            <w:pPr>
              <w:spacing w:after="0" w:line="240" w:lineRule="auto"/>
            </w:pPr>
            <w:r>
              <w:rPr>
                <w:rFonts w:ascii="Microsoft YaHei" w:hAnsi="Microsoft YaHei" w:eastAsia="Microsoft YaHei"/>
                <w:b w:val="0"/>
                <w:color w:val="19212A"/>
                <w:sz w:val="14"/>
              </w:rPr>
              <w:t>16OCT26</w:t>
            </w:r>
          </w:p>
        </w:tc>
        <w:tc>
          <w:tcPr>
            <w:tcW w:type="dxa" w:w="1776"/>
            <w:vAlign w:val="center"/>
            <w:shd w:fill="EAF2F8"/>
          </w:tcPr>
          <w:p>
            <w:pPr>
              <w:spacing w:after="0" w:line="240" w:lineRule="auto"/>
            </w:pPr>
            <w:r>
              <w:rPr>
                <w:rFonts w:ascii="Microsoft YaHei" w:hAnsi="Microsoft YaHei" w:eastAsia="Microsoft YaHei"/>
                <w:b w:val="0"/>
                <w:color w:val="19212A"/>
                <w:sz w:val="14"/>
              </w:rPr>
              <w:t>0.58</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0.61、近月 1.27；ETH 全期限 0.51、近月 0.58。本轮只取得期权持仓结构，没有稳定的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81,141</w:t>
            </w:r>
          </w:p>
        </w:tc>
        <w:tc>
          <w:tcPr>
            <w:tcW w:type="dxa" w:w="1522"/>
            <w:vAlign w:val="center"/>
          </w:tcPr>
          <w:p>
            <w:pPr>
              <w:spacing w:after="0" w:line="240" w:lineRule="auto"/>
            </w:pPr>
            <w:r>
              <w:rPr>
                <w:rFonts w:ascii="Microsoft YaHei" w:hAnsi="Microsoft YaHei" w:eastAsia="Microsoft YaHei"/>
                <w:b w:val="0"/>
                <w:color w:val="19212A"/>
                <w:sz w:val="12"/>
              </w:rPr>
              <w:t>81,334</w:t>
            </w:r>
          </w:p>
        </w:tc>
        <w:tc>
          <w:tcPr>
            <w:tcW w:type="dxa" w:w="1522"/>
            <w:vAlign w:val="center"/>
          </w:tcPr>
          <w:p>
            <w:pPr>
              <w:spacing w:after="0" w:line="240" w:lineRule="auto"/>
            </w:pPr>
            <w:r>
              <w:rPr>
                <w:rFonts w:ascii="Microsoft YaHei" w:hAnsi="Microsoft YaHei" w:eastAsia="Microsoft YaHei"/>
                <w:b w:val="0"/>
                <w:color w:val="19212A"/>
                <w:sz w:val="12"/>
              </w:rPr>
              <w:t>83,541</w:t>
            </w:r>
          </w:p>
        </w:tc>
        <w:tc>
          <w:tcPr>
            <w:tcW w:type="dxa" w:w="1522"/>
            <w:vAlign w:val="center"/>
          </w:tcPr>
          <w:p>
            <w:pPr>
              <w:spacing w:after="0" w:line="240" w:lineRule="auto"/>
            </w:pPr>
            <w:r>
              <w:rPr>
                <w:rFonts w:ascii="Microsoft YaHei" w:hAnsi="Microsoft YaHei" w:eastAsia="Microsoft YaHei"/>
                <w:b w:val="0"/>
                <w:color w:val="19212A"/>
                <w:sz w:val="12"/>
              </w:rPr>
              <w:t>81,141 / 80,641 / 81,141</w:t>
            </w:r>
          </w:p>
        </w:tc>
        <w:tc>
          <w:tcPr>
            <w:tcW w:type="dxa" w:w="1522"/>
            <w:vAlign w:val="center"/>
          </w:tcPr>
          <w:p>
            <w:pPr>
              <w:spacing w:after="0" w:line="240" w:lineRule="auto"/>
            </w:pPr>
            <w:r>
              <w:rPr>
                <w:rFonts w:ascii="Microsoft YaHei" w:hAnsi="Microsoft YaHei" w:eastAsia="Microsoft YaHei"/>
                <w:b w:val="0"/>
                <w:color w:val="19212A"/>
                <w:sz w:val="12"/>
              </w:rPr>
              <w:t>83,541 / 84,041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2,349</w:t>
            </w:r>
          </w:p>
        </w:tc>
        <w:tc>
          <w:tcPr>
            <w:tcW w:type="dxa" w:w="1522"/>
            <w:vAlign w:val="center"/>
            <w:shd w:fill="EAF2F8"/>
          </w:tcPr>
          <w:p>
            <w:pPr>
              <w:spacing w:after="0" w:line="240" w:lineRule="auto"/>
            </w:pPr>
            <w:r>
              <w:rPr>
                <w:rFonts w:ascii="Microsoft YaHei" w:hAnsi="Microsoft YaHei" w:eastAsia="Microsoft YaHei"/>
                <w:b w:val="0"/>
                <w:color w:val="19212A"/>
                <w:sz w:val="12"/>
              </w:rPr>
              <w:t>2,369</w:t>
            </w:r>
          </w:p>
        </w:tc>
        <w:tc>
          <w:tcPr>
            <w:tcW w:type="dxa" w:w="1522"/>
            <w:vAlign w:val="center"/>
            <w:shd w:fill="EAF2F8"/>
          </w:tcPr>
          <w:p>
            <w:pPr>
              <w:spacing w:after="0" w:line="240" w:lineRule="auto"/>
            </w:pPr>
            <w:r>
              <w:rPr>
                <w:rFonts w:ascii="Microsoft YaHei" w:hAnsi="Microsoft YaHei" w:eastAsia="Microsoft YaHei"/>
                <w:b w:val="0"/>
                <w:color w:val="19212A"/>
                <w:sz w:val="12"/>
              </w:rPr>
              <w:t>2,508</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104.22</w:t>
            </w:r>
          </w:p>
        </w:tc>
        <w:tc>
          <w:tcPr>
            <w:tcW w:type="dxa" w:w="1522"/>
            <w:vAlign w:val="center"/>
          </w:tcPr>
          <w:p>
            <w:pPr>
              <w:spacing w:after="0" w:line="240" w:lineRule="auto"/>
            </w:pPr>
            <w:r>
              <w:rPr>
                <w:rFonts w:ascii="Microsoft YaHei" w:hAnsi="Microsoft YaHei" w:eastAsia="Microsoft YaHei"/>
                <w:b w:val="0"/>
                <w:color w:val="19212A"/>
                <w:sz w:val="12"/>
              </w:rPr>
              <w:t>107.27</w:t>
            </w:r>
          </w:p>
        </w:tc>
        <w:tc>
          <w:tcPr>
            <w:tcW w:type="dxa" w:w="1522"/>
            <w:vAlign w:val="center"/>
          </w:tcPr>
          <w:p>
            <w:pPr>
              <w:spacing w:after="0" w:line="240" w:lineRule="auto"/>
            </w:pPr>
            <w:r>
              <w:rPr>
                <w:rFonts w:ascii="Microsoft YaHei" w:hAnsi="Microsoft YaHei" w:eastAsia="Microsoft YaHei"/>
                <w:b w:val="0"/>
                <w:color w:val="19212A"/>
                <w:sz w:val="12"/>
              </w:rPr>
              <w:t>112.80</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9.8137</w:t>
            </w:r>
          </w:p>
        </w:tc>
        <w:tc>
          <w:tcPr>
            <w:tcW w:type="dxa" w:w="1522"/>
            <w:vAlign w:val="center"/>
            <w:shd w:fill="EAF2F8"/>
          </w:tcPr>
          <w:p>
            <w:pPr>
              <w:spacing w:after="0" w:line="240" w:lineRule="auto"/>
            </w:pPr>
            <w:r>
              <w:rPr>
                <w:rFonts w:ascii="Microsoft YaHei" w:hAnsi="Microsoft YaHei" w:eastAsia="Microsoft YaHei"/>
                <w:b w:val="0"/>
                <w:color w:val="19212A"/>
                <w:sz w:val="12"/>
              </w:rPr>
              <w:t>9.9497</w:t>
            </w:r>
          </w:p>
        </w:tc>
        <w:tc>
          <w:tcPr>
            <w:tcW w:type="dxa" w:w="1522"/>
            <w:vAlign w:val="center"/>
            <w:shd w:fill="EAF2F8"/>
          </w:tcPr>
          <w:p>
            <w:pPr>
              <w:spacing w:after="0" w:line="240" w:lineRule="auto"/>
            </w:pPr>
            <w:r>
              <w:rPr>
                <w:rFonts w:ascii="Microsoft YaHei" w:hAnsi="Microsoft YaHei" w:eastAsia="Microsoft YaHei"/>
                <w:b w:val="0"/>
                <w:color w:val="19212A"/>
                <w:sz w:val="12"/>
              </w:rPr>
              <w:t>10.9321</w:t>
            </w:r>
          </w:p>
        </w:tc>
        <w:tc>
          <w:tcPr>
            <w:tcW w:type="dxa" w:w="1522"/>
            <w:vAlign w:val="center"/>
            <w:shd w:fill="EAF2F8"/>
          </w:tcPr>
          <w:p>
            <w:pPr>
              <w:spacing w:after="0" w:line="240" w:lineRule="auto"/>
            </w:pPr>
            <w:r>
              <w:rPr>
                <w:rFonts w:ascii="Microsoft YaHei" w:hAnsi="Microsoft YaHei" w:eastAsia="Microsoft YaHei"/>
                <w:b w:val="0"/>
                <w:color w:val="19212A"/>
                <w:sz w:val="12"/>
              </w:rPr>
              <w:t>9.3300 / 9.8137</w:t>
            </w:r>
          </w:p>
        </w:tc>
        <w:tc>
          <w:tcPr>
            <w:tcW w:type="dxa" w:w="1522"/>
            <w:vAlign w:val="center"/>
            <w:shd w:fill="EAF2F8"/>
          </w:tcPr>
          <w:p>
            <w:pPr>
              <w:spacing w:after="0" w:line="240" w:lineRule="auto"/>
            </w:pPr>
            <w:r>
              <w:rPr>
                <w:rFonts w:ascii="Microsoft YaHei" w:hAnsi="Microsoft YaHei" w:eastAsia="Microsoft YaHei"/>
                <w:b w:val="0"/>
                <w:color w:val="19212A"/>
                <w:sz w:val="12"/>
              </w:rPr>
              <w:t>10.9321 / 10.0850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1.3064</w:t>
            </w:r>
          </w:p>
        </w:tc>
        <w:tc>
          <w:tcPr>
            <w:tcW w:type="dxa" w:w="1522"/>
            <w:vAlign w:val="center"/>
          </w:tcPr>
          <w:p>
            <w:pPr>
              <w:spacing w:after="0" w:line="240" w:lineRule="auto"/>
            </w:pPr>
            <w:r>
              <w:rPr>
                <w:rFonts w:ascii="Microsoft YaHei" w:hAnsi="Microsoft YaHei" w:eastAsia="Microsoft YaHei"/>
                <w:b w:val="0"/>
                <w:color w:val="19212A"/>
                <w:sz w:val="12"/>
              </w:rPr>
              <w:t>1.3076</w:t>
            </w:r>
          </w:p>
        </w:tc>
        <w:tc>
          <w:tcPr>
            <w:tcW w:type="dxa" w:w="1522"/>
            <w:vAlign w:val="center"/>
          </w:tcPr>
          <w:p>
            <w:pPr>
              <w:spacing w:after="0" w:line="240" w:lineRule="auto"/>
            </w:pPr>
            <w:r>
              <w:rPr>
                <w:rFonts w:ascii="Microsoft YaHei" w:hAnsi="Microsoft YaHei" w:eastAsia="Microsoft YaHei"/>
                <w:b w:val="0"/>
                <w:color w:val="19212A"/>
                <w:sz w:val="12"/>
              </w:rPr>
              <w:t>1.3724</w:t>
            </w:r>
          </w:p>
        </w:tc>
        <w:tc>
          <w:tcPr>
            <w:tcW w:type="dxa" w:w="1522"/>
            <w:vAlign w:val="center"/>
          </w:tcPr>
          <w:p>
            <w:pPr>
              <w:spacing w:after="0" w:line="240" w:lineRule="auto"/>
            </w:pPr>
            <w:r>
              <w:rPr>
                <w:rFonts w:ascii="Microsoft YaHei" w:hAnsi="Microsoft YaHei" w:eastAsia="Microsoft YaHei"/>
                <w:b w:val="0"/>
                <w:color w:val="19212A"/>
                <w:sz w:val="12"/>
              </w:rPr>
              <w:t>1.2826 / 1.3064</w:t>
            </w:r>
          </w:p>
        </w:tc>
        <w:tc>
          <w:tcPr>
            <w:tcW w:type="dxa" w:w="1522"/>
            <w:vAlign w:val="center"/>
          </w:tcPr>
          <w:p>
            <w:pPr>
              <w:spacing w:after="0" w:line="240" w:lineRule="auto"/>
            </w:pPr>
            <w:r>
              <w:rPr>
                <w:rFonts w:ascii="Microsoft YaHei" w:hAnsi="Microsoft YaHei" w:eastAsia="Microsoft YaHei"/>
                <w:b w:val="0"/>
                <w:color w:val="19212A"/>
                <w:sz w:val="12"/>
              </w:rPr>
              <w:t>1.3724 / 1.3469</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81,141 与 VAH 83,541 之间、靠近 POC 81,334，说明价格在正常成交区中部，不自动等于多头或空头；下沿扫低收回才有多头条件，上沿 83,441-83,621 失败才有空头条件。AVAX 的 POC 约 9.9497、XRP 的 POC 约 1.3076，只代表这五天成交最密集处。真实全网清算热力图本轮未取得，图中上下方数字只是止损/流动性代理，不代表真实清算金额。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+0.48%</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+0.56%</w:t>
            </w:r>
          </w:p>
        </w:tc>
        <w:tc>
          <w:tcPr>
            <w:tcW w:type="dxa" w:w="2131"/>
            <w:vAlign w:val="center"/>
            <w:shd w:fill="EAF2F8"/>
          </w:tcPr>
          <w:p>
            <w:pPr>
              <w:spacing w:after="0" w:line="240" w:lineRule="auto"/>
            </w:pPr>
            <w:r>
              <w:rPr>
                <w:rFonts w:ascii="Microsoft YaHei" w:hAnsi="Microsoft YaHei" w:eastAsia="Microsoft YaHei"/>
                <w:b w:val="0"/>
                <w:color w:val="19212A"/>
                <w:sz w:val="14"/>
              </w:rPr>
              <w:t>ETH/BTC +0.18%</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+0.63% / +0.74% / +0.34%</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+0.47% / +0.34% / -0.64%</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+0.26pp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+0.74%；OI +0.00%；Funding +0.0067%；Taker 0.048</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-0.14pp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+0.34%；OI +0.00%；Funding +0.0088%；Taker 0.776</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+0.26pp</w:t>
            </w:r>
          </w:p>
        </w:tc>
        <w:tc>
          <w:tcPr>
            <w:tcW w:type="dxa" w:w="2664"/>
            <w:vAlign w:val="center"/>
          </w:tcPr>
          <w:p>
            <w:pPr>
              <w:spacing w:after="0" w:line="240" w:lineRule="auto"/>
            </w:pPr>
            <w:r>
              <w:rPr>
                <w:rFonts w:ascii="Microsoft YaHei" w:hAnsi="Microsoft YaHei" w:eastAsia="Microsoft YaHei"/>
                <w:b w:val="0"/>
                <w:color w:val="19212A"/>
                <w:sz w:val="14"/>
              </w:rPr>
              <w:t>-0.14pp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0.048</w:t>
            </w:r>
          </w:p>
        </w:tc>
        <w:tc>
          <w:tcPr>
            <w:tcW w:type="dxa" w:w="2664"/>
            <w:vAlign w:val="center"/>
          </w:tcPr>
          <w:p>
            <w:pPr>
              <w:spacing w:after="0" w:line="240" w:lineRule="auto"/>
            </w:pPr>
            <w:r>
              <w:rPr>
                <w:rFonts w:ascii="Microsoft YaHei" w:hAnsi="Microsoft YaHei" w:eastAsia="Microsoft YaHei"/>
                <w:b w:val="0"/>
                <w:color w:val="19212A"/>
                <w:sz w:val="14"/>
              </w:rPr>
              <w:t>OI +0.00%，Taker 0.776</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S1/S2c 条件卡没有可核验成交，所以没有模型交易，也不能计入 Kelly。今天两端条件卡都只是触发后执行的预案；每张有效卡的最大风险预算仍是0.10%，不是要求必须用满的目标仓位。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已落地：CPI-U 9月环比 +0.6%，同比 +3.7%；能源价格上升是主要推动项。</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已落地：最终需求PPI 9月环比 +1.3%，为2022年3月以来最大月度涨幅。</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已落地（结果待核验）</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或‘已落地（结果待核验）’，并单独写首次确认时间和本次新增变化。CPI与PPI已按官方发布结果更新，不再列为待公布；下一项待公布节点为 FOMC meeting and press conference（2026-10-29 around 02:00 BJT）。CLARITY投票没有新日期，只保留历史结果。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83,441-83,621是否触达；15m/30m能否冲高失败、跌回VAH 83,541下方并形成LH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83,441-83,621是否触达；反弹后能否重新跌回VAL下方并形成LH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OI增加后是否继续；Taker能否从0.044回落并再次转弱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会涨还是跌，而是观察下沿是否扫过 VAL 81,141 后收回形成 HL，或上沿 83,441-83,621 是否冲高失败形成 LH。当前价附近不追空，也不直接抄底；只有触发对应条件后，才按表内 Entry、Max Entry、止损和目标执行。</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w:t>
            </w:r>
          </w:p>
        </w:tc>
        <w:tc>
          <w:tcPr>
            <w:tcW w:type="dxa" w:w="2131"/>
            <w:vAlign w:val="center"/>
          </w:tcPr>
          <w:p>
            <w:pPr>
              <w:spacing w:after="0" w:line="240" w:lineRule="auto"/>
            </w:pPr>
            <w:r>
              <w:rPr>
                <w:rFonts w:ascii="Microsoft YaHei" w:hAnsi="Microsoft YaHei" w:eastAsia="Microsoft YaHei"/>
                <w:b w:val="0"/>
                <w:color w:val="19212A"/>
                <w:sz w:val="12"/>
              </w:rPr>
              <w:t>2026-10-16T09:37:09.264818+08:00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fallback where noted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2026-10-16T09:37:09.264818+08:00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2026-10-16 09:37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latest published values in current input;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2026-10-16T09:37:09.264818+08:00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2026-10-16T09:37:09.264818+08:00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2026-10-16T09:37:09.264818+08:00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2026-10-16T09:37:09.264818+08:00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OKX 永续合约备选源（Binance/Bybit 本轮不可用）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2026-10-16T09:37:09.264818+08:00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2026-10-16</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2026-10-16</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2026-10-16T09:37:09.264818+08:00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2026-10-16</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- 2026-10-16</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