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w:t>
      </w:r>
    </w:p>
    <w:p>
      <w:pPr>
        <w:spacing w:after="160"/>
        <w:jc w:val="center"/>
      </w:pPr>
      <w:r>
        <w:rPr>
          <w:rFonts w:ascii="Microsoft YaHei" w:hAnsi="Microsoft YaHei" w:eastAsia="Microsoft YaHei"/>
          <w:b w:val="0"/>
          <w:color w:val="5A5A5A"/>
          <w:sz w:val="16"/>
        </w:rPr>
        <w:t>2026-10-15 | 市场快照 09:23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2026-10-15T09:23:25.469756+08:00 的 Binance 同轮行情、衍生品、Deribit 期权、Binance/OKX 现货成交带与盘口快照；ETF BTC 最新公开值到 2026-10-07，ETH/SOL 当日值未完整取得，宏观、催化剂与大佬观点核验截止 2026-10-15 09:23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81,600 位于 POC 83,632 上方、接近价值区上半部，不直接追多或追空；今天下沿多头路径因 POC 过近、TP1 净R:R不足而 INVALID，不执行。唯一保留的条件路径是上方 83,983-84,163 冲高受阻后做空。条件卡有效至 2026-10-15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4H区间 / 现价位于价值区中上部</w:t>
            </w:r>
          </w:p>
        </w:tc>
        <w:tc>
          <w:tcPr>
            <w:tcW w:type="dxa" w:w="2131"/>
            <w:vAlign w:val="center"/>
          </w:tcPr>
          <w:p>
            <w:pPr>
              <w:spacing w:after="0" w:line="240" w:lineRule="auto"/>
            </w:pPr>
            <w:r>
              <w:rPr>
                <w:rFonts w:ascii="Microsoft YaHei" w:hAnsi="Microsoft YaHei" w:eastAsia="Microsoft YaHei"/>
                <w:b w:val="0"/>
                <w:color w:val="19212A"/>
                <w:sz w:val="14"/>
              </w:rPr>
              <w:t>下沿多头 INVALID（POC过近）；只保留上沿 83,983-84,163 受阻做空</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82,649-84,083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2,482 收回与 EMA20 2,491，无独立交易卡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2,491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106.10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EMA20 107.38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的4H是区间，ETH/SOL处于过渡，因此当前更准确的描述是‘中线震荡、短线偏弱’，还不是确认的大级别牛市或熊市。今天下沿多头因第一阻力过近而取消，只保留上沿受阻空头条件。</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多（S1/S5）INVALID</w:t>
            </w:r>
          </w:p>
        </w:tc>
        <w:tc>
          <w:tcPr>
            <w:tcW w:type="dxa" w:w="1332"/>
            <w:vAlign w:val="center"/>
          </w:tcPr>
          <w:p>
            <w:pPr>
              <w:spacing w:after="0" w:line="240" w:lineRule="auto"/>
            </w:pPr>
            <w:r>
              <w:rPr>
                <w:rFonts w:ascii="Microsoft YaHei" w:hAnsi="Microsoft YaHei" w:eastAsia="Microsoft YaHei"/>
                <w:b w:val="0"/>
                <w:color w:val="19212A"/>
                <w:sz w:val="12"/>
              </w:rPr>
              <w:t>下沿 82,549-82,699 即使扫低收回也不执行：POC 83,632 距离过近，TP1净R:R不足</w:t>
            </w:r>
          </w:p>
        </w:tc>
        <w:tc>
          <w:tcPr>
            <w:tcW w:type="dxa" w:w="1332"/>
            <w:vAlign w:val="center"/>
          </w:tcPr>
          <w:p>
            <w:pPr>
              <w:spacing w:after="0" w:line="240" w:lineRule="auto"/>
            </w:pPr>
            <w:r>
              <w:rPr>
                <w:rFonts w:ascii="Microsoft YaHei" w:hAnsi="Microsoft YaHei" w:eastAsia="Microsoft YaHei"/>
                <w:b w:val="0"/>
                <w:color w:val="19212A"/>
                <w:sz w:val="12"/>
              </w:rPr>
              <w:t>82,549-82,699 / 82,699</w:t>
            </w:r>
          </w:p>
        </w:tc>
        <w:tc>
          <w:tcPr>
            <w:tcW w:type="dxa" w:w="1332"/>
            <w:vAlign w:val="center"/>
          </w:tcPr>
          <w:p>
            <w:pPr>
              <w:spacing w:after="0" w:line="240" w:lineRule="auto"/>
            </w:pPr>
            <w:r>
              <w:rPr>
                <w:rFonts w:ascii="Microsoft YaHei" w:hAnsi="Microsoft YaHei" w:eastAsia="Microsoft YaHei"/>
                <w:b w:val="0"/>
                <w:color w:val="19212A"/>
                <w:sz w:val="12"/>
              </w:rPr>
              <w:t>82,149</w:t>
            </w:r>
          </w:p>
        </w:tc>
        <w:tc>
          <w:tcPr>
            <w:tcW w:type="dxa" w:w="1332"/>
            <w:vAlign w:val="center"/>
          </w:tcPr>
          <w:p>
            <w:pPr>
              <w:spacing w:after="0" w:line="240" w:lineRule="auto"/>
            </w:pPr>
            <w:r>
              <w:rPr>
                <w:rFonts w:ascii="Microsoft YaHei" w:hAnsi="Microsoft YaHei" w:eastAsia="Microsoft YaHei"/>
                <w:b w:val="0"/>
                <w:color w:val="19212A"/>
                <w:sz w:val="12"/>
              </w:rPr>
              <w:t>83,632 / 84,083</w:t>
            </w:r>
          </w:p>
        </w:tc>
        <w:tc>
          <w:tcPr>
            <w:tcW w:type="dxa" w:w="1332"/>
            <w:vAlign w:val="center"/>
          </w:tcPr>
          <w:p>
            <w:pPr>
              <w:spacing w:after="0" w:line="240" w:lineRule="auto"/>
            </w:pPr>
            <w:r>
              <w:rPr>
                <w:rFonts w:ascii="Microsoft YaHei" w:hAnsi="Microsoft YaHei" w:eastAsia="Microsoft YaHei"/>
                <w:b w:val="0"/>
                <w:color w:val="19212A"/>
                <w:sz w:val="12"/>
              </w:rPr>
              <w:t>TP1 1:1.28；加权 1:1.70</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空（S5上沿受阻回落）</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83,983-84,163，15m/30m出现冲高失败、LH并重新跌回 VAH 84,083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83,983-84,163 / 84,163</w:t>
            </w:r>
          </w:p>
        </w:tc>
        <w:tc>
          <w:tcPr>
            <w:tcW w:type="dxa" w:w="1332"/>
            <w:vAlign w:val="center"/>
            <w:shd w:fill="EAF2F8"/>
          </w:tcPr>
          <w:p>
            <w:pPr>
              <w:spacing w:after="0" w:line="240" w:lineRule="auto"/>
            </w:pPr>
            <w:r>
              <w:rPr>
                <w:rFonts w:ascii="Microsoft YaHei" w:hAnsi="Microsoft YaHei" w:eastAsia="Microsoft YaHei"/>
                <w:b w:val="0"/>
                <w:color w:val="19212A"/>
                <w:sz w:val="12"/>
              </w:rPr>
              <w:t>84,583</w:t>
            </w:r>
          </w:p>
        </w:tc>
        <w:tc>
          <w:tcPr>
            <w:tcW w:type="dxa" w:w="1332"/>
            <w:vAlign w:val="center"/>
            <w:shd w:fill="EAF2F8"/>
          </w:tcPr>
          <w:p>
            <w:pPr>
              <w:spacing w:after="0" w:line="240" w:lineRule="auto"/>
            </w:pPr>
            <w:r>
              <w:rPr>
                <w:rFonts w:ascii="Microsoft YaHei" w:hAnsi="Microsoft YaHei" w:eastAsia="Microsoft YaHei"/>
                <w:b w:val="0"/>
                <w:color w:val="19212A"/>
                <w:sz w:val="12"/>
              </w:rPr>
              <w:t>83,632 / 82,649</w:t>
            </w:r>
          </w:p>
        </w:tc>
        <w:tc>
          <w:tcPr>
            <w:tcW w:type="dxa" w:w="1332"/>
            <w:vAlign w:val="center"/>
            <w:shd w:fill="EAF2F8"/>
          </w:tcPr>
          <w:p>
            <w:pPr>
              <w:spacing w:after="0" w:line="240" w:lineRule="auto"/>
            </w:pPr>
            <w:r>
              <w:rPr>
                <w:rFonts w:ascii="Microsoft YaHei" w:hAnsi="Microsoft YaHei" w:eastAsia="Microsoft YaHei"/>
                <w:b w:val="0"/>
                <w:color w:val="19212A"/>
                <w:sz w:val="12"/>
              </w:rPr>
              <w:t>TP1 1:0.83；加权 1:1.96</w:t>
            </w:r>
          </w:p>
        </w:tc>
        <w:tc>
          <w:tcPr>
            <w:tcW w:type="dxa" w:w="1332"/>
            <w:vAlign w:val="center"/>
            <w:shd w:fill="EAF2F8"/>
          </w:tcPr>
          <w:p>
            <w:pPr>
              <w:spacing w:after="0" w:line="240" w:lineRule="auto"/>
            </w:pPr>
            <w:r>
              <w:rPr>
                <w:rFonts w:ascii="Microsoft YaHei" w:hAnsi="Microsoft YaHei" w:eastAsia="Microsoft YaHei"/>
                <w:b w:val="0"/>
                <w:color w:val="19212A"/>
                <w:sz w:val="12"/>
              </w:rPr>
              <w:t>2026-10-15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当前在 POC 83,632 附近，POC 可以理解为最近成交最拥挤的中轴，不是追单位置。今天下沿多头卡因第一阻力过近被取消；只有上方 83,983-84,163 冲高失败、跌回 VAH 下方并形成 LH，才考虑做空。每张有效卡最多0.10%账户风险，只是亏损上限，不是必须用满的目标仓位。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窗口</w:t>
            </w:r>
          </w:p>
        </w:tc>
        <w:tc>
          <w:tcPr>
            <w:tcW w:type="dxa" w:w="1332"/>
            <w:shd w:fill="1F4E78"/>
          </w:tcPr>
          <w:p>
            <w:r>
              <w:rPr>
                <w:rFonts w:ascii="Microsoft YaHei" w:hAnsi="Microsoft YaHei" w:eastAsia="Microsoft YaHei"/>
                <w:b/>
                <w:color w:val="FFFFFF"/>
                <w:sz w:val="13"/>
              </w:rPr>
              <w:t>统计±1σ</w:t>
            </w:r>
          </w:p>
        </w:tc>
        <w:tc>
          <w:tcPr>
            <w:tcW w:type="dxa" w:w="1332"/>
            <w:shd w:fill="1F4E78"/>
          </w:tcPr>
          <w:p>
            <w:r>
              <w:rPr>
                <w:rFonts w:ascii="Microsoft YaHei" w:hAnsi="Microsoft YaHei" w:eastAsia="Microsoft YaHei"/>
                <w:b/>
                <w:color w:val="FFFFFF"/>
                <w:sz w:val="13"/>
              </w:rPr>
              <w:t>条件底带</w:t>
            </w:r>
          </w:p>
        </w:tc>
        <w:tc>
          <w:tcPr>
            <w:tcW w:type="dxa" w:w="1332"/>
            <w:shd w:fill="1F4E78"/>
          </w:tcPr>
          <w:p>
            <w:r>
              <w:rPr>
                <w:rFonts w:ascii="Microsoft YaHei" w:hAnsi="Microsoft YaHei" w:eastAsia="Microsoft YaHei"/>
                <w:b/>
                <w:color w:val="FFFFFF"/>
                <w:sz w:val="13"/>
              </w:rPr>
              <w:t>条件顶带</w:t>
            </w:r>
          </w:p>
        </w:tc>
        <w:tc>
          <w:tcPr>
            <w:tcW w:type="dxa" w:w="1332"/>
            <w:shd w:fill="1F4E78"/>
          </w:tcPr>
          <w:p>
            <w:r>
              <w:rPr>
                <w:rFonts w:ascii="Microsoft YaHei" w:hAnsi="Microsoft YaHei" w:eastAsia="Microsoft YaHei"/>
                <w:b/>
                <w:color w:val="FFFFFF"/>
                <w:sz w:val="13"/>
              </w:rPr>
              <w:t>历史近邻：底/顶/无</w:t>
            </w:r>
          </w:p>
        </w:tc>
        <w:tc>
          <w:tcPr>
            <w:tcW w:type="dxa" w:w="1332"/>
            <w:shd w:fill="1F4E78"/>
          </w:tcPr>
          <w:p>
            <w:r>
              <w:rPr>
                <w:rFonts w:ascii="Microsoft YaHei" w:hAnsi="Microsoft YaHei" w:eastAsia="Microsoft YaHei"/>
                <w:b/>
                <w:color w:val="FFFFFF"/>
                <w:sz w:val="13"/>
              </w:rPr>
              <w:t>双向洗盘</w:t>
            </w:r>
          </w:p>
        </w:tc>
        <w:tc>
          <w:tcPr>
            <w:tcW w:type="dxa" w:w="1332"/>
            <w:shd w:fill="1F4E78"/>
          </w:tcPr>
          <w:p>
            <w:r>
              <w:rPr>
                <w:rFonts w:ascii="Microsoft YaHei" w:hAnsi="Microsoft YaHei" w:eastAsia="Microsoft YaHei"/>
                <w:b/>
                <w:color w:val="FFFFFF"/>
                <w:sz w:val="13"/>
              </w:rPr>
              <w:t>有效N</w:t>
            </w:r>
          </w:p>
        </w:tc>
        <w:tc>
          <w:tcPr>
            <w:tcW w:type="dxa" w:w="1332"/>
            <w:shd w:fill="1F4E78"/>
          </w:tcPr>
          <w:p>
            <w:r>
              <w:rPr>
                <w:rFonts w:ascii="Microsoft YaHei" w:hAnsi="Microsoft YaHei" w:eastAsia="Microsoft YaHei"/>
                <w:b/>
                <w:color w:val="FFFFFF"/>
                <w:sz w:val="13"/>
              </w:rPr>
              <w:t>状态</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24h</w:t>
            </w:r>
          </w:p>
        </w:tc>
        <w:tc>
          <w:tcPr>
            <w:tcW w:type="dxa" w:w="1332"/>
            <w:vAlign w:val="center"/>
          </w:tcPr>
          <w:p>
            <w:pPr>
              <w:spacing w:after="0" w:line="240" w:lineRule="auto"/>
            </w:pPr>
            <w:r>
              <w:rPr>
                <w:rFonts w:ascii="Microsoft YaHei" w:hAnsi="Microsoft YaHei" w:eastAsia="Microsoft YaHei"/>
                <w:b w:val="0"/>
                <w:color w:val="19212A"/>
                <w:sz w:val="13"/>
              </w:rPr>
              <w:t>80,053-83,261</w:t>
            </w:r>
          </w:p>
        </w:tc>
        <w:tc>
          <w:tcPr>
            <w:tcW w:type="dxa" w:w="1332"/>
            <w:vAlign w:val="center"/>
          </w:tcPr>
          <w:p>
            <w:pPr>
              <w:spacing w:after="0" w:line="240" w:lineRule="auto"/>
            </w:pPr>
            <w:r>
              <w:rPr>
                <w:rFonts w:ascii="Microsoft YaHei" w:hAnsi="Microsoft YaHei" w:eastAsia="Microsoft YaHei"/>
                <w:b w:val="0"/>
                <w:color w:val="19212A"/>
                <w:sz w:val="13"/>
              </w:rPr>
              <w:t>79,695-81,487</w:t>
            </w:r>
          </w:p>
        </w:tc>
        <w:tc>
          <w:tcPr>
            <w:tcW w:type="dxa" w:w="1332"/>
            <w:vAlign w:val="center"/>
          </w:tcPr>
          <w:p>
            <w:pPr>
              <w:spacing w:after="0" w:line="240" w:lineRule="auto"/>
            </w:pPr>
            <w:r>
              <w:rPr>
                <w:rFonts w:ascii="Microsoft YaHei" w:hAnsi="Microsoft YaHei" w:eastAsia="Microsoft YaHei"/>
                <w:b w:val="0"/>
                <w:color w:val="19212A"/>
                <w:sz w:val="13"/>
              </w:rPr>
              <w:t>82,309-83,666</w:t>
            </w:r>
          </w:p>
        </w:tc>
        <w:tc>
          <w:tcPr>
            <w:tcW w:type="dxa" w:w="1332"/>
            <w:vAlign w:val="center"/>
          </w:tcPr>
          <w:p>
            <w:pPr>
              <w:spacing w:after="0" w:line="240" w:lineRule="auto"/>
            </w:pPr>
            <w:r>
              <w:rPr>
                <w:rFonts w:ascii="Microsoft YaHei" w:hAnsi="Microsoft YaHei" w:eastAsia="Microsoft YaHei"/>
                <w:b w:val="0"/>
                <w:color w:val="19212A"/>
                <w:sz w:val="13"/>
              </w:rPr>
              <w:t>10.4% / 43.2% / 46.4%</w:t>
            </w:r>
          </w:p>
        </w:tc>
        <w:tc>
          <w:tcPr>
            <w:tcW w:type="dxa" w:w="1332"/>
            <w:vAlign w:val="center"/>
          </w:tcPr>
          <w:p>
            <w:pPr>
              <w:spacing w:after="0" w:line="240" w:lineRule="auto"/>
            </w:pPr>
            <w:r>
              <w:rPr>
                <w:rFonts w:ascii="Microsoft YaHei" w:hAnsi="Microsoft YaHei" w:eastAsia="Microsoft YaHei"/>
                <w:b w:val="0"/>
                <w:color w:val="19212A"/>
                <w:sz w:val="13"/>
              </w:rPr>
              <w:t>6.4%</w:t>
            </w:r>
          </w:p>
        </w:tc>
        <w:tc>
          <w:tcPr>
            <w:tcW w:type="dxa" w:w="1332"/>
            <w:vAlign w:val="center"/>
          </w:tcPr>
          <w:p>
            <w:pPr>
              <w:spacing w:after="0" w:line="240" w:lineRule="auto"/>
            </w:pPr>
            <w:r>
              <w:rPr>
                <w:rFonts w:ascii="Microsoft YaHei" w:hAnsi="Microsoft YaHei" w:eastAsia="Microsoft YaHei"/>
                <w:b w:val="0"/>
                <w:color w:val="19212A"/>
                <w:sz w:val="13"/>
              </w:rPr>
              <w:t>30.6</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shd w:fill="EAF2F8"/>
          </w:tcPr>
          <w:p>
            <w:pPr>
              <w:spacing w:after="0" w:line="240" w:lineRule="auto"/>
            </w:pPr>
            <w:r>
              <w:rPr>
                <w:rFonts w:ascii="Microsoft YaHei" w:hAnsi="Microsoft YaHei" w:eastAsia="Microsoft YaHei"/>
                <w:b w:val="0"/>
                <w:color w:val="19212A"/>
                <w:sz w:val="13"/>
              </w:rPr>
              <w:t>72h</w:t>
            </w:r>
          </w:p>
        </w:tc>
        <w:tc>
          <w:tcPr>
            <w:tcW w:type="dxa" w:w="1332"/>
            <w:vAlign w:val="center"/>
            <w:shd w:fill="EAF2F8"/>
          </w:tcPr>
          <w:p>
            <w:pPr>
              <w:spacing w:after="0" w:line="240" w:lineRule="auto"/>
            </w:pPr>
            <w:r>
              <w:rPr>
                <w:rFonts w:ascii="Microsoft YaHei" w:hAnsi="Microsoft YaHei" w:eastAsia="Microsoft YaHei"/>
                <w:b w:val="0"/>
                <w:color w:val="19212A"/>
                <w:sz w:val="13"/>
              </w:rPr>
              <w:t>78,910-84,468</w:t>
            </w:r>
          </w:p>
        </w:tc>
        <w:tc>
          <w:tcPr>
            <w:tcW w:type="dxa" w:w="1332"/>
            <w:vAlign w:val="center"/>
            <w:shd w:fill="EAF2F8"/>
          </w:tcPr>
          <w:p>
            <w:pPr>
              <w:spacing w:after="0" w:line="240" w:lineRule="auto"/>
            </w:pPr>
            <w:r>
              <w:rPr>
                <w:rFonts w:ascii="Microsoft YaHei" w:hAnsi="Microsoft YaHei" w:eastAsia="Microsoft YaHei"/>
                <w:b w:val="0"/>
                <w:color w:val="19212A"/>
                <w:sz w:val="13"/>
              </w:rPr>
              <w:t>77,518-80,931</w:t>
            </w:r>
          </w:p>
        </w:tc>
        <w:tc>
          <w:tcPr>
            <w:tcW w:type="dxa" w:w="1332"/>
            <w:vAlign w:val="center"/>
            <w:shd w:fill="EAF2F8"/>
          </w:tcPr>
          <w:p>
            <w:pPr>
              <w:spacing w:after="0" w:line="240" w:lineRule="auto"/>
            </w:pPr>
            <w:r>
              <w:rPr>
                <w:rFonts w:ascii="Microsoft YaHei" w:hAnsi="Microsoft YaHei" w:eastAsia="Microsoft YaHei"/>
                <w:b w:val="0"/>
                <w:color w:val="19212A"/>
                <w:sz w:val="13"/>
              </w:rPr>
              <w:t>83,480-84,136</w:t>
            </w:r>
          </w:p>
        </w:tc>
        <w:tc>
          <w:tcPr>
            <w:tcW w:type="dxa" w:w="1332"/>
            <w:vAlign w:val="center"/>
            <w:shd w:fill="EAF2F8"/>
          </w:tcPr>
          <w:p>
            <w:pPr>
              <w:spacing w:after="0" w:line="240" w:lineRule="auto"/>
            </w:pPr>
            <w:r>
              <w:rPr>
                <w:rFonts w:ascii="Microsoft YaHei" w:hAnsi="Microsoft YaHei" w:eastAsia="Microsoft YaHei"/>
                <w:b w:val="0"/>
                <w:color w:val="19212A"/>
                <w:sz w:val="13"/>
              </w:rPr>
              <w:t>14.0% / 77.9% / 8.1%</w:t>
            </w:r>
          </w:p>
        </w:tc>
        <w:tc>
          <w:tcPr>
            <w:tcW w:type="dxa" w:w="1332"/>
            <w:vAlign w:val="center"/>
            <w:shd w:fill="EAF2F8"/>
          </w:tcPr>
          <w:p>
            <w:pPr>
              <w:spacing w:after="0" w:line="240" w:lineRule="auto"/>
            </w:pPr>
            <w:r>
              <w:rPr>
                <w:rFonts w:ascii="Microsoft YaHei" w:hAnsi="Microsoft YaHei" w:eastAsia="Microsoft YaHei"/>
                <w:b w:val="0"/>
                <w:color w:val="19212A"/>
                <w:sz w:val="13"/>
              </w:rPr>
              <w:t>61.5%</w:t>
            </w:r>
          </w:p>
        </w:tc>
        <w:tc>
          <w:tcPr>
            <w:tcW w:type="dxa" w:w="1332"/>
            <w:vAlign w:val="center"/>
            <w:shd w:fill="EAF2F8"/>
          </w:tcPr>
          <w:p>
            <w:pPr>
              <w:spacing w:after="0" w:line="240" w:lineRule="auto"/>
            </w:pPr>
            <w:r>
              <w:rPr>
                <w:rFonts w:ascii="Microsoft YaHei" w:hAnsi="Microsoft YaHei" w:eastAsia="Microsoft YaHei"/>
                <w:b w:val="0"/>
                <w:color w:val="19212A"/>
                <w:sz w:val="13"/>
              </w:rPr>
              <w:t>19.4</w:t>
            </w:r>
          </w:p>
        </w:tc>
        <w:tc>
          <w:tcPr>
            <w:tcW w:type="dxa" w:w="1332"/>
            <w:vAlign w:val="center"/>
            <w:shd w:fill="EAF2F8"/>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7d</w:t>
            </w:r>
          </w:p>
        </w:tc>
        <w:tc>
          <w:tcPr>
            <w:tcW w:type="dxa" w:w="1332"/>
            <w:vAlign w:val="center"/>
          </w:tcPr>
          <w:p>
            <w:pPr>
              <w:spacing w:after="0" w:line="240" w:lineRule="auto"/>
            </w:pPr>
            <w:r>
              <w:rPr>
                <w:rFonts w:ascii="Microsoft YaHei" w:hAnsi="Microsoft YaHei" w:eastAsia="Microsoft YaHei"/>
                <w:b w:val="0"/>
                <w:color w:val="19212A"/>
                <w:sz w:val="13"/>
              </w:rPr>
              <w:t>81,427-84,083</w:t>
            </w:r>
          </w:p>
        </w:tc>
        <w:tc>
          <w:tcPr>
            <w:tcW w:type="dxa" w:w="1332"/>
            <w:vAlign w:val="center"/>
          </w:tcPr>
          <w:p>
            <w:pPr>
              <w:spacing w:after="0" w:line="240" w:lineRule="auto"/>
            </w:pPr>
            <w:r>
              <w:rPr>
                <w:rFonts w:ascii="Microsoft YaHei" w:hAnsi="Microsoft YaHei" w:eastAsia="Microsoft YaHei"/>
                <w:b w:val="0"/>
                <w:color w:val="19212A"/>
                <w:sz w:val="13"/>
              </w:rPr>
              <w:t>82,649-83,632</w:t>
            </w:r>
          </w:p>
        </w:tc>
        <w:tc>
          <w:tcPr>
            <w:tcW w:type="dxa" w:w="1332"/>
            <w:vAlign w:val="center"/>
          </w:tcPr>
          <w:p>
            <w:pPr>
              <w:spacing w:after="0" w:line="240" w:lineRule="auto"/>
            </w:pPr>
            <w:r>
              <w:rPr>
                <w:rFonts w:ascii="Microsoft YaHei" w:hAnsi="Microsoft YaHei" w:eastAsia="Microsoft YaHei"/>
                <w:b w:val="0"/>
                <w:color w:val="19212A"/>
                <w:sz w:val="13"/>
              </w:rPr>
              <w:t>83,632-84,083</w:t>
            </w:r>
          </w:p>
        </w:tc>
        <w:tc>
          <w:tcPr>
            <w:tcW w:type="dxa" w:w="1332"/>
            <w:vAlign w:val="center"/>
          </w:tcPr>
          <w:p>
            <w:pPr>
              <w:spacing w:after="0" w:line="240" w:lineRule="auto"/>
            </w:pPr>
            <w:r>
              <w:rPr>
                <w:rFonts w:ascii="Microsoft YaHei" w:hAnsi="Microsoft YaHei" w:eastAsia="Microsoft YaHei"/>
                <w:b w:val="0"/>
                <w:color w:val="19212A"/>
                <w:sz w:val="13"/>
              </w:rPr>
              <w:t>0.0% / 0.0% / 100.0%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这不是胜率。当前统计带只用于说明波动范围，不能把某一个点位当成绝对顶部。今天更重要的是观察上沿 83,983-84,163 是否冲高失败并形成LH；VAL 82,649 即使收回，也因POC过近而暂不构成多头交易条件。</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82,649 / POC 83,632 / VAH 84,083</w:t>
            </w:r>
          </w:p>
        </w:tc>
        <w:tc>
          <w:tcPr>
            <w:tcW w:type="dxa" w:w="2131"/>
            <w:vAlign w:val="center"/>
          </w:tcPr>
          <w:p>
            <w:pPr>
              <w:spacing w:after="0" w:line="240" w:lineRule="auto"/>
            </w:pPr>
            <w:r>
              <w:rPr>
                <w:rFonts w:ascii="Microsoft YaHei" w:hAnsi="Microsoft YaHei" w:eastAsia="Microsoft YaHei"/>
                <w:b w:val="0"/>
                <w:color w:val="19212A"/>
                <w:sz w:val="14"/>
              </w:rPr>
              <w:t>HTF_TREND_DOWN + CONSOLIDATION</w:t>
            </w:r>
          </w:p>
        </w:tc>
        <w:tc>
          <w:tcPr>
            <w:tcW w:type="dxa" w:w="2131"/>
            <w:vAlign w:val="center"/>
          </w:tcPr>
          <w:p>
            <w:pPr>
              <w:spacing w:after="0" w:line="240" w:lineRule="auto"/>
            </w:pPr>
            <w:r>
              <w:rPr>
                <w:rFonts w:ascii="Microsoft YaHei" w:hAnsi="Microsoft YaHei" w:eastAsia="Microsoft YaHei"/>
                <w:b w:val="0"/>
                <w:color w:val="19212A"/>
                <w:sz w:val="14"/>
              </w:rPr>
              <w:t>区间中部不追单；下沿多 INVALID；只等上沿受阻空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2,482 / POC 2,502 / VAH 2,568</w:t>
            </w:r>
          </w:p>
        </w:tc>
        <w:tc>
          <w:tcPr>
            <w:tcW w:type="dxa" w:w="2131"/>
            <w:vAlign w:val="center"/>
            <w:shd w:fill="EAF2F8"/>
          </w:tcPr>
          <w:p>
            <w:pPr>
              <w:spacing w:after="0" w:line="240" w:lineRule="auto"/>
            </w:pPr>
            <w:r>
              <w:rPr>
                <w:rFonts w:ascii="Microsoft YaHei" w:hAnsi="Microsoft YaHei" w:eastAsia="Microsoft YaHei"/>
                <w:b w:val="0"/>
                <w:color w:val="19212A"/>
                <w:sz w:val="14"/>
              </w:rPr>
              <w:t>HTF_TREND_DOWN + CONSOLIDATION</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106.10 / POC 107.31 / VAH 112.24</w:t>
            </w:r>
          </w:p>
        </w:tc>
        <w:tc>
          <w:tcPr>
            <w:tcW w:type="dxa" w:w="2131"/>
            <w:vAlign w:val="center"/>
          </w:tcPr>
          <w:p>
            <w:pPr>
              <w:spacing w:after="0" w:line="240" w:lineRule="auto"/>
            </w:pPr>
            <w:r>
              <w:rPr>
                <w:rFonts w:ascii="Microsoft YaHei" w:hAnsi="Microsoft YaHei" w:eastAsia="Microsoft YaHei"/>
                <w:b w:val="0"/>
                <w:color w:val="19212A"/>
                <w:sz w:val="14"/>
              </w:rPr>
              <w:t>HTF_TREND_DOWN + CONSOLIDATION</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-3.41%；DOGE -3.82%；AVAX -3.85%</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83,632 是最近五天成交最密集的价格，可理解为短期筹码最拥挤的‘价格磁铁’；VAL 82,649 是正常震荡区下沿，VAH 84,083 是正常震荡区上沿。BTC 当前在 POC 上方、靠近价值区上半部，但仍未进入上沿执行带，不是自动做多或做空；今天下沿多头因 POC 过近而取消，只等待上沿冲高失败。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82,649后快速收回，卖压减弱并形成HL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本轮24h低点仍在 VAL 上方，尚未触达下沿扫单区</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BTC/ETH处于过渡区，不给趋势回踩卡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下沿多头 INVALID；只保留上沿 83,983-84,163 受阻做空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在 POC 83,632 上方、处于价值区中上部，不能把反弹强度当成追多信号。今天下沿多头因 POC 过近而取消，空头只等上沿 83,983-84,163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S5上沿受阻空；下沿多 INVALID</w:t>
            </w:r>
          </w:p>
        </w:tc>
        <w:tc>
          <w:tcPr>
            <w:tcW w:type="dxa" w:w="710"/>
            <w:vAlign w:val="center"/>
          </w:tcPr>
          <w:p>
            <w:pPr>
              <w:spacing w:after="0" w:line="240" w:lineRule="auto"/>
            </w:pPr>
            <w:r>
              <w:rPr>
                <w:rFonts w:ascii="Microsoft YaHei" w:hAnsi="Microsoft YaHei" w:eastAsia="Microsoft YaHei"/>
                <w:b w:val="0"/>
                <w:color w:val="19212A"/>
                <w:sz w:val="11"/>
              </w:rPr>
              <w:t>HTF_RANGE + RANGE_MIDDLE_UPPER_HALF</w:t>
            </w:r>
          </w:p>
        </w:tc>
        <w:tc>
          <w:tcPr>
            <w:tcW w:type="dxa" w:w="710"/>
            <w:vAlign w:val="center"/>
          </w:tcPr>
          <w:p>
            <w:pPr>
              <w:spacing w:after="0" w:line="240" w:lineRule="auto"/>
            </w:pPr>
            <w:r>
              <w:rPr>
                <w:rFonts w:ascii="Microsoft YaHei" w:hAnsi="Microsoft YaHei" w:eastAsia="Microsoft YaHei"/>
                <w:b w:val="0"/>
                <w:color w:val="19212A"/>
                <w:sz w:val="11"/>
              </w:rPr>
              <w:t>现价位于POC上方、接近价值区上半部；下沿第一阻力过近，只有上沿有合格位置</w:t>
            </w:r>
          </w:p>
        </w:tc>
        <w:tc>
          <w:tcPr>
            <w:tcW w:type="dxa" w:w="710"/>
            <w:vAlign w:val="center"/>
          </w:tcPr>
          <w:p>
            <w:pPr>
              <w:spacing w:after="0" w:line="240" w:lineRule="auto"/>
            </w:pPr>
            <w:r>
              <w:rPr>
                <w:rFonts w:ascii="Microsoft YaHei" w:hAnsi="Microsoft YaHei" w:eastAsia="Microsoft YaHei"/>
                <w:b w:val="0"/>
                <w:color w:val="19212A"/>
                <w:sz w:val="11"/>
              </w:rPr>
              <w:t>空：触及 VAH 84,083 后跌回；现价 81,600</w:t>
            </w:r>
          </w:p>
        </w:tc>
        <w:tc>
          <w:tcPr>
            <w:tcW w:type="dxa" w:w="710"/>
            <w:vAlign w:val="center"/>
          </w:tcPr>
          <w:p>
            <w:pPr>
              <w:spacing w:after="0" w:line="240" w:lineRule="auto"/>
            </w:pPr>
            <w:r>
              <w:rPr>
                <w:rFonts w:ascii="Microsoft YaHei" w:hAnsi="Microsoft YaHei" w:eastAsia="Microsoft YaHei"/>
                <w:b w:val="0"/>
                <w:color w:val="19212A"/>
                <w:sz w:val="11"/>
              </w:rPr>
              <w:t>空 84,103</w:t>
            </w:r>
          </w:p>
        </w:tc>
        <w:tc>
          <w:tcPr>
            <w:tcW w:type="dxa" w:w="710"/>
            <w:vAlign w:val="center"/>
          </w:tcPr>
          <w:p>
            <w:pPr>
              <w:spacing w:after="0" w:line="240" w:lineRule="auto"/>
            </w:pPr>
            <w:r>
              <w:rPr>
                <w:rFonts w:ascii="Microsoft YaHei" w:hAnsi="Microsoft YaHei" w:eastAsia="Microsoft YaHei"/>
                <w:b w:val="0"/>
                <w:color w:val="19212A"/>
                <w:sz w:val="11"/>
              </w:rPr>
              <w:t>空 84,163</w:t>
            </w:r>
          </w:p>
        </w:tc>
        <w:tc>
          <w:tcPr>
            <w:tcW w:type="dxa" w:w="710"/>
            <w:vAlign w:val="center"/>
          </w:tcPr>
          <w:p>
            <w:pPr>
              <w:spacing w:after="0" w:line="240" w:lineRule="auto"/>
            </w:pPr>
            <w:r>
              <w:rPr>
                <w:rFonts w:ascii="Microsoft YaHei" w:hAnsi="Microsoft YaHei" w:eastAsia="Microsoft YaHei"/>
                <w:b w:val="0"/>
                <w:color w:val="19212A"/>
                <w:sz w:val="11"/>
              </w:rPr>
              <w:t>空 84,583</w:t>
            </w:r>
          </w:p>
        </w:tc>
        <w:tc>
          <w:tcPr>
            <w:tcW w:type="dxa" w:w="710"/>
            <w:vAlign w:val="center"/>
          </w:tcPr>
          <w:p>
            <w:pPr>
              <w:spacing w:after="0" w:line="240" w:lineRule="auto"/>
            </w:pPr>
            <w:r>
              <w:rPr>
                <w:rFonts w:ascii="Microsoft YaHei" w:hAnsi="Microsoft YaHei" w:eastAsia="Microsoft YaHei"/>
                <w:b w:val="0"/>
                <w:color w:val="19212A"/>
                <w:sz w:val="11"/>
              </w:rPr>
              <w:t>空看 POC 83,632</w:t>
            </w:r>
          </w:p>
        </w:tc>
        <w:tc>
          <w:tcPr>
            <w:tcW w:type="dxa" w:w="710"/>
            <w:vAlign w:val="center"/>
          </w:tcPr>
          <w:p>
            <w:pPr>
              <w:spacing w:after="0" w:line="240" w:lineRule="auto"/>
            </w:pPr>
            <w:r>
              <w:rPr>
                <w:rFonts w:ascii="Microsoft YaHei" w:hAnsi="Microsoft YaHei" w:eastAsia="Microsoft YaHei"/>
                <w:b w:val="0"/>
                <w:color w:val="19212A"/>
                <w:sz w:val="11"/>
              </w:rPr>
              <w:t>空看 VAL 82,649</w:t>
            </w:r>
          </w:p>
        </w:tc>
        <w:tc>
          <w:tcPr>
            <w:tcW w:type="dxa" w:w="710"/>
            <w:vAlign w:val="center"/>
          </w:tcPr>
          <w:p>
            <w:pPr>
              <w:spacing w:after="0" w:line="240" w:lineRule="auto"/>
            </w:pPr>
            <w:r>
              <w:rPr>
                <w:rFonts w:ascii="Microsoft YaHei" w:hAnsi="Microsoft YaHei" w:eastAsia="Microsoft YaHei"/>
                <w:b w:val="0"/>
                <w:color w:val="19212A"/>
                <w:sz w:val="11"/>
              </w:rPr>
              <w:t>空 1:1.96</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最多0.10%账户风险上限</w:t>
            </w:r>
          </w:p>
        </w:tc>
        <w:tc>
          <w:tcPr>
            <w:tcW w:type="dxa" w:w="710"/>
            <w:vAlign w:val="center"/>
          </w:tcPr>
          <w:p>
            <w:pPr>
              <w:spacing w:after="0" w:line="240" w:lineRule="auto"/>
            </w:pPr>
            <w:r>
              <w:rPr>
                <w:rFonts w:ascii="Microsoft YaHei" w:hAnsi="Microsoft YaHei" w:eastAsia="Microsoft YaHei"/>
                <w:b w:val="0"/>
                <w:color w:val="19212A"/>
                <w:sz w:val="11"/>
              </w:rPr>
              <w:t>跌回VAH下并形成LH</w:t>
            </w:r>
          </w:p>
        </w:tc>
        <w:tc>
          <w:tcPr>
            <w:tcW w:type="dxa" w:w="710"/>
            <w:vAlign w:val="center"/>
          </w:tcPr>
          <w:p>
            <w:pPr>
              <w:spacing w:after="0" w:line="240" w:lineRule="auto"/>
            </w:pPr>
            <w:r>
              <w:rPr>
                <w:rFonts w:ascii="Microsoft YaHei" w:hAnsi="Microsoft YaHei" w:eastAsia="Microsoft YaHei"/>
                <w:b w:val="0"/>
                <w:color w:val="19212A"/>
                <w:sz w:val="11"/>
              </w:rPr>
              <w:t>重新站稳Max Entry即取消；超过Max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仍在中部。下沿多头因 POC 距离过近被取消；只有到上沿 83,983-84,163 并出现受阻、跌回 VAH 下方形成 LH，才从等待进入执行判断；触发后也不能超过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BTC价值区上沿 + S5</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BTC上沿受阻空1张条件卡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下沿多头TP1净R:R不足；ETH/SOL未给更好位置；山寨未形成题材共振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扫描了13个流动标的，只有 BTC 上沿的 S5 受阻做空路径通过位置和动态盈亏比检查。下沿多头因第一阻力过近、TP1净R:R不足而 INVALID；当前空头卡仍未触发，没有模型成交，当前价附近不追单。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 下沿收回多 / 上沿受阻空</w:t>
            </w:r>
          </w:p>
        </w:tc>
        <w:tc>
          <w:tcPr>
            <w:tcW w:type="dxa" w:w="888"/>
            <w:vAlign w:val="center"/>
          </w:tcPr>
          <w:p>
            <w:pPr>
              <w:spacing w:after="0" w:line="240" w:lineRule="auto"/>
            </w:pPr>
            <w:r>
              <w:rPr>
                <w:rFonts w:ascii="Microsoft YaHei" w:hAnsi="Microsoft YaHei" w:eastAsia="Microsoft YaHei"/>
                <w:b w:val="0"/>
                <w:color w:val="19212A"/>
                <w:sz w:val="13"/>
              </w:rPr>
              <w:t>HTF_RANGE / RANGE_MIDDLE_UPPER_HALF</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S5_RANGE_EDGE_SWEEP_RECLAIM_REJECTION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20.0%</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10.0%-20.0%</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S5上沿受阻空；下沿多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INVALID_LONG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82,649 / POC 83,632 / VAH 84,083，下沿多头因第一阻力过近取消，仅保留上沿空头条件卡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82,649、POC 83,632、VAH 84,083，当前 Regime 为4H区间、执行级别位于中上部；下沿多头因第一阻力过近取消，只保留上沿冲高失败做空。这是按新快照和新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81,600.00 / -2.10%</w:t>
            </w:r>
          </w:p>
        </w:tc>
        <w:tc>
          <w:tcPr>
            <w:tcW w:type="dxa" w:w="1776"/>
            <w:vAlign w:val="center"/>
          </w:tcPr>
          <w:p>
            <w:pPr>
              <w:spacing w:after="0" w:line="240" w:lineRule="auto"/>
            </w:pPr>
            <w:r>
              <w:rPr>
                <w:rFonts w:ascii="Microsoft YaHei" w:hAnsi="Microsoft YaHei" w:eastAsia="Microsoft YaHei"/>
                <w:b w:val="0"/>
                <w:color w:val="19212A"/>
                <w:sz w:val="14"/>
              </w:rPr>
              <w:t>82,648.71 / 83,631.74 / 84,083.40</w:t>
            </w:r>
          </w:p>
        </w:tc>
        <w:tc>
          <w:tcPr>
            <w:tcW w:type="dxa" w:w="1776"/>
            <w:vAlign w:val="center"/>
          </w:tcPr>
          <w:p>
            <w:pPr>
              <w:spacing w:after="0" w:line="240" w:lineRule="auto"/>
            </w:pPr>
            <w:r>
              <w:rPr>
                <w:rFonts w:ascii="Microsoft YaHei" w:hAnsi="Microsoft YaHei" w:eastAsia="Microsoft YaHei"/>
                <w:b w:val="0"/>
                <w:color w:val="19212A"/>
                <w:sz w:val="14"/>
              </w:rPr>
              <w:t>+0.0042%</w:t>
            </w:r>
          </w:p>
        </w:tc>
        <w:tc>
          <w:tcPr>
            <w:tcW w:type="dxa" w:w="1776"/>
            <w:vAlign w:val="center"/>
          </w:tcPr>
          <w:p>
            <w:pPr>
              <w:spacing w:after="0" w:line="240" w:lineRule="auto"/>
            </w:pPr>
            <w:r>
              <w:rPr>
                <w:rFonts w:ascii="Microsoft YaHei" w:hAnsi="Microsoft YaHei" w:eastAsia="Microsoft YaHei"/>
                <w:b w:val="0"/>
                <w:color w:val="19212A"/>
                <w:sz w:val="14"/>
              </w:rPr>
              <w:t>$2.56bn / +0.00%</w:t>
            </w:r>
          </w:p>
        </w:tc>
        <w:tc>
          <w:tcPr>
            <w:tcW w:type="dxa" w:w="1776"/>
            <w:vAlign w:val="center"/>
          </w:tcPr>
          <w:p>
            <w:pPr>
              <w:spacing w:after="0" w:line="240" w:lineRule="auto"/>
            </w:pPr>
            <w:r>
              <w:rPr>
                <w:rFonts w:ascii="Microsoft YaHei" w:hAnsi="Microsoft YaHei" w:eastAsia="Microsoft YaHei"/>
                <w:b w:val="0"/>
                <w:color w:val="19212A"/>
                <w:sz w:val="14"/>
              </w:rPr>
              <w:t>1.842 / 1.842 / 1.842</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2,413.93 / -3.64%</w:t>
            </w:r>
          </w:p>
        </w:tc>
        <w:tc>
          <w:tcPr>
            <w:tcW w:type="dxa" w:w="1776"/>
            <w:vAlign w:val="center"/>
            <w:shd w:fill="EAF2F8"/>
          </w:tcPr>
          <w:p>
            <w:pPr>
              <w:spacing w:after="0" w:line="240" w:lineRule="auto"/>
            </w:pPr>
            <w:r>
              <w:rPr>
                <w:rFonts w:ascii="Microsoft YaHei" w:hAnsi="Microsoft YaHei" w:eastAsia="Microsoft YaHei"/>
                <w:b w:val="0"/>
                <w:color w:val="19212A"/>
                <w:sz w:val="14"/>
              </w:rPr>
              <w:t>2,482.46 / 2,502.26 / 2,567.75</w:t>
            </w:r>
          </w:p>
        </w:tc>
        <w:tc>
          <w:tcPr>
            <w:tcW w:type="dxa" w:w="1776"/>
            <w:vAlign w:val="center"/>
            <w:shd w:fill="EAF2F8"/>
          </w:tcPr>
          <w:p>
            <w:pPr>
              <w:spacing w:after="0" w:line="240" w:lineRule="auto"/>
            </w:pPr>
            <w:r>
              <w:rPr>
                <w:rFonts w:ascii="Microsoft YaHei" w:hAnsi="Microsoft YaHei" w:eastAsia="Microsoft YaHei"/>
                <w:b w:val="0"/>
                <w:color w:val="19212A"/>
                <w:sz w:val="14"/>
              </w:rPr>
              <w:t>+0.0100%</w:t>
            </w:r>
          </w:p>
        </w:tc>
        <w:tc>
          <w:tcPr>
            <w:tcW w:type="dxa" w:w="1776"/>
            <w:vAlign w:val="center"/>
            <w:shd w:fill="EAF2F8"/>
          </w:tcPr>
          <w:p>
            <w:pPr>
              <w:spacing w:after="0" w:line="240" w:lineRule="auto"/>
            </w:pPr>
            <w:r>
              <w:rPr>
                <w:rFonts w:ascii="Microsoft YaHei" w:hAnsi="Microsoft YaHei" w:eastAsia="Microsoft YaHei"/>
                <w:b w:val="0"/>
                <w:color w:val="19212A"/>
                <w:sz w:val="14"/>
              </w:rPr>
              <w:t>$1.54bn / +0.00%</w:t>
            </w:r>
          </w:p>
        </w:tc>
        <w:tc>
          <w:tcPr>
            <w:tcW w:type="dxa" w:w="1776"/>
            <w:vAlign w:val="center"/>
            <w:shd w:fill="EAF2F8"/>
          </w:tcPr>
          <w:p>
            <w:pPr>
              <w:spacing w:after="0" w:line="240" w:lineRule="auto"/>
            </w:pPr>
            <w:r>
              <w:rPr>
                <w:rFonts w:ascii="Microsoft YaHei" w:hAnsi="Microsoft YaHei" w:eastAsia="Microsoft YaHei"/>
                <w:b w:val="0"/>
                <w:color w:val="19212A"/>
                <w:sz w:val="14"/>
              </w:rPr>
              <w:t>1.000 / 1.000 / 1.000</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104.16 / -3.09%</w:t>
            </w:r>
          </w:p>
        </w:tc>
        <w:tc>
          <w:tcPr>
            <w:tcW w:type="dxa" w:w="1776"/>
            <w:vAlign w:val="center"/>
          </w:tcPr>
          <w:p>
            <w:pPr>
              <w:spacing w:after="0" w:line="240" w:lineRule="auto"/>
            </w:pPr>
            <w:r>
              <w:rPr>
                <w:rFonts w:ascii="Microsoft YaHei" w:hAnsi="Microsoft YaHei" w:eastAsia="Microsoft YaHei"/>
                <w:b w:val="0"/>
                <w:color w:val="19212A"/>
                <w:sz w:val="14"/>
              </w:rPr>
              <w:t>106.10 / 107.31 / 112.24</w:t>
            </w:r>
          </w:p>
        </w:tc>
        <w:tc>
          <w:tcPr>
            <w:tcW w:type="dxa" w:w="1776"/>
            <w:vAlign w:val="center"/>
          </w:tcPr>
          <w:p>
            <w:pPr>
              <w:spacing w:after="0" w:line="240" w:lineRule="auto"/>
            </w:pPr>
            <w:r>
              <w:rPr>
                <w:rFonts w:ascii="Microsoft YaHei" w:hAnsi="Microsoft YaHei" w:eastAsia="Microsoft YaHei"/>
                <w:b w:val="0"/>
                <w:color w:val="19212A"/>
                <w:sz w:val="14"/>
              </w:rPr>
              <w:t>+0.0027%</w:t>
            </w:r>
          </w:p>
        </w:tc>
        <w:tc>
          <w:tcPr>
            <w:tcW w:type="dxa" w:w="1776"/>
            <w:vAlign w:val="center"/>
          </w:tcPr>
          <w:p>
            <w:pPr>
              <w:spacing w:after="0" w:line="240" w:lineRule="auto"/>
            </w:pPr>
            <w:r>
              <w:rPr>
                <w:rFonts w:ascii="Microsoft YaHei" w:hAnsi="Microsoft YaHei" w:eastAsia="Microsoft YaHei"/>
                <w:b w:val="0"/>
                <w:color w:val="19212A"/>
                <w:sz w:val="14"/>
              </w:rPr>
              <w:t>$0.32bn / +0.00%</w:t>
            </w:r>
          </w:p>
        </w:tc>
        <w:tc>
          <w:tcPr>
            <w:tcW w:type="dxa" w:w="1776"/>
            <w:vAlign w:val="center"/>
          </w:tcPr>
          <w:p>
            <w:pPr>
              <w:spacing w:after="0" w:line="240" w:lineRule="auto"/>
            </w:pPr>
            <w:r>
              <w:rPr>
                <w:rFonts w:ascii="Microsoft YaHei" w:hAnsi="Microsoft YaHei" w:eastAsia="Microsoft YaHei"/>
                <w:b w:val="0"/>
                <w:color w:val="19212A"/>
                <w:sz w:val="14"/>
              </w:rPr>
              <w:t>18.129 / 18.129 / 18.129</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1.842，今天只有上沿冲高失败形成更低高点，才有空头交易依据；下沿多头要等价值区重算后第一阻力拉开。</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日正常成交区。数据：Binance USDⓈ-M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7,718.94</w:t>
            </w:r>
          </w:p>
        </w:tc>
        <w:tc>
          <w:tcPr>
            <w:tcW w:type="dxa" w:w="2664"/>
            <w:vAlign w:val="center"/>
            <w:shd w:fill="EAF2F8"/>
          </w:tcPr>
          <w:p>
            <w:pPr>
              <w:spacing w:after="0" w:line="240" w:lineRule="auto"/>
            </w:pPr>
            <w:r>
              <w:rPr>
                <w:rFonts w:ascii="Microsoft YaHei" w:hAnsi="Microsoft YaHei" w:eastAsia="Microsoft YaHei"/>
                <w:b w:val="0"/>
                <w:color w:val="19212A"/>
                <w:sz w:val="14"/>
              </w:rPr>
              <w:t>-1.11%</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26,692.87</w:t>
            </w:r>
          </w:p>
        </w:tc>
        <w:tc>
          <w:tcPr>
            <w:tcW w:type="dxa" w:w="2664"/>
            <w:vAlign w:val="center"/>
          </w:tcPr>
          <w:p>
            <w:pPr>
              <w:spacing w:after="0" w:line="240" w:lineRule="auto"/>
            </w:pPr>
            <w:r>
              <w:rPr>
                <w:rFonts w:ascii="Microsoft YaHei" w:hAnsi="Microsoft YaHei" w:eastAsia="Microsoft YaHei"/>
                <w:b w:val="0"/>
                <w:color w:val="19212A"/>
                <w:sz w:val="14"/>
              </w:rPr>
              <w:t>-1.88%</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102.08</w:t>
            </w:r>
          </w:p>
        </w:tc>
        <w:tc>
          <w:tcPr>
            <w:tcW w:type="dxa" w:w="2664"/>
            <w:vAlign w:val="center"/>
            <w:shd w:fill="EAF2F8"/>
          </w:tcPr>
          <w:p>
            <w:pPr>
              <w:spacing w:after="0" w:line="240" w:lineRule="auto"/>
            </w:pPr>
            <w:r>
              <w:rPr>
                <w:rFonts w:ascii="Microsoft YaHei" w:hAnsi="Microsoft YaHei" w:eastAsia="Microsoft YaHei"/>
                <w:b w:val="0"/>
                <w:color w:val="19212A"/>
                <w:sz w:val="14"/>
              </w:rPr>
              <w:t>-0.46%</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美元边际缓解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5.19</w:t>
            </w:r>
          </w:p>
        </w:tc>
        <w:tc>
          <w:tcPr>
            <w:tcW w:type="dxa" w:w="2664"/>
            <w:vAlign w:val="center"/>
          </w:tcPr>
          <w:p>
            <w:pPr>
              <w:spacing w:after="0" w:line="240" w:lineRule="auto"/>
            </w:pPr>
            <w:r>
              <w:rPr>
                <w:rFonts w:ascii="Microsoft YaHei" w:hAnsi="Microsoft YaHei" w:eastAsia="Microsoft YaHei"/>
                <w:b w:val="0"/>
                <w:color w:val="19212A"/>
                <w:sz w:val="14"/>
              </w:rPr>
              <w:t>-0.52%</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4,164.10</w:t>
            </w:r>
          </w:p>
        </w:tc>
        <w:tc>
          <w:tcPr>
            <w:tcW w:type="dxa" w:w="2664"/>
            <w:vAlign w:val="center"/>
            <w:shd w:fill="EAF2F8"/>
          </w:tcPr>
          <w:p>
            <w:pPr>
              <w:spacing w:after="0" w:line="240" w:lineRule="auto"/>
            </w:pPr>
            <w:r>
              <w:rPr>
                <w:rFonts w:ascii="Microsoft YaHei" w:hAnsi="Microsoft YaHei" w:eastAsia="Microsoft YaHei"/>
                <w:b w:val="0"/>
                <w:color w:val="19212A"/>
                <w:sz w:val="14"/>
              </w:rPr>
              <w:t>-0.32%</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94.23</w:t>
            </w:r>
          </w:p>
        </w:tc>
        <w:tc>
          <w:tcPr>
            <w:tcW w:type="dxa" w:w="2664"/>
            <w:vAlign w:val="center"/>
          </w:tcPr>
          <w:p>
            <w:pPr>
              <w:spacing w:after="0" w:line="240" w:lineRule="auto"/>
            </w:pPr>
            <w:r>
              <w:rPr>
                <w:rFonts w:ascii="Microsoft YaHei" w:hAnsi="Microsoft YaHei" w:eastAsia="Microsoft YaHei"/>
                <w:b w:val="0"/>
                <w:color w:val="19212A"/>
                <w:sz w:val="14"/>
              </w:rPr>
              <w:t>+0.10%</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今天的跨资产信号偏混合：标普和纳指上涨，提供风险偏好支持；但 DXY 与10年期收益率也上行，说明美元和利率仍有压制，黄金上涨又提示避险与通胀对冲需求。宏观没有给出可以覆盖技术结构的单边优势，因此不在 BTC POC 中部猜方向，只等待上沿受阻空；下沿多头因第一阻力过近暂不执行。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条候选标题，并对SEC、Senate、White House、Saylor、Dalio、BlackRock和Warren相关线索复核。结论是 NO_MATERIAL_CHANGE：不是没有抓取，而是没有新的、足以改变仓位或制度预期的立场变化。</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10-01</w:t>
            </w:r>
          </w:p>
        </w:tc>
        <w:tc>
          <w:tcPr>
            <w:tcW w:type="dxa" w:w="2664"/>
            <w:vAlign w:val="center"/>
          </w:tcPr>
          <w:p>
            <w:pPr>
              <w:spacing w:after="0" w:line="240" w:lineRule="auto"/>
            </w:pPr>
            <w:r>
              <w:rPr>
                <w:rFonts w:ascii="Microsoft YaHei" w:hAnsi="Microsoft YaHei" w:eastAsia="Microsoft YaHei"/>
                <w:b w:val="0"/>
                <w:color w:val="19212A"/>
                <w:sz w:val="14"/>
              </w:rPr>
              <w:t>+102.7m</w:t>
            </w:r>
          </w:p>
        </w:tc>
        <w:tc>
          <w:tcPr>
            <w:tcW w:type="dxa" w:w="2664"/>
            <w:vAlign w:val="center"/>
          </w:tcPr>
          <w:p>
            <w:pPr>
              <w:spacing w:after="0" w:line="240" w:lineRule="auto"/>
            </w:pPr>
            <w:r>
              <w:rPr>
                <w:rFonts w:ascii="Microsoft YaHei" w:hAnsi="Microsoft YaHei" w:eastAsia="Microsoft YaHei"/>
                <w:b w:val="0"/>
                <w:color w:val="19212A"/>
                <w:sz w:val="14"/>
              </w:rPr>
              <w:t>-55.4m</w:t>
            </w:r>
          </w:p>
        </w:tc>
        <w:tc>
          <w:tcPr>
            <w:tcW w:type="dxa" w:w="2664"/>
            <w:vAlign w:val="center"/>
          </w:tcPr>
          <w:p>
            <w:pPr>
              <w:spacing w:after="0" w:line="240" w:lineRule="auto"/>
            </w:pPr>
            <w:r>
              <w:rPr>
                <w:rFonts w:ascii="Microsoft YaHei" w:hAnsi="Microsoft YaHei" w:eastAsia="Microsoft YaHei"/>
                <w:b w:val="0"/>
                <w:color w:val="19212A"/>
                <w:sz w:val="14"/>
              </w:rPr>
              <w:t>-1.1m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10-02</w:t>
            </w:r>
          </w:p>
        </w:tc>
        <w:tc>
          <w:tcPr>
            <w:tcW w:type="dxa" w:w="2664"/>
            <w:vAlign w:val="center"/>
            <w:shd w:fill="EAF2F8"/>
          </w:tcPr>
          <w:p>
            <w:pPr>
              <w:spacing w:after="0" w:line="240" w:lineRule="auto"/>
            </w:pPr>
            <w:r>
              <w:rPr>
                <w:rFonts w:ascii="Microsoft YaHei" w:hAnsi="Microsoft YaHei" w:eastAsia="Microsoft YaHei"/>
                <w:b w:val="0"/>
                <w:color w:val="19212A"/>
                <w:sz w:val="14"/>
              </w:rPr>
              <w:t>+189.9m</w:t>
            </w:r>
          </w:p>
        </w:tc>
        <w:tc>
          <w:tcPr>
            <w:tcW w:type="dxa" w:w="2664"/>
            <w:vAlign w:val="center"/>
            <w:shd w:fill="EAF2F8"/>
          </w:tcPr>
          <w:p>
            <w:pPr>
              <w:spacing w:after="0" w:line="240" w:lineRule="auto"/>
            </w:pPr>
            <w:r>
              <w:rPr>
                <w:rFonts w:ascii="Microsoft YaHei" w:hAnsi="Microsoft YaHei" w:eastAsia="Microsoft YaHei"/>
                <w:b w:val="0"/>
                <w:color w:val="19212A"/>
                <w:sz w:val="14"/>
              </w:rPr>
              <w:t>-37.4m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10-05</w:t>
            </w:r>
          </w:p>
        </w:tc>
        <w:tc>
          <w:tcPr>
            <w:tcW w:type="dxa" w:w="2664"/>
            <w:vAlign w:val="center"/>
          </w:tcPr>
          <w:p>
            <w:pPr>
              <w:spacing w:after="0" w:line="240" w:lineRule="auto"/>
            </w:pPr>
            <w:r>
              <w:rPr>
                <w:rFonts w:ascii="Microsoft YaHei" w:hAnsi="Microsoft YaHei" w:eastAsia="Microsoft YaHei"/>
                <w:b w:val="0"/>
                <w:color w:val="19212A"/>
                <w:sz w:val="14"/>
              </w:rPr>
              <w:t>-89.8m</w:t>
            </w:r>
          </w:p>
        </w:tc>
        <w:tc>
          <w:tcPr>
            <w:tcW w:type="dxa" w:w="2664"/>
            <w:vAlign w:val="center"/>
          </w:tcPr>
          <w:p>
            <w:pPr>
              <w:spacing w:after="0" w:line="240" w:lineRule="auto"/>
            </w:pPr>
            <w:r>
              <w:rPr>
                <w:rFonts w:ascii="Microsoft YaHei" w:hAnsi="Microsoft YaHei" w:eastAsia="Microsoft YaHei"/>
                <w:b w:val="0"/>
                <w:color w:val="19212A"/>
                <w:sz w:val="14"/>
              </w:rPr>
              <w:t>-50.8m</w:t>
            </w:r>
          </w:p>
        </w:tc>
        <w:tc>
          <w:tcPr>
            <w:tcW w:type="dxa" w:w="2664"/>
            <w:vAlign w:val="center"/>
          </w:tcPr>
          <w:p>
            <w:pPr>
              <w:spacing w:after="0" w:line="240" w:lineRule="auto"/>
            </w:pPr>
            <w:r>
              <w:rPr>
                <w:rFonts w:ascii="Microsoft YaHei" w:hAnsi="Microsoft YaHei" w:eastAsia="Microsoft YaHei"/>
                <w:b w:val="0"/>
                <w:color w:val="19212A"/>
                <w:sz w:val="14"/>
              </w:rPr>
              <w:t>-9.2m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10-06</w:t>
            </w:r>
          </w:p>
        </w:tc>
        <w:tc>
          <w:tcPr>
            <w:tcW w:type="dxa" w:w="2664"/>
            <w:vAlign w:val="center"/>
            <w:shd w:fill="EAF2F8"/>
          </w:tcPr>
          <w:p>
            <w:pPr>
              <w:spacing w:after="0" w:line="240" w:lineRule="auto"/>
            </w:pPr>
            <w:r>
              <w:rPr>
                <w:rFonts w:ascii="Microsoft YaHei" w:hAnsi="Microsoft YaHei" w:eastAsia="Microsoft YaHei"/>
                <w:b w:val="0"/>
                <w:color w:val="19212A"/>
                <w:sz w:val="14"/>
              </w:rPr>
              <w:t>-3.2m</w:t>
            </w:r>
          </w:p>
        </w:tc>
        <w:tc>
          <w:tcPr>
            <w:tcW w:type="dxa" w:w="2664"/>
            <w:vAlign w:val="center"/>
            <w:shd w:fill="EAF2F8"/>
          </w:tcPr>
          <w:p>
            <w:pPr>
              <w:spacing w:after="0" w:line="240" w:lineRule="auto"/>
            </w:pPr>
            <w:r>
              <w:rPr>
                <w:rFonts w:ascii="Microsoft YaHei" w:hAnsi="Microsoft YaHei" w:eastAsia="Microsoft YaHei"/>
                <w:b w:val="0"/>
                <w:color w:val="19212A"/>
                <w:sz w:val="14"/>
              </w:rPr>
              <w:t>+0.0m</w:t>
            </w:r>
          </w:p>
        </w:tc>
        <w:tc>
          <w:tcPr>
            <w:tcW w:type="dxa" w:w="2664"/>
            <w:vAlign w:val="center"/>
            <w:shd w:fill="EAF2F8"/>
          </w:tcPr>
          <w:p>
            <w:pPr>
              <w:spacing w:after="0" w:line="240" w:lineRule="auto"/>
            </w:pPr>
            <w:r>
              <w:rPr>
                <w:rFonts w:ascii="Microsoft YaHei" w:hAnsi="Microsoft YaHei" w:eastAsia="Microsoft YaHei"/>
                <w:b w:val="0"/>
                <w:color w:val="19212A"/>
                <w:sz w:val="14"/>
              </w:rPr>
              <w:t>-3.7m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10-07</w:t>
            </w:r>
          </w:p>
        </w:tc>
        <w:tc>
          <w:tcPr>
            <w:tcW w:type="dxa" w:w="2664"/>
            <w:vAlign w:val="center"/>
          </w:tcPr>
          <w:p>
            <w:pPr>
              <w:spacing w:after="0" w:line="240" w:lineRule="auto"/>
            </w:pPr>
            <w:r>
              <w:rPr>
                <w:rFonts w:ascii="Microsoft YaHei" w:hAnsi="Microsoft YaHei" w:eastAsia="Microsoft YaHei"/>
                <w:b w:val="0"/>
                <w:color w:val="19212A"/>
                <w:sz w:val="14"/>
              </w:rPr>
              <w:t>+332.2m</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N/A</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已取得的最近发布日里，BTC ETF合计 +531.8m 美元；ETH -143.6m、SOL -12.7m 仅统计已公布的日子，10月7日 ETH/SOL 尚未完整取得，不能把 N/A 当成零流量。稳定币总供应约 $306.9bn，提供中期流动性底座，但不能证明今天正在主动买币。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个发布日净流。BTC 最新公开值到 10 月 7 日；ETH/SOL 部分日期未公布。来源：公开 ETF 流数据汇总。</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152s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66.4%</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211s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29.6%</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242s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54.9%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$4.62m</w:t>
            </w:r>
          </w:p>
        </w:tc>
        <w:tc>
          <w:tcPr>
            <w:tcW w:type="dxa" w:w="2131"/>
            <w:vAlign w:val="center"/>
          </w:tcPr>
          <w:p>
            <w:pPr>
              <w:spacing w:after="0" w:line="240" w:lineRule="auto"/>
            </w:pPr>
            <w:r>
              <w:rPr>
                <w:rFonts w:ascii="Microsoft YaHei" w:hAnsi="Microsoft YaHei" w:eastAsia="Microsoft YaHei"/>
                <w:b w:val="0"/>
                <w:color w:val="19212A"/>
                <w:sz w:val="14"/>
              </w:rPr>
              <w:t>$6.19m</w:t>
            </w:r>
          </w:p>
        </w:tc>
        <w:tc>
          <w:tcPr>
            <w:tcW w:type="dxa" w:w="2131"/>
            <w:vAlign w:val="center"/>
          </w:tcPr>
          <w:p>
            <w:pPr>
              <w:spacing w:after="0" w:line="240" w:lineRule="auto"/>
            </w:pPr>
            <w:r>
              <w:rPr>
                <w:rFonts w:ascii="Microsoft YaHei" w:hAnsi="Microsoft YaHei" w:eastAsia="Microsoft YaHei"/>
                <w:b w:val="0"/>
                <w:color w:val="19212A"/>
                <w:sz w:val="14"/>
              </w:rPr>
              <w:t>-14.5%</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$3.73m</w:t>
            </w:r>
          </w:p>
        </w:tc>
        <w:tc>
          <w:tcPr>
            <w:tcW w:type="dxa" w:w="2131"/>
            <w:vAlign w:val="center"/>
            <w:shd w:fill="EAF2F8"/>
          </w:tcPr>
          <w:p>
            <w:pPr>
              <w:spacing w:after="0" w:line="240" w:lineRule="auto"/>
            </w:pPr>
            <w:r>
              <w:rPr>
                <w:rFonts w:ascii="Microsoft YaHei" w:hAnsi="Microsoft YaHei" w:eastAsia="Microsoft YaHei"/>
                <w:b w:val="0"/>
                <w:color w:val="19212A"/>
                <w:sz w:val="14"/>
              </w:rPr>
              <w:t>$5.73m</w:t>
            </w:r>
          </w:p>
        </w:tc>
        <w:tc>
          <w:tcPr>
            <w:tcW w:type="dxa" w:w="2131"/>
            <w:vAlign w:val="center"/>
            <w:shd w:fill="EAF2F8"/>
          </w:tcPr>
          <w:p>
            <w:pPr>
              <w:spacing w:after="0" w:line="240" w:lineRule="auto"/>
            </w:pPr>
            <w:r>
              <w:rPr>
                <w:rFonts w:ascii="Microsoft YaHei" w:hAnsi="Microsoft YaHei" w:eastAsia="Microsoft YaHei"/>
                <w:b w:val="0"/>
                <w:color w:val="19212A"/>
                <w:sz w:val="14"/>
              </w:rPr>
              <w:t>-21.2%</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$1.61m</w:t>
            </w:r>
          </w:p>
        </w:tc>
        <w:tc>
          <w:tcPr>
            <w:tcW w:type="dxa" w:w="2131"/>
            <w:vAlign w:val="center"/>
          </w:tcPr>
          <w:p>
            <w:pPr>
              <w:spacing w:after="0" w:line="240" w:lineRule="auto"/>
            </w:pPr>
            <w:r>
              <w:rPr>
                <w:rFonts w:ascii="Microsoft YaHei" w:hAnsi="Microsoft YaHei" w:eastAsia="Microsoft YaHei"/>
                <w:b w:val="0"/>
                <w:color w:val="19212A"/>
                <w:sz w:val="14"/>
              </w:rPr>
              <w:t>$1.21m</w:t>
            </w:r>
          </w:p>
        </w:tc>
        <w:tc>
          <w:tcPr>
            <w:tcW w:type="dxa" w:w="2131"/>
            <w:vAlign w:val="center"/>
          </w:tcPr>
          <w:p>
            <w:pPr>
              <w:spacing w:after="0" w:line="240" w:lineRule="auto"/>
            </w:pPr>
            <w:r>
              <w:rPr>
                <w:rFonts w:ascii="Microsoft YaHei" w:hAnsi="Microsoft YaHei" w:eastAsia="Microsoft YaHei"/>
                <w:b w:val="0"/>
                <w:color w:val="19212A"/>
                <w:sz w:val="14"/>
              </w:rPr>
              <w:t>+14.3%</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1,665 BTC @ $85,681</w:t>
            </w:r>
          </w:p>
        </w:tc>
        <w:tc>
          <w:tcPr>
            <w:tcW w:type="dxa" w:w="2131"/>
            <w:vAlign w:val="center"/>
          </w:tcPr>
          <w:p>
            <w:pPr>
              <w:spacing w:after="0" w:line="240" w:lineRule="auto"/>
            </w:pPr>
            <w:r>
              <w:rPr>
                <w:rFonts w:ascii="Microsoft YaHei" w:hAnsi="Microsoft YaHei" w:eastAsia="Microsoft YaHei"/>
                <w:b w:val="0"/>
                <w:color w:val="19212A"/>
                <w:sz w:val="14"/>
              </w:rPr>
              <w:t>847,666 BTC</w:t>
            </w:r>
          </w:p>
        </w:tc>
        <w:tc>
          <w:tcPr>
            <w:tcW w:type="dxa" w:w="2131"/>
            <w:vAlign w:val="center"/>
          </w:tcPr>
          <w:p>
            <w:pPr>
              <w:spacing w:after="0" w:line="240" w:lineRule="auto"/>
            </w:pPr>
            <w:r>
              <w:rPr>
                <w:rFonts w:ascii="Microsoft YaHei" w:hAnsi="Microsoft YaHei" w:eastAsia="Microsoft YaHei"/>
                <w:b w:val="0"/>
                <w:color w:val="19212A"/>
                <w:sz w:val="14"/>
              </w:rPr>
              <w:t>$63.95bn / $75,437</w:t>
            </w:r>
          </w:p>
        </w:tc>
        <w:tc>
          <w:tcPr>
            <w:tcW w:type="dxa" w:w="2131"/>
            <w:vAlign w:val="center"/>
          </w:tcPr>
          <w:p>
            <w:pPr>
              <w:spacing w:after="0" w:line="240" w:lineRule="auto"/>
            </w:pPr>
            <w:r>
              <w:rPr>
                <w:rFonts w:ascii="Microsoft YaHei" w:hAnsi="Microsoft YaHei" w:eastAsia="Microsoft YaHei"/>
                <w:b w:val="0"/>
                <w:color w:val="19212A"/>
                <w:sz w:val="14"/>
              </w:rPr>
              <w:t>2026-09-28</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-2.10%</w:t>
            </w:r>
          </w:p>
        </w:tc>
        <w:tc>
          <w:tcPr>
            <w:tcW w:type="dxa" w:w="1522"/>
            <w:vAlign w:val="center"/>
          </w:tcPr>
          <w:p>
            <w:pPr>
              <w:spacing w:after="0" w:line="240" w:lineRule="auto"/>
            </w:pPr>
            <w:r>
              <w:rPr>
                <w:rFonts w:ascii="Microsoft YaHei" w:hAnsi="Microsoft YaHei" w:eastAsia="Microsoft YaHei"/>
                <w:b w:val="0"/>
                <w:color w:val="19212A"/>
                <w:sz w:val="13"/>
              </w:rPr>
              <w:t>+0.0042%</w:t>
            </w:r>
          </w:p>
        </w:tc>
        <w:tc>
          <w:tcPr>
            <w:tcW w:type="dxa" w:w="1522"/>
            <w:vAlign w:val="center"/>
          </w:tcPr>
          <w:p>
            <w:pPr>
              <w:spacing w:after="0" w:line="240" w:lineRule="auto"/>
            </w:pPr>
            <w:r>
              <w:rPr>
                <w:rFonts w:ascii="Microsoft YaHei" w:hAnsi="Microsoft YaHei" w:eastAsia="Microsoft YaHei"/>
                <w:b w:val="0"/>
                <w:color w:val="19212A"/>
                <w:sz w:val="13"/>
              </w:rPr>
              <w:t>$2.56bn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1.842/1.842/1.842</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-3.64%</w:t>
            </w:r>
          </w:p>
        </w:tc>
        <w:tc>
          <w:tcPr>
            <w:tcW w:type="dxa" w:w="1522"/>
            <w:vAlign w:val="center"/>
            <w:shd w:fill="EAF2F8"/>
          </w:tcPr>
          <w:p>
            <w:pPr>
              <w:spacing w:after="0" w:line="240" w:lineRule="auto"/>
            </w:pPr>
            <w:r>
              <w:rPr>
                <w:rFonts w:ascii="Microsoft YaHei" w:hAnsi="Microsoft YaHei" w:eastAsia="Microsoft YaHei"/>
                <w:b w:val="0"/>
                <w:color w:val="19212A"/>
                <w:sz w:val="13"/>
              </w:rPr>
              <w:t>+0.0100%</w:t>
            </w:r>
          </w:p>
        </w:tc>
        <w:tc>
          <w:tcPr>
            <w:tcW w:type="dxa" w:w="1522"/>
            <w:vAlign w:val="center"/>
            <w:shd w:fill="EAF2F8"/>
          </w:tcPr>
          <w:p>
            <w:pPr>
              <w:spacing w:after="0" w:line="240" w:lineRule="auto"/>
            </w:pPr>
            <w:r>
              <w:rPr>
                <w:rFonts w:ascii="Microsoft YaHei" w:hAnsi="Microsoft YaHei" w:eastAsia="Microsoft YaHei"/>
                <w:b w:val="0"/>
                <w:color w:val="19212A"/>
                <w:sz w:val="13"/>
              </w:rPr>
              <w:t>$1.54bn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1.000/1.000/1.000</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-3.09%</w:t>
            </w:r>
          </w:p>
        </w:tc>
        <w:tc>
          <w:tcPr>
            <w:tcW w:type="dxa" w:w="1522"/>
            <w:vAlign w:val="center"/>
          </w:tcPr>
          <w:p>
            <w:pPr>
              <w:spacing w:after="0" w:line="240" w:lineRule="auto"/>
            </w:pPr>
            <w:r>
              <w:rPr>
                <w:rFonts w:ascii="Microsoft YaHei" w:hAnsi="Microsoft YaHei" w:eastAsia="Microsoft YaHei"/>
                <w:b w:val="0"/>
                <w:color w:val="19212A"/>
                <w:sz w:val="13"/>
              </w:rPr>
              <w:t>+0.0027%</w:t>
            </w:r>
          </w:p>
        </w:tc>
        <w:tc>
          <w:tcPr>
            <w:tcW w:type="dxa" w:w="1522"/>
            <w:vAlign w:val="center"/>
          </w:tcPr>
          <w:p>
            <w:pPr>
              <w:spacing w:after="0" w:line="240" w:lineRule="auto"/>
            </w:pPr>
            <w:r>
              <w:rPr>
                <w:rFonts w:ascii="Microsoft YaHei" w:hAnsi="Microsoft YaHei" w:eastAsia="Microsoft YaHei"/>
                <w:b w:val="0"/>
                <w:color w:val="19212A"/>
                <w:sz w:val="13"/>
              </w:rPr>
              <w:t>$0.32bn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18.129/18.129/18.129</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24小时下跌 2.10%、OI 增加 0.00%，最近三小时 Taker 为 1.842、1.842、1.842：价格与OI同步增加更像反弹中的杠杆回补，但末端 Taker 尚未稳定站上1.10，不能直接当成趋势反转。ETH 24小时下跌 3.64%、OI 增加 0.00%；SOL 24小时下跌 3.09%、OI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CVD。来源：Binance USDⓈ-M。</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0.61</w:t>
            </w:r>
          </w:p>
        </w:tc>
        <w:tc>
          <w:tcPr>
            <w:tcW w:type="dxa" w:w="1776"/>
            <w:vAlign w:val="center"/>
          </w:tcPr>
          <w:p>
            <w:pPr>
              <w:spacing w:after="0" w:line="240" w:lineRule="auto"/>
            </w:pPr>
            <w:r>
              <w:rPr>
                <w:rFonts w:ascii="Microsoft YaHei" w:hAnsi="Microsoft YaHei" w:eastAsia="Microsoft YaHei"/>
                <w:b w:val="0"/>
                <w:color w:val="19212A"/>
                <w:sz w:val="14"/>
              </w:rPr>
              <w:t>15OCT26</w:t>
            </w:r>
          </w:p>
        </w:tc>
        <w:tc>
          <w:tcPr>
            <w:tcW w:type="dxa" w:w="1776"/>
            <w:vAlign w:val="center"/>
          </w:tcPr>
          <w:p>
            <w:pPr>
              <w:spacing w:after="0" w:line="240" w:lineRule="auto"/>
            </w:pPr>
            <w:r>
              <w:rPr>
                <w:rFonts w:ascii="Microsoft YaHei" w:hAnsi="Microsoft YaHei" w:eastAsia="Microsoft YaHei"/>
                <w:b w:val="0"/>
                <w:color w:val="19212A"/>
                <w:sz w:val="14"/>
              </w:rPr>
              <w:t>1.42</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0.54</w:t>
            </w:r>
          </w:p>
        </w:tc>
        <w:tc>
          <w:tcPr>
            <w:tcW w:type="dxa" w:w="1776"/>
            <w:vAlign w:val="center"/>
            <w:shd w:fill="EAF2F8"/>
          </w:tcPr>
          <w:p>
            <w:pPr>
              <w:spacing w:after="0" w:line="240" w:lineRule="auto"/>
            </w:pPr>
            <w:r>
              <w:rPr>
                <w:rFonts w:ascii="Microsoft YaHei" w:hAnsi="Microsoft YaHei" w:eastAsia="Microsoft YaHei"/>
                <w:b w:val="0"/>
                <w:color w:val="19212A"/>
                <w:sz w:val="14"/>
              </w:rPr>
              <w:t>15OCT26</w:t>
            </w:r>
          </w:p>
        </w:tc>
        <w:tc>
          <w:tcPr>
            <w:tcW w:type="dxa" w:w="1776"/>
            <w:vAlign w:val="center"/>
            <w:shd w:fill="EAF2F8"/>
          </w:tcPr>
          <w:p>
            <w:pPr>
              <w:spacing w:after="0" w:line="240" w:lineRule="auto"/>
            </w:pPr>
            <w:r>
              <w:rPr>
                <w:rFonts w:ascii="Microsoft YaHei" w:hAnsi="Microsoft YaHei" w:eastAsia="Microsoft YaHei"/>
                <w:b w:val="0"/>
                <w:color w:val="19212A"/>
                <w:sz w:val="14"/>
              </w:rPr>
              <w:t>0.93</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0.61、近月 1.42；ETH 全期限 0.54、近月 0.93。本轮只取得期权持仓结构，没有稳定的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82,649</w:t>
            </w:r>
          </w:p>
        </w:tc>
        <w:tc>
          <w:tcPr>
            <w:tcW w:type="dxa" w:w="1522"/>
            <w:vAlign w:val="center"/>
          </w:tcPr>
          <w:p>
            <w:pPr>
              <w:spacing w:after="0" w:line="240" w:lineRule="auto"/>
            </w:pPr>
            <w:r>
              <w:rPr>
                <w:rFonts w:ascii="Microsoft YaHei" w:hAnsi="Microsoft YaHei" w:eastAsia="Microsoft YaHei"/>
                <w:b w:val="0"/>
                <w:color w:val="19212A"/>
                <w:sz w:val="12"/>
              </w:rPr>
              <w:t>83,632</w:t>
            </w:r>
          </w:p>
        </w:tc>
        <w:tc>
          <w:tcPr>
            <w:tcW w:type="dxa" w:w="1522"/>
            <w:vAlign w:val="center"/>
          </w:tcPr>
          <w:p>
            <w:pPr>
              <w:spacing w:after="0" w:line="240" w:lineRule="auto"/>
            </w:pPr>
            <w:r>
              <w:rPr>
                <w:rFonts w:ascii="Microsoft YaHei" w:hAnsi="Microsoft YaHei" w:eastAsia="Microsoft YaHei"/>
                <w:b w:val="0"/>
                <w:color w:val="19212A"/>
                <w:sz w:val="12"/>
              </w:rPr>
              <w:t>84,083</w:t>
            </w:r>
          </w:p>
        </w:tc>
        <w:tc>
          <w:tcPr>
            <w:tcW w:type="dxa" w:w="1522"/>
            <w:vAlign w:val="center"/>
          </w:tcPr>
          <w:p>
            <w:pPr>
              <w:spacing w:after="0" w:line="240" w:lineRule="auto"/>
            </w:pPr>
            <w:r>
              <w:rPr>
                <w:rFonts w:ascii="Microsoft YaHei" w:hAnsi="Microsoft YaHei" w:eastAsia="Microsoft YaHei"/>
                <w:b w:val="0"/>
                <w:color w:val="19212A"/>
                <w:sz w:val="12"/>
              </w:rPr>
              <w:t>82,649 / 82,149 / 82,649</w:t>
            </w:r>
          </w:p>
        </w:tc>
        <w:tc>
          <w:tcPr>
            <w:tcW w:type="dxa" w:w="1522"/>
            <w:vAlign w:val="center"/>
          </w:tcPr>
          <w:p>
            <w:pPr>
              <w:spacing w:after="0" w:line="240" w:lineRule="auto"/>
            </w:pPr>
            <w:r>
              <w:rPr>
                <w:rFonts w:ascii="Microsoft YaHei" w:hAnsi="Microsoft YaHei" w:eastAsia="Microsoft YaHei"/>
                <w:b w:val="0"/>
                <w:color w:val="19212A"/>
                <w:sz w:val="12"/>
              </w:rPr>
              <w:t>84,083 / 84,583 / 84,083</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2,482</w:t>
            </w:r>
          </w:p>
        </w:tc>
        <w:tc>
          <w:tcPr>
            <w:tcW w:type="dxa" w:w="1522"/>
            <w:vAlign w:val="center"/>
            <w:shd w:fill="EAF2F8"/>
          </w:tcPr>
          <w:p>
            <w:pPr>
              <w:spacing w:after="0" w:line="240" w:lineRule="auto"/>
            </w:pPr>
            <w:r>
              <w:rPr>
                <w:rFonts w:ascii="Microsoft YaHei" w:hAnsi="Microsoft YaHei" w:eastAsia="Microsoft YaHei"/>
                <w:b w:val="0"/>
                <w:color w:val="19212A"/>
                <w:sz w:val="12"/>
              </w:rPr>
              <w:t>2,502</w:t>
            </w:r>
          </w:p>
        </w:tc>
        <w:tc>
          <w:tcPr>
            <w:tcW w:type="dxa" w:w="1522"/>
            <w:vAlign w:val="center"/>
            <w:shd w:fill="EAF2F8"/>
          </w:tcPr>
          <w:p>
            <w:pPr>
              <w:spacing w:after="0" w:line="240" w:lineRule="auto"/>
            </w:pPr>
            <w:r>
              <w:rPr>
                <w:rFonts w:ascii="Microsoft YaHei" w:hAnsi="Microsoft YaHei" w:eastAsia="Microsoft YaHei"/>
                <w:b w:val="0"/>
                <w:color w:val="19212A"/>
                <w:sz w:val="12"/>
              </w:rPr>
              <w:t>2,568</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106.10</w:t>
            </w:r>
          </w:p>
        </w:tc>
        <w:tc>
          <w:tcPr>
            <w:tcW w:type="dxa" w:w="1522"/>
            <w:vAlign w:val="center"/>
          </w:tcPr>
          <w:p>
            <w:pPr>
              <w:spacing w:after="0" w:line="240" w:lineRule="auto"/>
            </w:pPr>
            <w:r>
              <w:rPr>
                <w:rFonts w:ascii="Microsoft YaHei" w:hAnsi="Microsoft YaHei" w:eastAsia="Microsoft YaHei"/>
                <w:b w:val="0"/>
                <w:color w:val="19212A"/>
                <w:sz w:val="12"/>
              </w:rPr>
              <w:t>107.31</w:t>
            </w:r>
          </w:p>
        </w:tc>
        <w:tc>
          <w:tcPr>
            <w:tcW w:type="dxa" w:w="1522"/>
            <w:vAlign w:val="center"/>
          </w:tcPr>
          <w:p>
            <w:pPr>
              <w:spacing w:after="0" w:line="240" w:lineRule="auto"/>
            </w:pPr>
            <w:r>
              <w:rPr>
                <w:rFonts w:ascii="Microsoft YaHei" w:hAnsi="Microsoft YaHei" w:eastAsia="Microsoft YaHei"/>
                <w:b w:val="0"/>
                <w:color w:val="19212A"/>
                <w:sz w:val="12"/>
              </w:rPr>
              <w:t>112.24</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10.1517</w:t>
            </w:r>
          </w:p>
        </w:tc>
        <w:tc>
          <w:tcPr>
            <w:tcW w:type="dxa" w:w="1522"/>
            <w:vAlign w:val="center"/>
            <w:shd w:fill="EAF2F8"/>
          </w:tcPr>
          <w:p>
            <w:pPr>
              <w:spacing w:after="0" w:line="240" w:lineRule="auto"/>
            </w:pPr>
            <w:r>
              <w:rPr>
                <w:rFonts w:ascii="Microsoft YaHei" w:hAnsi="Microsoft YaHei" w:eastAsia="Microsoft YaHei"/>
                <w:b w:val="0"/>
                <w:color w:val="19212A"/>
                <w:sz w:val="12"/>
              </w:rPr>
              <w:t>10.3100</w:t>
            </w:r>
          </w:p>
        </w:tc>
        <w:tc>
          <w:tcPr>
            <w:tcW w:type="dxa" w:w="1522"/>
            <w:vAlign w:val="center"/>
            <w:shd w:fill="EAF2F8"/>
          </w:tcPr>
          <w:p>
            <w:pPr>
              <w:spacing w:after="0" w:line="240" w:lineRule="auto"/>
            </w:pPr>
            <w:r>
              <w:rPr>
                <w:rFonts w:ascii="Microsoft YaHei" w:hAnsi="Microsoft YaHei" w:eastAsia="Microsoft YaHei"/>
                <w:b w:val="0"/>
                <w:color w:val="19212A"/>
                <w:sz w:val="12"/>
              </w:rPr>
              <w:t>10.9799</w:t>
            </w:r>
          </w:p>
        </w:tc>
        <w:tc>
          <w:tcPr>
            <w:tcW w:type="dxa" w:w="1522"/>
            <w:vAlign w:val="center"/>
            <w:shd w:fill="EAF2F8"/>
          </w:tcPr>
          <w:p>
            <w:pPr>
              <w:spacing w:after="0" w:line="240" w:lineRule="auto"/>
            </w:pPr>
            <w:r>
              <w:rPr>
                <w:rFonts w:ascii="Microsoft YaHei" w:hAnsi="Microsoft YaHei" w:eastAsia="Microsoft YaHei"/>
                <w:b w:val="0"/>
                <w:color w:val="19212A"/>
                <w:sz w:val="12"/>
              </w:rPr>
              <w:t>9.7690 / 10.1517</w:t>
            </w:r>
          </w:p>
        </w:tc>
        <w:tc>
          <w:tcPr>
            <w:tcW w:type="dxa" w:w="1522"/>
            <w:vAlign w:val="center"/>
            <w:shd w:fill="EAF2F8"/>
          </w:tcPr>
          <w:p>
            <w:pPr>
              <w:spacing w:after="0" w:line="240" w:lineRule="auto"/>
            </w:pPr>
            <w:r>
              <w:rPr>
                <w:rFonts w:ascii="Microsoft YaHei" w:hAnsi="Microsoft YaHei" w:eastAsia="Microsoft YaHei"/>
                <w:b w:val="0"/>
                <w:color w:val="19212A"/>
                <w:sz w:val="12"/>
              </w:rPr>
              <w:t>10.9799 / 10.3670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1.3569</w:t>
            </w:r>
          </w:p>
        </w:tc>
        <w:tc>
          <w:tcPr>
            <w:tcW w:type="dxa" w:w="1522"/>
            <w:vAlign w:val="center"/>
          </w:tcPr>
          <w:p>
            <w:pPr>
              <w:spacing w:after="0" w:line="240" w:lineRule="auto"/>
            </w:pPr>
            <w:r>
              <w:rPr>
                <w:rFonts w:ascii="Microsoft YaHei" w:hAnsi="Microsoft YaHei" w:eastAsia="Microsoft YaHei"/>
                <w:b w:val="0"/>
                <w:color w:val="19212A"/>
                <w:sz w:val="12"/>
              </w:rPr>
              <w:t>1.3656</w:t>
            </w:r>
          </w:p>
        </w:tc>
        <w:tc>
          <w:tcPr>
            <w:tcW w:type="dxa" w:w="1522"/>
            <w:vAlign w:val="center"/>
          </w:tcPr>
          <w:p>
            <w:pPr>
              <w:spacing w:after="0" w:line="240" w:lineRule="auto"/>
            </w:pPr>
            <w:r>
              <w:rPr>
                <w:rFonts w:ascii="Microsoft YaHei" w:hAnsi="Microsoft YaHei" w:eastAsia="Microsoft YaHei"/>
                <w:b w:val="0"/>
                <w:color w:val="19212A"/>
                <w:sz w:val="12"/>
              </w:rPr>
              <w:t>1.4170</w:t>
            </w:r>
          </w:p>
        </w:tc>
        <w:tc>
          <w:tcPr>
            <w:tcW w:type="dxa" w:w="1522"/>
            <w:vAlign w:val="center"/>
          </w:tcPr>
          <w:p>
            <w:pPr>
              <w:spacing w:after="0" w:line="240" w:lineRule="auto"/>
            </w:pPr>
            <w:r>
              <w:rPr>
                <w:rFonts w:ascii="Microsoft YaHei" w:hAnsi="Microsoft YaHei" w:eastAsia="Microsoft YaHei"/>
                <w:b w:val="0"/>
                <w:color w:val="19212A"/>
                <w:sz w:val="12"/>
              </w:rPr>
              <w:t>1.3183 / 1.3569</w:t>
            </w:r>
          </w:p>
        </w:tc>
        <w:tc>
          <w:tcPr>
            <w:tcW w:type="dxa" w:w="1522"/>
            <w:vAlign w:val="center"/>
          </w:tcPr>
          <w:p>
            <w:pPr>
              <w:spacing w:after="0" w:line="240" w:lineRule="auto"/>
            </w:pPr>
            <w:r>
              <w:rPr>
                <w:rFonts w:ascii="Microsoft YaHei" w:hAnsi="Microsoft YaHei" w:eastAsia="Microsoft YaHei"/>
                <w:b w:val="0"/>
                <w:color w:val="19212A"/>
                <w:sz w:val="12"/>
              </w:rPr>
              <w:t>1.4170 / 1.3861</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82,649 与 VAH 84,083 之间、靠近 POC 83,632，说明价格在正常成交区中部，不自动等于多头或空头；下沿扫低收回才有多头条件，上沿 83,983-84,163 失败才有空头条件。AVAX 的 POC 约 10.3100、XRP 的 POC 约 1.3656，只代表这五天成交最密集处。真实全网清算热力图本轮未取得，图中上下方数字只是止损/流动性代理，不代表真实清算金额。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-2.10%</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-3.64%</w:t>
            </w:r>
          </w:p>
        </w:tc>
        <w:tc>
          <w:tcPr>
            <w:tcW w:type="dxa" w:w="2131"/>
            <w:vAlign w:val="center"/>
            <w:shd w:fill="EAF2F8"/>
          </w:tcPr>
          <w:p>
            <w:pPr>
              <w:spacing w:after="0" w:line="240" w:lineRule="auto"/>
            </w:pPr>
            <w:r>
              <w:rPr>
                <w:rFonts w:ascii="Microsoft YaHei" w:hAnsi="Microsoft YaHei" w:eastAsia="Microsoft YaHei"/>
                <w:b w:val="0"/>
                <w:color w:val="19212A"/>
                <w:sz w:val="14"/>
              </w:rPr>
              <w:t>ETH/BTC -1.65%</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-3.09% / -3.85% / -3.41%</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-4.69% / -3.41% / -3.82%</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-1.75pp</w:t>
            </w:r>
          </w:p>
        </w:tc>
        <w:tc>
          <w:tcPr>
            <w:tcW w:type="dxa" w:w="1776"/>
            <w:vAlign w:val="center"/>
          </w:tcPr>
          <w:p>
            <w:pPr>
              <w:spacing w:after="0" w:line="240" w:lineRule="auto"/>
            </w:pPr>
            <w:r>
              <w:rPr>
                <w:rFonts w:ascii="Microsoft YaHei" w:hAnsi="Microsoft YaHei" w:eastAsia="Microsoft YaHei"/>
                <w:b w:val="0"/>
                <w:color w:val="19212A"/>
                <w:sz w:val="13"/>
              </w:rPr>
              <w:t>TVL $642.5m；7d +1.85%；DEX量7d -4.76%；费用未取得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-3.85%；OI +0.00%；Funding +0.0075%；Taker 10.970</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-1.32pp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-3.41%；OI +0.00%；Funding +0.0001%；Taker 15.806</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-1.75pp</w:t>
            </w:r>
          </w:p>
        </w:tc>
        <w:tc>
          <w:tcPr>
            <w:tcW w:type="dxa" w:w="2664"/>
            <w:vAlign w:val="center"/>
          </w:tcPr>
          <w:p>
            <w:pPr>
              <w:spacing w:after="0" w:line="240" w:lineRule="auto"/>
            </w:pPr>
            <w:r>
              <w:rPr>
                <w:rFonts w:ascii="Microsoft YaHei" w:hAnsi="Microsoft YaHei" w:eastAsia="Microsoft YaHei"/>
                <w:b w:val="0"/>
                <w:color w:val="19212A"/>
                <w:sz w:val="14"/>
              </w:rPr>
              <w:t>-1.32pp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10.970</w:t>
            </w:r>
          </w:p>
        </w:tc>
        <w:tc>
          <w:tcPr>
            <w:tcW w:type="dxa" w:w="2664"/>
            <w:vAlign w:val="center"/>
          </w:tcPr>
          <w:p>
            <w:pPr>
              <w:spacing w:after="0" w:line="240" w:lineRule="auto"/>
            </w:pPr>
            <w:r>
              <w:rPr>
                <w:rFonts w:ascii="Microsoft YaHei" w:hAnsi="Microsoft YaHei" w:eastAsia="Microsoft YaHei"/>
                <w:b w:val="0"/>
                <w:color w:val="19212A"/>
                <w:sz w:val="14"/>
              </w:rPr>
              <w:t>OI +0.00%，Taker 15.806</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 条件卡没有可核验成交，所以没有模型交易，也不能计入 Kelly。今天下沿多头因第一阻力过近取消，只保留‘反弹失败做空’路径；有效卡的最大风险预算仍是0.10%，不是要求必须用满的目标仓位。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around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next meeting October 27-28</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2026-10-29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BEA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2026-09-16 completed</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shd w:fill="EAF2F8"/>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shd w:fill="EAF2F8"/>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已发生或计划日期已过去的事件不会因为当天没有新消息就从时间线消失；报告把它们标为‘已落地’，并单独写首次确认时间和本次是否新增。10月13日 Solana staking rewards、10月8日稳定币与10月9日 MOVE 解锁的计划时间都已过去，但本轮没有取得实际结果，因此保留为已落地事件而不是重新列为待公布。下一项正式宏观节点是10月14日CPI；CLARITY投票结果没有新日期，只保留历史结果。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83,983-84,163是否触达；15m/30m能否冲高失败、跌回VAH 84,083下方并形成LH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83,983-84,163是否触达；反弹后能否重新跌回VAL下方并形成LH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OI增加后是否继续；Taker能否从1.842回落并再次转弱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会涨还是跌，而是观察上沿 83,983-84,163 是否出现冲高失败。今天 VAL 82,649 附近即使收回，也因 POC 83,632 过近而不能直接做多；只有价值区重算后第一阻力重新拉开，才恢复多头评估。当前价附近不追空，也不直接抄底。</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Binance USDⓈ-M direct API</w:t>
            </w:r>
          </w:p>
        </w:tc>
        <w:tc>
          <w:tcPr>
            <w:tcW w:type="dxa" w:w="2131"/>
            <w:vAlign w:val="center"/>
          </w:tcPr>
          <w:p>
            <w:pPr>
              <w:spacing w:after="0" w:line="240" w:lineRule="auto"/>
            </w:pPr>
            <w:r>
              <w:rPr>
                <w:rFonts w:ascii="Microsoft YaHei" w:hAnsi="Microsoft YaHei" w:eastAsia="Microsoft YaHei"/>
                <w:b w:val="0"/>
                <w:color w:val="19212A"/>
                <w:sz w:val="12"/>
              </w:rPr>
              <w:t>2026-10-15T09:23:25.469756+08:00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2026-10-15T09:23:25.469756+08:00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2026-10-15 09:23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published through 2026-10-07 for BTC;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2026-10-15T09:23:25.469756+08:00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2026-09-28</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2026-10-15T09:23:25.469756+08:00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2026-10-15T09:23:25.469756+08:00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2026-10-15T09:23:25.469756+08:00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2026-10-15</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Binance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2026-10-15T09:23:25.469756+08:00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2026-10-15</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2026-10-15</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2026-10-15T09:23:25.469756+08:00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2026-10-15</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- 2026-10-15</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