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 - 2026-10-30 08:42 BJT</w:t>
      </w:r>
    </w:p>
    <w:p>
      <w:pPr>
        <w:spacing w:after="160"/>
        <w:jc w:val="center"/>
      </w:pPr>
      <w:r>
        <w:rPr>
          <w:rFonts w:ascii="Microsoft YaHei" w:hAnsi="Microsoft YaHei" w:eastAsia="Microsoft YaHei"/>
          <w:b w:val="0"/>
          <w:color w:val="5A5A5A"/>
          <w:sz w:val="16"/>
        </w:rPr>
        <w:t>2026-10-30 | 市场快照 08:42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2026-10-30T08:42:27.466301+08:00 的 BTC/ETH/SOL 行情与 OKX 永续合约备选源（Binance/Bybit 本轮不可用）、Deribit 期权、Binance/OKX 现货成交带与盘口快照；ETF 数据以本次输入中最新可核验公开值为准，ETH/SOL 当日值可能不完整，宏观、催化剂与大佬观点核验截止 2026-10-30 08:42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76,970低于正常震荡区下沿 VAL 79,609，现价不直接追单；下沿多头本轮因 TP1 净R:R不足而淘汰，不做多；上沿只有进入 80,896-81,076 后冲高失败才做空。上沿一条条件卡有效至 2026-10-30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HTF_RANGE + FAILED_BREAKOUT / 低于正常震荡区下沿 VAL 79,609</w:t>
            </w:r>
          </w:p>
        </w:tc>
        <w:tc>
          <w:tcPr>
            <w:tcW w:type="dxa" w:w="2131"/>
            <w:vAlign w:val="center"/>
          </w:tcPr>
          <w:p>
            <w:pPr>
              <w:spacing w:after="0" w:line="240" w:lineRule="auto"/>
            </w:pPr>
            <w:r>
              <w:rPr>
                <w:rFonts w:ascii="Microsoft YaHei" w:hAnsi="Microsoft YaHei" w:eastAsia="Microsoft YaHei"/>
                <w:b w:val="0"/>
                <w:color w:val="19212A"/>
                <w:sz w:val="14"/>
              </w:rPr>
              <w:t>下沿多头本轮无合格预案；上沿等S5 上沿受阻空 80,896-81,076</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79,609-80,996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中线偏空</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2,304 收回与 EMA20 2,333，无独立交易卡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2,333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中线偏空</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96.89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EMA20 100.69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HTF_RANGE + FAILED_BREAKOUT，ETH/SOL处于过渡，因此当前更准确的描述是‘中线震荡、短线偏弱’，还不是确认的大级别牛市或熊市。今天只允许上沿回踩受阻空，现价附近不交易。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多（无合格预案）</w:t>
            </w:r>
          </w:p>
        </w:tc>
        <w:tc>
          <w:tcPr>
            <w:tcW w:type="dxa" w:w="1332"/>
            <w:vAlign w:val="center"/>
          </w:tcPr>
          <w:p>
            <w:pPr>
              <w:spacing w:after="0" w:line="240" w:lineRule="auto"/>
            </w:pPr>
            <w:r>
              <w:rPr>
                <w:rFonts w:ascii="Microsoft YaHei" w:hAnsi="Microsoft YaHei" w:eastAsia="Microsoft YaHei"/>
                <w:b w:val="0"/>
                <w:color w:val="19212A"/>
                <w:sz w:val="12"/>
              </w:rPr>
              <w:t>下沿 79,509-79,659 未通过本轮 R:R/结构闸门</w:t>
            </w:r>
          </w:p>
        </w:tc>
        <w:tc>
          <w:tcPr>
            <w:tcW w:type="dxa" w:w="1332"/>
            <w:vAlign w:val="center"/>
          </w:tcPr>
          <w:p>
            <w:pPr>
              <w:spacing w:after="0" w:line="240" w:lineRule="auto"/>
            </w:pPr>
            <w:r>
              <w:rPr>
                <w:rFonts w:ascii="Microsoft YaHei" w:hAnsi="Microsoft YaHei" w:eastAsia="Microsoft YaHei"/>
                <w:b w:val="0"/>
                <w:color w:val="19212A"/>
                <w:sz w:val="12"/>
              </w:rPr>
              <w:t>79,509-79,659 / 79,659</w:t>
            </w:r>
          </w:p>
        </w:tc>
        <w:tc>
          <w:tcPr>
            <w:tcW w:type="dxa" w:w="1332"/>
            <w:vAlign w:val="center"/>
          </w:tcPr>
          <w:p>
            <w:pPr>
              <w:spacing w:after="0" w:line="240" w:lineRule="auto"/>
            </w:pPr>
            <w:r>
              <w:rPr>
                <w:rFonts w:ascii="Microsoft YaHei" w:hAnsi="Microsoft YaHei" w:eastAsia="Microsoft YaHei"/>
                <w:b w:val="0"/>
                <w:color w:val="19212A"/>
                <w:sz w:val="12"/>
              </w:rPr>
              <w:t>79,109</w:t>
            </w:r>
          </w:p>
        </w:tc>
        <w:tc>
          <w:tcPr>
            <w:tcW w:type="dxa" w:w="1332"/>
            <w:vAlign w:val="center"/>
          </w:tcPr>
          <w:p>
            <w:pPr>
              <w:spacing w:after="0" w:line="240" w:lineRule="auto"/>
            </w:pPr>
            <w:r>
              <w:rPr>
                <w:rFonts w:ascii="Microsoft YaHei" w:hAnsi="Microsoft YaHei" w:eastAsia="Microsoft YaHei"/>
                <w:b w:val="0"/>
                <w:color w:val="19212A"/>
                <w:sz w:val="12"/>
              </w:rPr>
              <w:t>80,105 / 80,996</w:t>
            </w:r>
          </w:p>
        </w:tc>
        <w:tc>
          <w:tcPr>
            <w:tcW w:type="dxa" w:w="1332"/>
            <w:vAlign w:val="center"/>
          </w:tcPr>
          <w:p>
            <w:pPr>
              <w:spacing w:after="0" w:line="240" w:lineRule="auto"/>
            </w:pPr>
            <w:r>
              <w:rPr>
                <w:rFonts w:ascii="Microsoft YaHei" w:hAnsi="Microsoft YaHei" w:eastAsia="Microsoft YaHei"/>
                <w:b w:val="0"/>
                <w:color w:val="19212A"/>
                <w:sz w:val="12"/>
              </w:rPr>
              <w:t>TP1 1:0.54；加权 1:1.37</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 上沿受阻空）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80,896-81,076，15m/30m出现冲高失败、LH并重新跌回 VAH 80,996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80,896-81,076 / 81,076</w:t>
            </w:r>
          </w:p>
        </w:tc>
        <w:tc>
          <w:tcPr>
            <w:tcW w:type="dxa" w:w="1332"/>
            <w:vAlign w:val="center"/>
            <w:shd w:fill="EAF2F8"/>
          </w:tcPr>
          <w:p>
            <w:pPr>
              <w:spacing w:after="0" w:line="240" w:lineRule="auto"/>
            </w:pPr>
            <w:r>
              <w:rPr>
                <w:rFonts w:ascii="Microsoft YaHei" w:hAnsi="Microsoft YaHei" w:eastAsia="Microsoft YaHei"/>
                <w:b w:val="0"/>
                <w:color w:val="19212A"/>
                <w:sz w:val="12"/>
              </w:rPr>
              <w:t>81,496</w:t>
            </w:r>
          </w:p>
        </w:tc>
        <w:tc>
          <w:tcPr>
            <w:tcW w:type="dxa" w:w="1332"/>
            <w:vAlign w:val="center"/>
            <w:shd w:fill="EAF2F8"/>
          </w:tcPr>
          <w:p>
            <w:pPr>
              <w:spacing w:after="0" w:line="240" w:lineRule="auto"/>
            </w:pPr>
            <w:r>
              <w:rPr>
                <w:rFonts w:ascii="Microsoft YaHei" w:hAnsi="Microsoft YaHei" w:eastAsia="Microsoft YaHei"/>
                <w:b w:val="0"/>
                <w:color w:val="19212A"/>
                <w:sz w:val="12"/>
              </w:rPr>
              <w:t>80,105 / 79,609</w:t>
            </w:r>
          </w:p>
        </w:tc>
        <w:tc>
          <w:tcPr>
            <w:tcW w:type="dxa" w:w="1332"/>
            <w:vAlign w:val="center"/>
            <w:shd w:fill="EAF2F8"/>
          </w:tcPr>
          <w:p>
            <w:pPr>
              <w:spacing w:after="0" w:line="240" w:lineRule="auto"/>
            </w:pPr>
            <w:r>
              <w:rPr>
                <w:rFonts w:ascii="Microsoft YaHei" w:hAnsi="Microsoft YaHei" w:eastAsia="Microsoft YaHei"/>
                <w:b w:val="0"/>
                <w:color w:val="19212A"/>
                <w:sz w:val="12"/>
              </w:rPr>
              <w:t>TP1 1:1.69；加权 1:2.27</w:t>
            </w:r>
          </w:p>
        </w:tc>
        <w:tc>
          <w:tcPr>
            <w:tcW w:type="dxa" w:w="1332"/>
            <w:vAlign w:val="center"/>
            <w:shd w:fill="EAF2F8"/>
          </w:tcPr>
          <w:p>
            <w:pPr>
              <w:spacing w:after="0" w:line="240" w:lineRule="auto"/>
            </w:pPr>
            <w:r>
              <w:rPr>
                <w:rFonts w:ascii="Microsoft YaHei" w:hAnsi="Microsoft YaHei" w:eastAsia="Microsoft YaHei"/>
                <w:b w:val="0"/>
                <w:color w:val="19212A"/>
                <w:sz w:val="12"/>
              </w:rPr>
              <w:t>2026-10-30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当前低于正常震荡区下沿 VAL 79,609；POC 80,105 可以理解为最近成交最拥挤的中轴，不是追单位置。下沿多头本轮因 TP1 净R:R不足而取消；上沿空头必须先进入 80,896-81,076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shd w:fill="1F4E78"/>
          </w:tcPr>
          <w:p>
            <w:r>
              <w:rPr>
                <w:rFonts w:ascii="Microsoft YaHei" w:hAnsi="Microsoft YaHei" w:eastAsia="Microsoft YaHei"/>
                <w:b/>
                <w:color w:val="FFFFFF"/>
                <w:sz w:val="10"/>
              </w:rPr>
              <w:t>资产</w:t>
            </w:r>
          </w:p>
        </w:tc>
        <w:tc>
          <w:tcPr>
            <w:tcW w:type="dxa" w:w="969"/>
            <w:shd w:fill="1F4E78"/>
          </w:tcPr>
          <w:p>
            <w:r>
              <w:rPr>
                <w:rFonts w:ascii="Microsoft YaHei" w:hAnsi="Microsoft YaHei" w:eastAsia="Microsoft YaHei"/>
                <w:b/>
                <w:color w:val="FFFFFF"/>
                <w:sz w:val="10"/>
              </w:rPr>
              <w:t>窗口</w:t>
            </w:r>
          </w:p>
        </w:tc>
        <w:tc>
          <w:tcPr>
            <w:tcW w:type="dxa" w:w="969"/>
            <w:shd w:fill="1F4E78"/>
          </w:tcPr>
          <w:p>
            <w:r>
              <w:rPr>
                <w:rFonts w:ascii="Microsoft YaHei" w:hAnsi="Microsoft YaHei" w:eastAsia="Microsoft YaHei"/>
                <w:b/>
                <w:color w:val="FFFFFF"/>
                <w:sz w:val="10"/>
              </w:rPr>
              <w:t>趋势Regime</w:t>
            </w:r>
          </w:p>
        </w:tc>
        <w:tc>
          <w:tcPr>
            <w:tcW w:type="dxa" w:w="969"/>
            <w:shd w:fill="1F4E78"/>
          </w:tcPr>
          <w:p>
            <w:r>
              <w:rPr>
                <w:rFonts w:ascii="Microsoft YaHei" w:hAnsi="Microsoft YaHei" w:eastAsia="Microsoft YaHei"/>
                <w:b/>
                <w:color w:val="FFFFFF"/>
                <w:sz w:val="10"/>
              </w:rPr>
              <w:t>统计±1σ</w:t>
            </w:r>
          </w:p>
        </w:tc>
        <w:tc>
          <w:tcPr>
            <w:tcW w:type="dxa" w:w="969"/>
            <w:shd w:fill="1F4E78"/>
          </w:tcPr>
          <w:p>
            <w:r>
              <w:rPr>
                <w:rFonts w:ascii="Microsoft YaHei" w:hAnsi="Microsoft YaHei" w:eastAsia="Microsoft YaHei"/>
                <w:b/>
                <w:color w:val="FFFFFF"/>
                <w:sz w:val="10"/>
              </w:rPr>
              <w:t>条件底带</w:t>
            </w:r>
          </w:p>
        </w:tc>
        <w:tc>
          <w:tcPr>
            <w:tcW w:type="dxa" w:w="969"/>
            <w:shd w:fill="1F4E78"/>
          </w:tcPr>
          <w:p>
            <w:r>
              <w:rPr>
                <w:rFonts w:ascii="Microsoft YaHei" w:hAnsi="Microsoft YaHei" w:eastAsia="Microsoft YaHei"/>
                <w:b/>
                <w:color w:val="FFFFFF"/>
                <w:sz w:val="10"/>
              </w:rPr>
              <w:t>条件顶带</w:t>
            </w:r>
          </w:p>
        </w:tc>
        <w:tc>
          <w:tcPr>
            <w:tcW w:type="dxa" w:w="969"/>
            <w:shd w:fill="1F4E78"/>
          </w:tcPr>
          <w:p>
            <w:r>
              <w:rPr>
                <w:rFonts w:ascii="Microsoft YaHei" w:hAnsi="Microsoft YaHei" w:eastAsia="Microsoft YaHei"/>
                <w:b/>
                <w:color w:val="FFFFFF"/>
                <w:sz w:val="10"/>
              </w:rPr>
              <w:t>历史近邻：底/顶/无</w:t>
            </w:r>
          </w:p>
        </w:tc>
        <w:tc>
          <w:tcPr>
            <w:tcW w:type="dxa" w:w="969"/>
            <w:shd w:fill="1F4E78"/>
          </w:tcPr>
          <w:p>
            <w:r>
              <w:rPr>
                <w:rFonts w:ascii="Microsoft YaHei" w:hAnsi="Microsoft YaHei" w:eastAsia="Microsoft YaHei"/>
                <w:b/>
                <w:color w:val="FFFFFF"/>
                <w:sz w:val="10"/>
              </w:rPr>
              <w:t>双向洗盘</w:t>
            </w:r>
          </w:p>
        </w:tc>
        <w:tc>
          <w:tcPr>
            <w:tcW w:type="dxa" w:w="969"/>
            <w:shd w:fill="1F4E78"/>
          </w:tcPr>
          <w:p>
            <w:r>
              <w:rPr>
                <w:rFonts w:ascii="Microsoft YaHei" w:hAnsi="Microsoft YaHei" w:eastAsia="Microsoft YaHei"/>
                <w:b/>
                <w:color w:val="FFFFFF"/>
                <w:sz w:val="10"/>
              </w:rPr>
              <w:t>有效N</w:t>
            </w:r>
          </w:p>
        </w:tc>
        <w:tc>
          <w:tcPr>
            <w:tcW w:type="dxa" w:w="969"/>
            <w:shd w:fill="1F4E78"/>
          </w:tcPr>
          <w:p>
            <w:r>
              <w:rPr>
                <w:rFonts w:ascii="Microsoft YaHei" w:hAnsi="Microsoft YaHei" w:eastAsia="Microsoft YaHei"/>
                <w:b/>
                <w:color w:val="FFFFFF"/>
                <w:sz w:val="10"/>
              </w:rPr>
              <w:t>状态</w:t>
            </w:r>
          </w:p>
        </w:tc>
        <w:tc>
          <w:tcPr>
            <w:tcW w:type="dxa" w:w="969"/>
            <w:shd w:fill="1F4E78"/>
          </w:tcPr>
          <w:p>
            <w:r>
              <w:rPr>
                <w:rFonts w:ascii="Microsoft YaHei" w:hAnsi="Microsoft YaHei" w:eastAsia="Microsoft YaHei"/>
                <w:b/>
                <w:color w:val="FFFFFF"/>
                <w:sz w:val="10"/>
              </w:rPr>
              <w:t>当前相对位置</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HTF_RANGE + FAILED_BREAKOUT</w:t>
            </w:r>
          </w:p>
        </w:tc>
        <w:tc>
          <w:tcPr>
            <w:tcW w:type="dxa" w:w="969"/>
            <w:vAlign w:val="center"/>
          </w:tcPr>
          <w:p>
            <w:pPr>
              <w:spacing w:after="0" w:line="240" w:lineRule="auto"/>
            </w:pPr>
            <w:r>
              <w:rPr>
                <w:rFonts w:ascii="Microsoft YaHei" w:hAnsi="Microsoft YaHei" w:eastAsia="Microsoft YaHei"/>
                <w:b w:val="0"/>
                <w:color w:val="19212A"/>
                <w:sz w:val="10"/>
              </w:rPr>
              <w:t>75,791-80,206</w:t>
            </w:r>
          </w:p>
        </w:tc>
        <w:tc>
          <w:tcPr>
            <w:tcW w:type="dxa" w:w="969"/>
            <w:vAlign w:val="center"/>
          </w:tcPr>
          <w:p>
            <w:pPr>
              <w:spacing w:after="0" w:line="240" w:lineRule="auto"/>
            </w:pPr>
            <w:r>
              <w:rPr>
                <w:rFonts w:ascii="Microsoft YaHei" w:hAnsi="Microsoft YaHei" w:eastAsia="Microsoft YaHei"/>
                <w:b w:val="0"/>
                <w:color w:val="19212A"/>
                <w:sz w:val="10"/>
              </w:rPr>
              <w:t>75,684-77,315</w:t>
            </w:r>
          </w:p>
        </w:tc>
        <w:tc>
          <w:tcPr>
            <w:tcW w:type="dxa" w:w="969"/>
            <w:vAlign w:val="center"/>
          </w:tcPr>
          <w:p>
            <w:pPr>
              <w:spacing w:after="0" w:line="240" w:lineRule="auto"/>
            </w:pPr>
            <w:r>
              <w:rPr>
                <w:rFonts w:ascii="Microsoft YaHei" w:hAnsi="Microsoft YaHei" w:eastAsia="Microsoft YaHei"/>
                <w:b w:val="0"/>
                <w:color w:val="19212A"/>
                <w:sz w:val="10"/>
              </w:rPr>
              <w:t>78,374-79,487</w:t>
            </w:r>
          </w:p>
        </w:tc>
        <w:tc>
          <w:tcPr>
            <w:tcW w:type="dxa" w:w="969"/>
            <w:vAlign w:val="center"/>
          </w:tcPr>
          <w:p>
            <w:pPr>
              <w:spacing w:after="0" w:line="240" w:lineRule="auto"/>
            </w:pPr>
            <w:r>
              <w:rPr>
                <w:rFonts w:ascii="Microsoft YaHei" w:hAnsi="Microsoft YaHei" w:eastAsia="Microsoft YaHei"/>
                <w:b w:val="0"/>
                <w:color w:val="19212A"/>
                <w:sz w:val="10"/>
              </w:rPr>
              <w:t>45.2% / 27.3% / 27.6%</w:t>
            </w:r>
          </w:p>
        </w:tc>
        <w:tc>
          <w:tcPr>
            <w:tcW w:type="dxa" w:w="969"/>
            <w:vAlign w:val="center"/>
          </w:tcPr>
          <w:p>
            <w:pPr>
              <w:spacing w:after="0" w:line="240" w:lineRule="auto"/>
            </w:pPr>
            <w:r>
              <w:rPr>
                <w:rFonts w:ascii="Microsoft YaHei" w:hAnsi="Microsoft YaHei" w:eastAsia="Microsoft YaHei"/>
                <w:b w:val="0"/>
                <w:color w:val="19212A"/>
                <w:sz w:val="10"/>
              </w:rPr>
              <w:t>8.7%</w:t>
            </w:r>
          </w:p>
        </w:tc>
        <w:tc>
          <w:tcPr>
            <w:tcW w:type="dxa" w:w="969"/>
            <w:vAlign w:val="center"/>
          </w:tcPr>
          <w:p>
            <w:pPr>
              <w:spacing w:after="0" w:line="240" w:lineRule="auto"/>
            </w:pPr>
            <w:r>
              <w:rPr>
                <w:rFonts w:ascii="Microsoft YaHei" w:hAnsi="Microsoft YaHei" w:eastAsia="Microsoft YaHei"/>
                <w:b w:val="0"/>
                <w:color w:val="19212A"/>
                <w:sz w:val="10"/>
              </w:rPr>
              <w:t>32.6</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76,970 进入条件底带</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BTC</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FAILED_BREAKOUT</w:t>
            </w:r>
          </w:p>
        </w:tc>
        <w:tc>
          <w:tcPr>
            <w:tcW w:type="dxa" w:w="969"/>
            <w:vAlign w:val="center"/>
            <w:shd w:fill="EAF2F8"/>
          </w:tcPr>
          <w:p>
            <w:pPr>
              <w:spacing w:after="0" w:line="240" w:lineRule="auto"/>
            </w:pPr>
            <w:r>
              <w:rPr>
                <w:rFonts w:ascii="Microsoft YaHei" w:hAnsi="Microsoft YaHei" w:eastAsia="Microsoft YaHei"/>
                <w:b w:val="0"/>
                <w:color w:val="19212A"/>
                <w:sz w:val="10"/>
              </w:rPr>
              <w:t>74,236-81,885</w:t>
            </w:r>
          </w:p>
        </w:tc>
        <w:tc>
          <w:tcPr>
            <w:tcW w:type="dxa" w:w="969"/>
            <w:vAlign w:val="center"/>
            <w:shd w:fill="EAF2F8"/>
          </w:tcPr>
          <w:p>
            <w:pPr>
              <w:spacing w:after="0" w:line="240" w:lineRule="auto"/>
            </w:pPr>
            <w:r>
              <w:rPr>
                <w:rFonts w:ascii="Microsoft YaHei" w:hAnsi="Microsoft YaHei" w:eastAsia="Microsoft YaHei"/>
                <w:b w:val="0"/>
                <w:color w:val="19212A"/>
                <w:sz w:val="10"/>
              </w:rPr>
              <w:t>75,616-76,735</w:t>
            </w:r>
          </w:p>
        </w:tc>
        <w:tc>
          <w:tcPr>
            <w:tcW w:type="dxa" w:w="969"/>
            <w:vAlign w:val="center"/>
            <w:shd w:fill="EAF2F8"/>
          </w:tcPr>
          <w:p>
            <w:pPr>
              <w:spacing w:after="0" w:line="240" w:lineRule="auto"/>
            </w:pPr>
            <w:r>
              <w:rPr>
                <w:rFonts w:ascii="Microsoft YaHei" w:hAnsi="Microsoft YaHei" w:eastAsia="Microsoft YaHei"/>
                <w:b w:val="0"/>
                <w:color w:val="19212A"/>
                <w:sz w:val="10"/>
              </w:rPr>
              <w:t>78,497-80,083</w:t>
            </w:r>
          </w:p>
        </w:tc>
        <w:tc>
          <w:tcPr>
            <w:tcW w:type="dxa" w:w="969"/>
            <w:vAlign w:val="center"/>
            <w:shd w:fill="EAF2F8"/>
          </w:tcPr>
          <w:p>
            <w:pPr>
              <w:spacing w:after="0" w:line="240" w:lineRule="auto"/>
            </w:pPr>
            <w:r>
              <w:rPr>
                <w:rFonts w:ascii="Microsoft YaHei" w:hAnsi="Microsoft YaHei" w:eastAsia="Microsoft YaHei"/>
                <w:b w:val="0"/>
                <w:color w:val="19212A"/>
                <w:sz w:val="10"/>
              </w:rPr>
              <w:t>68.3% / 22.2% / 9.6%</w:t>
            </w:r>
          </w:p>
        </w:tc>
        <w:tc>
          <w:tcPr>
            <w:tcW w:type="dxa" w:w="969"/>
            <w:vAlign w:val="center"/>
            <w:shd w:fill="EAF2F8"/>
          </w:tcPr>
          <w:p>
            <w:pPr>
              <w:spacing w:after="0" w:line="240" w:lineRule="auto"/>
            </w:pPr>
            <w:r>
              <w:rPr>
                <w:rFonts w:ascii="Microsoft YaHei" w:hAnsi="Microsoft YaHei" w:eastAsia="Microsoft YaHei"/>
                <w:b w:val="0"/>
                <w:color w:val="19212A"/>
                <w:sz w:val="10"/>
              </w:rPr>
              <w:t>28.1%</w:t>
            </w:r>
          </w:p>
        </w:tc>
        <w:tc>
          <w:tcPr>
            <w:tcW w:type="dxa" w:w="969"/>
            <w:vAlign w:val="center"/>
            <w:shd w:fill="EAF2F8"/>
          </w:tcPr>
          <w:p>
            <w:pPr>
              <w:spacing w:after="0" w:line="240" w:lineRule="auto"/>
            </w:pPr>
            <w:r>
              <w:rPr>
                <w:rFonts w:ascii="Microsoft YaHei" w:hAnsi="Microsoft YaHei" w:eastAsia="Microsoft YaHei"/>
                <w:b w:val="0"/>
                <w:color w:val="19212A"/>
                <w:sz w:val="10"/>
              </w:rPr>
              <w:t>20.8</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76,970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HTF_RANGE + FAILED_BREAKOUT</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24h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FAILED_BREAKOUT</w:t>
            </w:r>
          </w:p>
        </w:tc>
        <w:tc>
          <w:tcPr>
            <w:tcW w:type="dxa" w:w="969"/>
            <w:vAlign w:val="center"/>
            <w:shd w:fill="EAF2F8"/>
          </w:tcPr>
          <w:p>
            <w:pPr>
              <w:spacing w:after="0" w:line="240" w:lineRule="auto"/>
            </w:pPr>
            <w:r>
              <w:rPr>
                <w:rFonts w:ascii="Microsoft YaHei" w:hAnsi="Microsoft YaHei" w:eastAsia="Microsoft YaHei"/>
                <w:b w:val="0"/>
                <w:color w:val="19212A"/>
                <w:sz w:val="10"/>
              </w:rPr>
              <w:t>2,185-2,322</w:t>
            </w:r>
          </w:p>
        </w:tc>
        <w:tc>
          <w:tcPr>
            <w:tcW w:type="dxa" w:w="969"/>
            <w:vAlign w:val="center"/>
            <w:shd w:fill="EAF2F8"/>
          </w:tcPr>
          <w:p>
            <w:pPr>
              <w:spacing w:after="0" w:line="240" w:lineRule="auto"/>
            </w:pPr>
            <w:r>
              <w:rPr>
                <w:rFonts w:ascii="Microsoft YaHei" w:hAnsi="Microsoft YaHei" w:eastAsia="Microsoft YaHei"/>
                <w:b w:val="0"/>
                <w:color w:val="19212A"/>
                <w:sz w:val="10"/>
              </w:rPr>
              <w:t>2,154-2,224</w:t>
            </w:r>
          </w:p>
        </w:tc>
        <w:tc>
          <w:tcPr>
            <w:tcW w:type="dxa" w:w="969"/>
            <w:vAlign w:val="center"/>
            <w:shd w:fill="EAF2F8"/>
          </w:tcPr>
          <w:p>
            <w:pPr>
              <w:spacing w:after="0" w:line="240" w:lineRule="auto"/>
            </w:pPr>
            <w:r>
              <w:rPr>
                <w:rFonts w:ascii="Microsoft YaHei" w:hAnsi="Microsoft YaHei" w:eastAsia="Microsoft YaHei"/>
                <w:b w:val="0"/>
                <w:color w:val="19212A"/>
                <w:sz w:val="10"/>
              </w:rPr>
              <w:t>2,266-2,303</w:t>
            </w:r>
          </w:p>
        </w:tc>
        <w:tc>
          <w:tcPr>
            <w:tcW w:type="dxa" w:w="969"/>
            <w:vAlign w:val="center"/>
            <w:shd w:fill="EAF2F8"/>
          </w:tcPr>
          <w:p>
            <w:pPr>
              <w:spacing w:after="0" w:line="240" w:lineRule="auto"/>
            </w:pPr>
            <w:r>
              <w:rPr>
                <w:rFonts w:ascii="Microsoft YaHei" w:hAnsi="Microsoft YaHei" w:eastAsia="Microsoft YaHei"/>
                <w:b w:val="0"/>
                <w:color w:val="19212A"/>
                <w:sz w:val="10"/>
              </w:rPr>
              <w:t>41.1% / 31.3% / 27.6%</w:t>
            </w:r>
          </w:p>
        </w:tc>
        <w:tc>
          <w:tcPr>
            <w:tcW w:type="dxa" w:w="969"/>
            <w:vAlign w:val="center"/>
            <w:shd w:fill="EAF2F8"/>
          </w:tcPr>
          <w:p>
            <w:pPr>
              <w:spacing w:after="0" w:line="240" w:lineRule="auto"/>
            </w:pPr>
            <w:r>
              <w:rPr>
                <w:rFonts w:ascii="Microsoft YaHei" w:hAnsi="Microsoft YaHei" w:eastAsia="Microsoft YaHei"/>
                <w:b w:val="0"/>
                <w:color w:val="19212A"/>
                <w:sz w:val="10"/>
              </w:rPr>
              <w:t>12.8%</w:t>
            </w:r>
          </w:p>
        </w:tc>
        <w:tc>
          <w:tcPr>
            <w:tcW w:type="dxa" w:w="969"/>
            <w:vAlign w:val="center"/>
            <w:shd w:fill="EAF2F8"/>
          </w:tcPr>
          <w:p>
            <w:pPr>
              <w:spacing w:after="0" w:line="240" w:lineRule="auto"/>
            </w:pPr>
            <w:r>
              <w:rPr>
                <w:rFonts w:ascii="Microsoft YaHei" w:hAnsi="Microsoft YaHei" w:eastAsia="Microsoft YaHei"/>
                <w:b w:val="0"/>
                <w:color w:val="19212A"/>
                <w:sz w:val="10"/>
              </w:rPr>
              <w:t>32.0</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2,209 进入条件底带</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ETH</w:t>
            </w:r>
          </w:p>
        </w:tc>
        <w:tc>
          <w:tcPr>
            <w:tcW w:type="dxa" w:w="969"/>
            <w:vAlign w:val="center"/>
          </w:tcPr>
          <w:p>
            <w:pPr>
              <w:spacing w:after="0" w:line="240" w:lineRule="auto"/>
            </w:pPr>
            <w:r>
              <w:rPr>
                <w:rFonts w:ascii="Microsoft YaHei" w:hAnsi="Microsoft YaHei" w:eastAsia="Microsoft YaHei"/>
                <w:b w:val="0"/>
                <w:color w:val="19212A"/>
                <w:sz w:val="10"/>
              </w:rPr>
              <w:t>72h</w:t>
            </w:r>
          </w:p>
        </w:tc>
        <w:tc>
          <w:tcPr>
            <w:tcW w:type="dxa" w:w="969"/>
            <w:vAlign w:val="center"/>
          </w:tcPr>
          <w:p>
            <w:pPr>
              <w:spacing w:after="0" w:line="240" w:lineRule="auto"/>
            </w:pPr>
            <w:r>
              <w:rPr>
                <w:rFonts w:ascii="Microsoft YaHei" w:hAnsi="Microsoft YaHei" w:eastAsia="Microsoft YaHei"/>
                <w:b w:val="0"/>
                <w:color w:val="19212A"/>
                <w:sz w:val="10"/>
              </w:rPr>
              <w:t>HTF_RANGE + FAILED_BREAKOUT</w:t>
            </w:r>
          </w:p>
        </w:tc>
        <w:tc>
          <w:tcPr>
            <w:tcW w:type="dxa" w:w="969"/>
            <w:vAlign w:val="center"/>
          </w:tcPr>
          <w:p>
            <w:pPr>
              <w:spacing w:after="0" w:line="240" w:lineRule="auto"/>
            </w:pPr>
            <w:r>
              <w:rPr>
                <w:rFonts w:ascii="Microsoft YaHei" w:hAnsi="Microsoft YaHei" w:eastAsia="Microsoft YaHei"/>
                <w:b w:val="0"/>
                <w:color w:val="19212A"/>
                <w:sz w:val="10"/>
              </w:rPr>
              <w:t>2,136-2,375</w:t>
            </w:r>
          </w:p>
        </w:tc>
        <w:tc>
          <w:tcPr>
            <w:tcW w:type="dxa" w:w="969"/>
            <w:vAlign w:val="center"/>
          </w:tcPr>
          <w:p>
            <w:pPr>
              <w:spacing w:after="0" w:line="240" w:lineRule="auto"/>
            </w:pPr>
            <w:r>
              <w:rPr>
                <w:rFonts w:ascii="Microsoft YaHei" w:hAnsi="Microsoft YaHei" w:eastAsia="Microsoft YaHei"/>
                <w:b w:val="0"/>
                <w:color w:val="19212A"/>
                <w:sz w:val="10"/>
              </w:rPr>
              <w:t>2,134-2,209</w:t>
            </w:r>
          </w:p>
        </w:tc>
        <w:tc>
          <w:tcPr>
            <w:tcW w:type="dxa" w:w="969"/>
            <w:vAlign w:val="center"/>
          </w:tcPr>
          <w:p>
            <w:pPr>
              <w:spacing w:after="0" w:line="240" w:lineRule="auto"/>
            </w:pPr>
            <w:r>
              <w:rPr>
                <w:rFonts w:ascii="Microsoft YaHei" w:hAnsi="Microsoft YaHei" w:eastAsia="Microsoft YaHei"/>
                <w:b w:val="0"/>
                <w:color w:val="19212A"/>
                <w:sz w:val="10"/>
              </w:rPr>
              <w:t>2,264-2,330</w:t>
            </w:r>
          </w:p>
        </w:tc>
        <w:tc>
          <w:tcPr>
            <w:tcW w:type="dxa" w:w="969"/>
            <w:vAlign w:val="center"/>
          </w:tcPr>
          <w:p>
            <w:pPr>
              <w:spacing w:after="0" w:line="240" w:lineRule="auto"/>
            </w:pPr>
            <w:r>
              <w:rPr>
                <w:rFonts w:ascii="Microsoft YaHei" w:hAnsi="Microsoft YaHei" w:eastAsia="Microsoft YaHei"/>
                <w:b w:val="0"/>
                <w:color w:val="19212A"/>
                <w:sz w:val="10"/>
              </w:rPr>
              <w:t>62.8% / 27.5% / 9.7%</w:t>
            </w:r>
          </w:p>
        </w:tc>
        <w:tc>
          <w:tcPr>
            <w:tcW w:type="dxa" w:w="969"/>
            <w:vAlign w:val="center"/>
          </w:tcPr>
          <w:p>
            <w:pPr>
              <w:spacing w:after="0" w:line="240" w:lineRule="auto"/>
            </w:pPr>
            <w:r>
              <w:rPr>
                <w:rFonts w:ascii="Microsoft YaHei" w:hAnsi="Microsoft YaHei" w:eastAsia="Microsoft YaHei"/>
                <w:b w:val="0"/>
                <w:color w:val="19212A"/>
                <w:sz w:val="10"/>
              </w:rPr>
              <w:t>29.5%</w:t>
            </w:r>
          </w:p>
        </w:tc>
        <w:tc>
          <w:tcPr>
            <w:tcW w:type="dxa" w:w="969"/>
            <w:vAlign w:val="center"/>
          </w:tcPr>
          <w:p>
            <w:pPr>
              <w:spacing w:after="0" w:line="240" w:lineRule="auto"/>
            </w:pPr>
            <w:r>
              <w:rPr>
                <w:rFonts w:ascii="Microsoft YaHei" w:hAnsi="Microsoft YaHei" w:eastAsia="Microsoft YaHei"/>
                <w:b w:val="0"/>
                <w:color w:val="19212A"/>
                <w:sz w:val="10"/>
              </w:rPr>
              <w:t>20.6</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2,209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7d</w:t>
            </w:r>
          </w:p>
        </w:tc>
        <w:tc>
          <w:tcPr>
            <w:tcW w:type="dxa" w:w="969"/>
            <w:vAlign w:val="center"/>
            <w:shd w:fill="EAF2F8"/>
          </w:tcPr>
          <w:p>
            <w:pPr>
              <w:spacing w:after="0" w:line="240" w:lineRule="auto"/>
            </w:pPr>
            <w:r>
              <w:rPr>
                <w:rFonts w:ascii="Microsoft YaHei" w:hAnsi="Microsoft YaHei" w:eastAsia="Microsoft YaHei"/>
                <w:b w:val="0"/>
                <w:color w:val="19212A"/>
                <w:sz w:val="10"/>
              </w:rPr>
              <w:t>HTF_RANGE + FAILED_BREAKOUT</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HTF_RANGE + FAILED_BREAKOUT</w:t>
            </w:r>
          </w:p>
        </w:tc>
        <w:tc>
          <w:tcPr>
            <w:tcW w:type="dxa" w:w="969"/>
            <w:vAlign w:val="center"/>
          </w:tcPr>
          <w:p>
            <w:pPr>
              <w:spacing w:after="0" w:line="240" w:lineRule="auto"/>
            </w:pPr>
            <w:r>
              <w:rPr>
                <w:rFonts w:ascii="Microsoft YaHei" w:hAnsi="Microsoft YaHei" w:eastAsia="Microsoft YaHei"/>
                <w:b w:val="0"/>
                <w:color w:val="19212A"/>
                <w:sz w:val="10"/>
              </w:rPr>
              <w:t>91.91-99.40</w:t>
            </w:r>
          </w:p>
        </w:tc>
        <w:tc>
          <w:tcPr>
            <w:tcW w:type="dxa" w:w="969"/>
            <w:vAlign w:val="center"/>
          </w:tcPr>
          <w:p>
            <w:pPr>
              <w:spacing w:after="0" w:line="240" w:lineRule="auto"/>
            </w:pPr>
            <w:r>
              <w:rPr>
                <w:rFonts w:ascii="Microsoft YaHei" w:hAnsi="Microsoft YaHei" w:eastAsia="Microsoft YaHei"/>
                <w:b w:val="0"/>
                <w:color w:val="19212A"/>
                <w:sz w:val="10"/>
              </w:rPr>
              <w:t>91.02-94.14</w:t>
            </w:r>
          </w:p>
        </w:tc>
        <w:tc>
          <w:tcPr>
            <w:tcW w:type="dxa" w:w="969"/>
            <w:vAlign w:val="center"/>
          </w:tcPr>
          <w:p>
            <w:pPr>
              <w:spacing w:after="0" w:line="240" w:lineRule="auto"/>
            </w:pPr>
            <w:r>
              <w:rPr>
                <w:rFonts w:ascii="Microsoft YaHei" w:hAnsi="Microsoft YaHei" w:eastAsia="Microsoft YaHei"/>
                <w:b w:val="0"/>
                <w:color w:val="19212A"/>
                <w:sz w:val="10"/>
              </w:rPr>
              <w:t>96.50-98.81</w:t>
            </w:r>
          </w:p>
        </w:tc>
        <w:tc>
          <w:tcPr>
            <w:tcW w:type="dxa" w:w="969"/>
            <w:vAlign w:val="center"/>
          </w:tcPr>
          <w:p>
            <w:pPr>
              <w:spacing w:after="0" w:line="240" w:lineRule="auto"/>
            </w:pPr>
            <w:r>
              <w:rPr>
                <w:rFonts w:ascii="Microsoft YaHei" w:hAnsi="Microsoft YaHei" w:eastAsia="Microsoft YaHei"/>
                <w:b w:val="0"/>
                <w:color w:val="19212A"/>
                <w:sz w:val="10"/>
              </w:rPr>
              <w:t>48.1% / 27.6% / 24.3%</w:t>
            </w:r>
          </w:p>
        </w:tc>
        <w:tc>
          <w:tcPr>
            <w:tcW w:type="dxa" w:w="969"/>
            <w:vAlign w:val="center"/>
          </w:tcPr>
          <w:p>
            <w:pPr>
              <w:spacing w:after="0" w:line="240" w:lineRule="auto"/>
            </w:pPr>
            <w:r>
              <w:rPr>
                <w:rFonts w:ascii="Microsoft YaHei" w:hAnsi="Microsoft YaHei" w:eastAsia="Microsoft YaHei"/>
                <w:b w:val="0"/>
                <w:color w:val="19212A"/>
                <w:sz w:val="10"/>
              </w:rPr>
              <w:t>13.9%</w:t>
            </w:r>
          </w:p>
        </w:tc>
        <w:tc>
          <w:tcPr>
            <w:tcW w:type="dxa" w:w="969"/>
            <w:vAlign w:val="center"/>
          </w:tcPr>
          <w:p>
            <w:pPr>
              <w:spacing w:after="0" w:line="240" w:lineRule="auto"/>
            </w:pPr>
            <w:r>
              <w:rPr>
                <w:rFonts w:ascii="Microsoft YaHei" w:hAnsi="Microsoft YaHei" w:eastAsia="Microsoft YaHei"/>
                <w:b w:val="0"/>
                <w:color w:val="19212A"/>
                <w:sz w:val="10"/>
              </w:rPr>
              <w:t>32.7</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93.58 进入条件底带</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SOL</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FAILED_BREAKOUT</w:t>
            </w:r>
          </w:p>
        </w:tc>
        <w:tc>
          <w:tcPr>
            <w:tcW w:type="dxa" w:w="969"/>
            <w:vAlign w:val="center"/>
            <w:shd w:fill="EAF2F8"/>
          </w:tcPr>
          <w:p>
            <w:pPr>
              <w:spacing w:after="0" w:line="240" w:lineRule="auto"/>
            </w:pPr>
            <w:r>
              <w:rPr>
                <w:rFonts w:ascii="Microsoft YaHei" w:hAnsi="Microsoft YaHei" w:eastAsia="Microsoft YaHei"/>
                <w:b w:val="0"/>
                <w:color w:val="19212A"/>
                <w:sz w:val="10"/>
              </w:rPr>
              <w:t>89.31-102.29</w:t>
            </w:r>
          </w:p>
        </w:tc>
        <w:tc>
          <w:tcPr>
            <w:tcW w:type="dxa" w:w="969"/>
            <w:vAlign w:val="center"/>
            <w:shd w:fill="EAF2F8"/>
          </w:tcPr>
          <w:p>
            <w:pPr>
              <w:spacing w:after="0" w:line="240" w:lineRule="auto"/>
            </w:pPr>
            <w:r>
              <w:rPr>
                <w:rFonts w:ascii="Microsoft YaHei" w:hAnsi="Microsoft YaHei" w:eastAsia="Microsoft YaHei"/>
                <w:b w:val="0"/>
                <w:color w:val="19212A"/>
                <w:sz w:val="10"/>
              </w:rPr>
              <w:t>90.48-92.65</w:t>
            </w:r>
          </w:p>
        </w:tc>
        <w:tc>
          <w:tcPr>
            <w:tcW w:type="dxa" w:w="969"/>
            <w:vAlign w:val="center"/>
            <w:shd w:fill="EAF2F8"/>
          </w:tcPr>
          <w:p>
            <w:pPr>
              <w:spacing w:after="0" w:line="240" w:lineRule="auto"/>
            </w:pPr>
            <w:r>
              <w:rPr>
                <w:rFonts w:ascii="Microsoft YaHei" w:hAnsi="Microsoft YaHei" w:eastAsia="Microsoft YaHei"/>
                <w:b w:val="0"/>
                <w:color w:val="19212A"/>
                <w:sz w:val="10"/>
              </w:rPr>
              <w:t>96.18-98.98</w:t>
            </w:r>
          </w:p>
        </w:tc>
        <w:tc>
          <w:tcPr>
            <w:tcW w:type="dxa" w:w="969"/>
            <w:vAlign w:val="center"/>
            <w:shd w:fill="EAF2F8"/>
          </w:tcPr>
          <w:p>
            <w:pPr>
              <w:spacing w:after="0" w:line="240" w:lineRule="auto"/>
            </w:pPr>
            <w:r>
              <w:rPr>
                <w:rFonts w:ascii="Microsoft YaHei" w:hAnsi="Microsoft YaHei" w:eastAsia="Microsoft YaHei"/>
                <w:b w:val="0"/>
                <w:color w:val="19212A"/>
                <w:sz w:val="10"/>
              </w:rPr>
              <w:t>74.9% / 20.1% / 5.0%</w:t>
            </w:r>
          </w:p>
        </w:tc>
        <w:tc>
          <w:tcPr>
            <w:tcW w:type="dxa" w:w="969"/>
            <w:vAlign w:val="center"/>
            <w:shd w:fill="EAF2F8"/>
          </w:tcPr>
          <w:p>
            <w:pPr>
              <w:spacing w:after="0" w:line="240" w:lineRule="auto"/>
            </w:pPr>
            <w:r>
              <w:rPr>
                <w:rFonts w:ascii="Microsoft YaHei" w:hAnsi="Microsoft YaHei" w:eastAsia="Microsoft YaHei"/>
                <w:b w:val="0"/>
                <w:color w:val="19212A"/>
                <w:sz w:val="10"/>
              </w:rPr>
              <w:t>38.1%</w:t>
            </w:r>
          </w:p>
        </w:tc>
        <w:tc>
          <w:tcPr>
            <w:tcW w:type="dxa" w:w="969"/>
            <w:vAlign w:val="center"/>
            <w:shd w:fill="EAF2F8"/>
          </w:tcPr>
          <w:p>
            <w:pPr>
              <w:spacing w:after="0" w:line="240" w:lineRule="auto"/>
            </w:pPr>
            <w:r>
              <w:rPr>
                <w:rFonts w:ascii="Microsoft YaHei" w:hAnsi="Microsoft YaHei" w:eastAsia="Microsoft YaHei"/>
                <w:b w:val="0"/>
                <w:color w:val="19212A"/>
                <w:sz w:val="10"/>
              </w:rPr>
              <w:t>21.0</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93.58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HTF_RANGE + FAILED_BREAKOUT</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统计±1σ只是各资产自身的正常波动范围，条件顶带/底带是历史相似路径的候选反转区域；现价越过条件顶带时，只能标记为延伸段，不能单独做空，反之亦然。7d若有效N为0或状态未校准，不能用于预测。BTC 当前 76,970，独立使用自身的24h/72h/7d区间；ETH 当前 2,209，独立使用自身的24h/72h/7d区间；SOL 当前 93.58，独立使用自身的24h/72h/7d区间。BTC今天仍要等BTC 下沿是否扫过 VAL 79,609 后收回形成 HL，以及上沿 80,896-81,076 是否冲高失败形成 LH，ETH/SOL雷达只用于各自阶段判断，不自动生成交易卡。</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79,609 / POC 80,105 / VAH 80,996</w:t>
            </w:r>
          </w:p>
        </w:tc>
        <w:tc>
          <w:tcPr>
            <w:tcW w:type="dxa" w:w="2131"/>
            <w:vAlign w:val="center"/>
          </w:tcPr>
          <w:p>
            <w:pPr>
              <w:spacing w:after="0" w:line="240" w:lineRule="auto"/>
            </w:pPr>
            <w:r>
              <w:rPr>
                <w:rFonts w:ascii="Microsoft YaHei" w:hAnsi="Microsoft YaHei" w:eastAsia="Microsoft YaHei"/>
                <w:b w:val="0"/>
                <w:color w:val="19212A"/>
                <w:sz w:val="14"/>
              </w:rPr>
              <w:t>HTF_RANGE + FAILED_BREAKOUT</w:t>
            </w:r>
          </w:p>
        </w:tc>
        <w:tc>
          <w:tcPr>
            <w:tcW w:type="dxa" w:w="2131"/>
            <w:vAlign w:val="center"/>
          </w:tcPr>
          <w:p>
            <w:pPr>
              <w:spacing w:after="0" w:line="240" w:lineRule="auto"/>
            </w:pPr>
            <w:r>
              <w:rPr>
                <w:rFonts w:ascii="Microsoft YaHei" w:hAnsi="Microsoft YaHei" w:eastAsia="Microsoft YaHei"/>
                <w:b w:val="0"/>
                <w:color w:val="19212A"/>
                <w:sz w:val="14"/>
              </w:rPr>
              <w:t>低于正常震荡区下沿 VAL 79,609不追单；下沿多头本轮无合格预案；上沿等S5 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中线偏空</w:t>
            </w:r>
          </w:p>
        </w:tc>
        <w:tc>
          <w:tcPr>
            <w:tcW w:type="dxa" w:w="2131"/>
            <w:vAlign w:val="center"/>
            <w:shd w:fill="EAF2F8"/>
          </w:tcPr>
          <w:p>
            <w:pPr>
              <w:spacing w:after="0" w:line="240" w:lineRule="auto"/>
            </w:pPr>
            <w:r>
              <w:rPr>
                <w:rFonts w:ascii="Microsoft YaHei" w:hAnsi="Microsoft YaHei" w:eastAsia="Microsoft YaHei"/>
                <w:b w:val="0"/>
                <w:color w:val="19212A"/>
                <w:sz w:val="14"/>
              </w:rPr>
              <w:t>VAL 2,304 / POC 2,326 / VAH 2,354</w:t>
            </w:r>
          </w:p>
        </w:tc>
        <w:tc>
          <w:tcPr>
            <w:tcW w:type="dxa" w:w="2131"/>
            <w:vAlign w:val="center"/>
            <w:shd w:fill="EAF2F8"/>
          </w:tcPr>
          <w:p>
            <w:pPr>
              <w:spacing w:after="0" w:line="240" w:lineRule="auto"/>
            </w:pPr>
            <w:r>
              <w:rPr>
                <w:rFonts w:ascii="Microsoft YaHei" w:hAnsi="Microsoft YaHei" w:eastAsia="Microsoft YaHei"/>
                <w:b w:val="0"/>
                <w:color w:val="19212A"/>
                <w:sz w:val="14"/>
              </w:rPr>
              <w:t>HTF_RANGE + FAILED_BREAKOUT</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中线偏空</w:t>
            </w:r>
          </w:p>
        </w:tc>
        <w:tc>
          <w:tcPr>
            <w:tcW w:type="dxa" w:w="2131"/>
            <w:vAlign w:val="center"/>
          </w:tcPr>
          <w:p>
            <w:pPr>
              <w:spacing w:after="0" w:line="240" w:lineRule="auto"/>
            </w:pPr>
            <w:r>
              <w:rPr>
                <w:rFonts w:ascii="Microsoft YaHei" w:hAnsi="Microsoft YaHei" w:eastAsia="Microsoft YaHei"/>
                <w:b w:val="0"/>
                <w:color w:val="19212A"/>
                <w:sz w:val="14"/>
              </w:rPr>
              <w:t>VAL 96.89 / POC 96.96 / VAH 101.60</w:t>
            </w:r>
          </w:p>
        </w:tc>
        <w:tc>
          <w:tcPr>
            <w:tcW w:type="dxa" w:w="2131"/>
            <w:vAlign w:val="center"/>
          </w:tcPr>
          <w:p>
            <w:pPr>
              <w:spacing w:after="0" w:line="240" w:lineRule="auto"/>
            </w:pPr>
            <w:r>
              <w:rPr>
                <w:rFonts w:ascii="Microsoft YaHei" w:hAnsi="Microsoft YaHei" w:eastAsia="Microsoft YaHei"/>
                <w:b w:val="0"/>
                <w:color w:val="19212A"/>
                <w:sz w:val="14"/>
              </w:rPr>
              <w:t>HTF_RANGE + FAILED_BREAKOUT</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-8.19%；DOGE -7.59%；AVAX -9.67%</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80,105 是最近五天成交最密集的价格，可理解为短期筹码最拥挤的‘价格磁铁’；VAL 79,609 是正常震荡区下沿，VAH 80,996 是正常震荡区上沿。BTC 当前低于正常震荡区下沿 VAL 79,609，仍未进入执行带，不是自动做多或做空；下沿多头本轮取消、只等上沿冲高失败。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79,609后快速收回，卖压减弱并形成HL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S5 下沿均值回归多已扫描；本轮TP1净R:R不足，INVALID，不执行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S5 上沿受阻空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HTF_RANGE + FAILED_BREAKOUT，S5不作为主执行；上沿路径按 S5 上沿受阻空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低于正常震荡区下沿 VAL 79,609，不能把反弹强度当成追多信号。下沿多头本轮因R:R不足不执行，空头只等上沿 80,896-81,076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 上沿受阻空；下沿多头 INVALID</w:t>
            </w:r>
          </w:p>
        </w:tc>
        <w:tc>
          <w:tcPr>
            <w:tcW w:type="dxa" w:w="710"/>
            <w:vAlign w:val="center"/>
          </w:tcPr>
          <w:p>
            <w:pPr>
              <w:spacing w:after="0" w:line="240" w:lineRule="auto"/>
            </w:pPr>
            <w:r>
              <w:rPr>
                <w:rFonts w:ascii="Microsoft YaHei" w:hAnsi="Microsoft YaHei" w:eastAsia="Microsoft YaHei"/>
                <w:b w:val="0"/>
                <w:color w:val="19212A"/>
                <w:sz w:val="11"/>
              </w:rPr>
              <w:t>HTF_RANGE + FAILED_BREAKOUT</w:t>
            </w:r>
          </w:p>
        </w:tc>
        <w:tc>
          <w:tcPr>
            <w:tcW w:type="dxa" w:w="710"/>
            <w:vAlign w:val="center"/>
          </w:tcPr>
          <w:p>
            <w:pPr>
              <w:spacing w:after="0" w:line="240" w:lineRule="auto"/>
            </w:pPr>
            <w:r>
              <w:rPr>
                <w:rFonts w:ascii="Microsoft YaHei" w:hAnsi="Microsoft YaHei" w:eastAsia="Microsoft YaHei"/>
                <w:b w:val="0"/>
                <w:color w:val="19212A"/>
                <w:sz w:val="11"/>
              </w:rPr>
              <w:t>现价低于正常震荡区下沿 VAL 79,609；只有上沿空头通过R:R闸门，现价不在执行区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80,996 后跌回；多：本轮取消；现价 76,970</w:t>
            </w:r>
          </w:p>
        </w:tc>
        <w:tc>
          <w:tcPr>
            <w:tcW w:type="dxa" w:w="710"/>
            <w:vAlign w:val="center"/>
          </w:tcPr>
          <w:p>
            <w:pPr>
              <w:spacing w:after="0" w:line="240" w:lineRule="auto"/>
            </w:pPr>
            <w:r>
              <w:rPr>
                <w:rFonts w:ascii="Microsoft YaHei" w:hAnsi="Microsoft YaHei" w:eastAsia="Microsoft YaHei"/>
                <w:b w:val="0"/>
                <w:color w:val="19212A"/>
                <w:sz w:val="11"/>
              </w:rPr>
              <w:t>空 81,016</w:t>
            </w:r>
          </w:p>
        </w:tc>
        <w:tc>
          <w:tcPr>
            <w:tcW w:type="dxa" w:w="710"/>
            <w:vAlign w:val="center"/>
          </w:tcPr>
          <w:p>
            <w:pPr>
              <w:spacing w:after="0" w:line="240" w:lineRule="auto"/>
            </w:pPr>
            <w:r>
              <w:rPr>
                <w:rFonts w:ascii="Microsoft YaHei" w:hAnsi="Microsoft YaHei" w:eastAsia="Microsoft YaHei"/>
                <w:b w:val="0"/>
                <w:color w:val="19212A"/>
                <w:sz w:val="11"/>
              </w:rPr>
              <w:t>空 81,076</w:t>
            </w:r>
          </w:p>
        </w:tc>
        <w:tc>
          <w:tcPr>
            <w:tcW w:type="dxa" w:w="710"/>
            <w:vAlign w:val="center"/>
          </w:tcPr>
          <w:p>
            <w:pPr>
              <w:spacing w:after="0" w:line="240" w:lineRule="auto"/>
            </w:pPr>
            <w:r>
              <w:rPr>
                <w:rFonts w:ascii="Microsoft YaHei" w:hAnsi="Microsoft YaHei" w:eastAsia="Microsoft YaHei"/>
                <w:b w:val="0"/>
                <w:color w:val="19212A"/>
                <w:sz w:val="11"/>
              </w:rPr>
              <w:t>空 81,496</w:t>
            </w:r>
          </w:p>
        </w:tc>
        <w:tc>
          <w:tcPr>
            <w:tcW w:type="dxa" w:w="710"/>
            <w:vAlign w:val="center"/>
          </w:tcPr>
          <w:p>
            <w:pPr>
              <w:spacing w:after="0" w:line="240" w:lineRule="auto"/>
            </w:pPr>
            <w:r>
              <w:rPr>
                <w:rFonts w:ascii="Microsoft YaHei" w:hAnsi="Microsoft YaHei" w:eastAsia="Microsoft YaHei"/>
                <w:b w:val="0"/>
                <w:color w:val="19212A"/>
                <w:sz w:val="11"/>
              </w:rPr>
              <w:t>空看 POC 80,105</w:t>
            </w:r>
          </w:p>
        </w:tc>
        <w:tc>
          <w:tcPr>
            <w:tcW w:type="dxa" w:w="710"/>
            <w:vAlign w:val="center"/>
          </w:tcPr>
          <w:p>
            <w:pPr>
              <w:spacing w:after="0" w:line="240" w:lineRule="auto"/>
            </w:pPr>
            <w:r>
              <w:rPr>
                <w:rFonts w:ascii="Microsoft YaHei" w:hAnsi="Microsoft YaHei" w:eastAsia="Microsoft YaHei"/>
                <w:b w:val="0"/>
                <w:color w:val="19212A"/>
                <w:sz w:val="11"/>
              </w:rPr>
              <w:t>空看 VAL 79,609</w:t>
            </w:r>
          </w:p>
        </w:tc>
        <w:tc>
          <w:tcPr>
            <w:tcW w:type="dxa" w:w="710"/>
            <w:vAlign w:val="center"/>
          </w:tcPr>
          <w:p>
            <w:pPr>
              <w:spacing w:after="0" w:line="240" w:lineRule="auto"/>
            </w:pPr>
            <w:r>
              <w:rPr>
                <w:rFonts w:ascii="Microsoft YaHei" w:hAnsi="Microsoft YaHei" w:eastAsia="Microsoft YaHei"/>
                <w:b w:val="0"/>
                <w:color w:val="19212A"/>
                <w:sz w:val="11"/>
              </w:rPr>
              <w:t>空 1:2.27</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空头出现LH且流量不恶化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仍在价值区下半部。下沿多头本轮无合格预案，上沿要进入 80,896-81,076 后受阻并跌回 VAH 下方形成 LH；空头触发后不能超过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S5/S5</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BTC仅上沿1张条件卡；下沿多头淘汰</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扫描了13个流动标的，BTC只有上沿空头通过动态盈亏比检查；下沿多头因 TP1 净R:R不足淘汰。 S5 上沿受阻空 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w:t>
            </w:r>
          </w:p>
        </w:tc>
        <w:tc>
          <w:tcPr>
            <w:tcW w:type="dxa" w:w="888"/>
            <w:vAlign w:val="center"/>
          </w:tcPr>
          <w:p>
            <w:pPr>
              <w:spacing w:after="0" w:line="240" w:lineRule="auto"/>
            </w:pPr>
            <w:r>
              <w:rPr>
                <w:rFonts w:ascii="Microsoft YaHei" w:hAnsi="Microsoft YaHei" w:eastAsia="Microsoft YaHei"/>
                <w:b w:val="0"/>
                <w:color w:val="19212A"/>
                <w:sz w:val="13"/>
              </w:rPr>
              <w:t>HTF_RANGE + FAILED_BREAKOUT</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0.52%</w:t>
            </w:r>
          </w:p>
        </w:tc>
        <w:tc>
          <w:tcPr>
            <w:tcW w:type="dxa" w:w="1332"/>
            <w:vAlign w:val="center"/>
          </w:tcPr>
          <w:p>
            <w:pPr>
              <w:spacing w:after="0" w:line="240" w:lineRule="auto"/>
            </w:pPr>
            <w:r>
              <w:rPr>
                <w:rFonts w:ascii="Microsoft YaHei" w:hAnsi="Microsoft YaHei" w:eastAsia="Microsoft YaHei"/>
                <w:b w:val="0"/>
                <w:color w:val="19212A"/>
                <w:sz w:val="13"/>
              </w:rPr>
              <w:t>19.3%</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9.7%-19.3%</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 上沿受阻空；下沿多头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79,609 / POC 80,105 / VAH 80,996，仅上沿空头保留；下沿多头被R:R闸门淘汰，现价不在执行区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79,609、POC 80,105、VAH 80,996，当前 Regime 为 HTF_RANGE + FAILED_BREAKOUT，价格低于正常震荡区下沿 VAL 79,609；仅上沿空头通过闸门，下沿多头因第一目标净R:R不足淘汰，现价不在执行区。这是按新快照和新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76,969.90 / -5.13%</w:t>
            </w:r>
          </w:p>
        </w:tc>
        <w:tc>
          <w:tcPr>
            <w:tcW w:type="dxa" w:w="1776"/>
            <w:vAlign w:val="center"/>
          </w:tcPr>
          <w:p>
            <w:pPr>
              <w:spacing w:after="0" w:line="240" w:lineRule="auto"/>
            </w:pPr>
            <w:r>
              <w:rPr>
                <w:rFonts w:ascii="Microsoft YaHei" w:hAnsi="Microsoft YaHei" w:eastAsia="Microsoft YaHei"/>
                <w:b w:val="0"/>
                <w:color w:val="19212A"/>
                <w:sz w:val="14"/>
              </w:rPr>
              <w:t>79,609.09 / 80,104.58 / 80,996.47</w:t>
            </w:r>
          </w:p>
        </w:tc>
        <w:tc>
          <w:tcPr>
            <w:tcW w:type="dxa" w:w="1776"/>
            <w:vAlign w:val="center"/>
          </w:tcPr>
          <w:p>
            <w:pPr>
              <w:spacing w:after="0" w:line="240" w:lineRule="auto"/>
            </w:pPr>
            <w:r>
              <w:rPr>
                <w:rFonts w:ascii="Microsoft YaHei" w:hAnsi="Microsoft YaHei" w:eastAsia="Microsoft YaHei"/>
                <w:b w:val="0"/>
                <w:color w:val="19212A"/>
                <w:sz w:val="14"/>
              </w:rPr>
              <w:t>+0.0100%</w:t>
            </w:r>
          </w:p>
        </w:tc>
        <w:tc>
          <w:tcPr>
            <w:tcW w:type="dxa" w:w="1776"/>
            <w:vAlign w:val="center"/>
          </w:tcPr>
          <w:p>
            <w:pPr>
              <w:spacing w:after="0" w:line="240" w:lineRule="auto"/>
            </w:pPr>
            <w:r>
              <w:rPr>
                <w:rFonts w:ascii="Microsoft YaHei" w:hAnsi="Microsoft YaHei" w:eastAsia="Microsoft YaHei"/>
                <w:b w:val="0"/>
                <w:color w:val="19212A"/>
                <w:sz w:val="14"/>
              </w:rPr>
              <w:t>$2.51bn / +0.00%</w:t>
            </w:r>
          </w:p>
        </w:tc>
        <w:tc>
          <w:tcPr>
            <w:tcW w:type="dxa" w:w="1776"/>
            <w:vAlign w:val="center"/>
          </w:tcPr>
          <w:p>
            <w:pPr>
              <w:spacing w:after="0" w:line="240" w:lineRule="auto"/>
            </w:pPr>
            <w:r>
              <w:rPr>
                <w:rFonts w:ascii="Microsoft YaHei" w:hAnsi="Microsoft YaHei" w:eastAsia="Microsoft YaHei"/>
                <w:b w:val="0"/>
                <w:color w:val="19212A"/>
                <w:sz w:val="14"/>
              </w:rPr>
              <w:t>0.577 / 0.577 / 0.577</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2,208.86 / -6.25%</w:t>
            </w:r>
          </w:p>
        </w:tc>
        <w:tc>
          <w:tcPr>
            <w:tcW w:type="dxa" w:w="1776"/>
            <w:vAlign w:val="center"/>
            <w:shd w:fill="EAF2F8"/>
          </w:tcPr>
          <w:p>
            <w:pPr>
              <w:spacing w:after="0" w:line="240" w:lineRule="auto"/>
            </w:pPr>
            <w:r>
              <w:rPr>
                <w:rFonts w:ascii="Microsoft YaHei" w:hAnsi="Microsoft YaHei" w:eastAsia="Microsoft YaHei"/>
                <w:b w:val="0"/>
                <w:color w:val="19212A"/>
                <w:sz w:val="14"/>
              </w:rPr>
              <w:t>2,303.84 / 2,325.69 / 2,354.45</w:t>
            </w:r>
          </w:p>
        </w:tc>
        <w:tc>
          <w:tcPr>
            <w:tcW w:type="dxa" w:w="1776"/>
            <w:vAlign w:val="center"/>
            <w:shd w:fill="EAF2F8"/>
          </w:tcPr>
          <w:p>
            <w:pPr>
              <w:spacing w:after="0" w:line="240" w:lineRule="auto"/>
            </w:pPr>
            <w:r>
              <w:rPr>
                <w:rFonts w:ascii="Microsoft YaHei" w:hAnsi="Microsoft YaHei" w:eastAsia="Microsoft YaHei"/>
                <w:b w:val="0"/>
                <w:color w:val="19212A"/>
                <w:sz w:val="14"/>
              </w:rPr>
              <w:t>-0.0048%</w:t>
            </w:r>
          </w:p>
        </w:tc>
        <w:tc>
          <w:tcPr>
            <w:tcW w:type="dxa" w:w="1776"/>
            <w:vAlign w:val="center"/>
            <w:shd w:fill="EAF2F8"/>
          </w:tcPr>
          <w:p>
            <w:pPr>
              <w:spacing w:after="0" w:line="240" w:lineRule="auto"/>
            </w:pPr>
            <w:r>
              <w:rPr>
                <w:rFonts w:ascii="Microsoft YaHei" w:hAnsi="Microsoft YaHei" w:eastAsia="Microsoft YaHei"/>
                <w:b w:val="0"/>
                <w:color w:val="19212A"/>
                <w:sz w:val="14"/>
              </w:rPr>
              <w:t>$1.45bn / +0.00%</w:t>
            </w:r>
          </w:p>
        </w:tc>
        <w:tc>
          <w:tcPr>
            <w:tcW w:type="dxa" w:w="1776"/>
            <w:vAlign w:val="center"/>
            <w:shd w:fill="EAF2F8"/>
          </w:tcPr>
          <w:p>
            <w:pPr>
              <w:spacing w:after="0" w:line="240" w:lineRule="auto"/>
            </w:pPr>
            <w:r>
              <w:rPr>
                <w:rFonts w:ascii="Microsoft YaHei" w:hAnsi="Microsoft YaHei" w:eastAsia="Microsoft YaHei"/>
                <w:b w:val="0"/>
                <w:color w:val="19212A"/>
                <w:sz w:val="14"/>
              </w:rPr>
              <w:t>1.080 / 1.080 / 1.080</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93.58 / -8.28%</w:t>
            </w:r>
          </w:p>
        </w:tc>
        <w:tc>
          <w:tcPr>
            <w:tcW w:type="dxa" w:w="1776"/>
            <w:vAlign w:val="center"/>
          </w:tcPr>
          <w:p>
            <w:pPr>
              <w:spacing w:after="0" w:line="240" w:lineRule="auto"/>
            </w:pPr>
            <w:r>
              <w:rPr>
                <w:rFonts w:ascii="Microsoft YaHei" w:hAnsi="Microsoft YaHei" w:eastAsia="Microsoft YaHei"/>
                <w:b w:val="0"/>
                <w:color w:val="19212A"/>
                <w:sz w:val="14"/>
              </w:rPr>
              <w:t>96.89 / 96.96 / 101.60</w:t>
            </w:r>
          </w:p>
        </w:tc>
        <w:tc>
          <w:tcPr>
            <w:tcW w:type="dxa" w:w="1776"/>
            <w:vAlign w:val="center"/>
          </w:tcPr>
          <w:p>
            <w:pPr>
              <w:spacing w:after="0" w:line="240" w:lineRule="auto"/>
            </w:pPr>
            <w:r>
              <w:rPr>
                <w:rFonts w:ascii="Microsoft YaHei" w:hAnsi="Microsoft YaHei" w:eastAsia="Microsoft YaHei"/>
                <w:b w:val="0"/>
                <w:color w:val="19212A"/>
                <w:sz w:val="14"/>
              </w:rPr>
              <w:t>+0.0010%</w:t>
            </w:r>
          </w:p>
        </w:tc>
        <w:tc>
          <w:tcPr>
            <w:tcW w:type="dxa" w:w="1776"/>
            <w:vAlign w:val="center"/>
          </w:tcPr>
          <w:p>
            <w:pPr>
              <w:spacing w:after="0" w:line="240" w:lineRule="auto"/>
            </w:pPr>
            <w:r>
              <w:rPr>
                <w:rFonts w:ascii="Microsoft YaHei" w:hAnsi="Microsoft YaHei" w:eastAsia="Microsoft YaHei"/>
                <w:b w:val="0"/>
                <w:color w:val="19212A"/>
                <w:sz w:val="14"/>
              </w:rPr>
              <w:t>$0.32bn / +0.00%</w:t>
            </w:r>
          </w:p>
        </w:tc>
        <w:tc>
          <w:tcPr>
            <w:tcW w:type="dxa" w:w="1776"/>
            <w:vAlign w:val="center"/>
          </w:tcPr>
          <w:p>
            <w:pPr>
              <w:spacing w:after="0" w:line="240" w:lineRule="auto"/>
            </w:pPr>
            <w:r>
              <w:rPr>
                <w:rFonts w:ascii="Microsoft YaHei" w:hAnsi="Microsoft YaHei" w:eastAsia="Microsoft YaHei"/>
                <w:b w:val="0"/>
                <w:color w:val="19212A"/>
                <w:sz w:val="14"/>
              </w:rPr>
              <w:t>1.000 / 1.000 / 1.000</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0.577，下沿多头本轮不执行，上沿空头要等冲高失败形成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7,720.39</w:t>
            </w:r>
          </w:p>
        </w:tc>
        <w:tc>
          <w:tcPr>
            <w:tcW w:type="dxa" w:w="2664"/>
            <w:vAlign w:val="center"/>
            <w:shd w:fill="EAF2F8"/>
          </w:tcPr>
          <w:p>
            <w:pPr>
              <w:spacing w:after="0" w:line="240" w:lineRule="auto"/>
            </w:pPr>
            <w:r>
              <w:rPr>
                <w:rFonts w:ascii="Microsoft YaHei" w:hAnsi="Microsoft YaHei" w:eastAsia="Microsoft YaHei"/>
                <w:b w:val="0"/>
                <w:color w:val="19212A"/>
                <w:sz w:val="14"/>
              </w:rPr>
              <w:t>-0.30%</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26,184.72</w:t>
            </w:r>
          </w:p>
        </w:tc>
        <w:tc>
          <w:tcPr>
            <w:tcW w:type="dxa" w:w="2664"/>
            <w:vAlign w:val="center"/>
          </w:tcPr>
          <w:p>
            <w:pPr>
              <w:spacing w:after="0" w:line="240" w:lineRule="auto"/>
            </w:pPr>
            <w:r>
              <w:rPr>
                <w:rFonts w:ascii="Microsoft YaHei" w:hAnsi="Microsoft YaHei" w:eastAsia="Microsoft YaHei"/>
                <w:b w:val="0"/>
                <w:color w:val="19212A"/>
                <w:sz w:val="14"/>
              </w:rPr>
              <w:t>-1.38%</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101.83</w:t>
            </w:r>
          </w:p>
        </w:tc>
        <w:tc>
          <w:tcPr>
            <w:tcW w:type="dxa" w:w="2664"/>
            <w:vAlign w:val="center"/>
            <w:shd w:fill="EAF2F8"/>
          </w:tcPr>
          <w:p>
            <w:pPr>
              <w:spacing w:after="0" w:line="240" w:lineRule="auto"/>
            </w:pPr>
            <w:r>
              <w:rPr>
                <w:rFonts w:ascii="Microsoft YaHei" w:hAnsi="Microsoft YaHei" w:eastAsia="Microsoft YaHei"/>
                <w:b w:val="0"/>
                <w:color w:val="19212A"/>
                <w:sz w:val="14"/>
              </w:rPr>
              <w:t>-0.36%</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美元边际缓解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4.99</w:t>
            </w:r>
          </w:p>
        </w:tc>
        <w:tc>
          <w:tcPr>
            <w:tcW w:type="dxa" w:w="2664"/>
            <w:vAlign w:val="center"/>
          </w:tcPr>
          <w:p>
            <w:pPr>
              <w:spacing w:after="0" w:line="240" w:lineRule="auto"/>
            </w:pPr>
            <w:r>
              <w:rPr>
                <w:rFonts w:ascii="Microsoft YaHei" w:hAnsi="Microsoft YaHei" w:eastAsia="Microsoft YaHei"/>
                <w:b w:val="0"/>
                <w:color w:val="19212A"/>
                <w:sz w:val="14"/>
              </w:rPr>
              <w:t>-1.11%</w:t>
            </w:r>
          </w:p>
        </w:tc>
        <w:tc>
          <w:tcPr>
            <w:tcW w:type="dxa" w:w="2664"/>
            <w:vAlign w:val="center"/>
          </w:tcPr>
          <w:p>
            <w:pPr>
              <w:spacing w:after="0" w:line="240" w:lineRule="auto"/>
            </w:pPr>
            <w:r>
              <w:rPr>
                <w:rFonts w:ascii="Microsoft YaHei" w:hAnsi="Microsoft YaHei" w:eastAsia="Microsoft YaHei"/>
                <w:b w:val="0"/>
                <w:color w:val="19212A"/>
                <w:sz w:val="14"/>
              </w:rPr>
              <w:t>收益率回落，边际缓解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4,022.80</w:t>
            </w:r>
          </w:p>
        </w:tc>
        <w:tc>
          <w:tcPr>
            <w:tcW w:type="dxa" w:w="2664"/>
            <w:vAlign w:val="center"/>
            <w:shd w:fill="EAF2F8"/>
          </w:tcPr>
          <w:p>
            <w:pPr>
              <w:spacing w:after="0" w:line="240" w:lineRule="auto"/>
            </w:pPr>
            <w:r>
              <w:rPr>
                <w:rFonts w:ascii="Microsoft YaHei" w:hAnsi="Microsoft YaHei" w:eastAsia="Microsoft YaHei"/>
                <w:b w:val="0"/>
                <w:color w:val="19212A"/>
                <w:sz w:val="14"/>
              </w:rPr>
              <w:t>-0.71%</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102.72</w:t>
            </w:r>
          </w:p>
        </w:tc>
        <w:tc>
          <w:tcPr>
            <w:tcW w:type="dxa" w:w="2664"/>
            <w:vAlign w:val="center"/>
          </w:tcPr>
          <w:p>
            <w:pPr>
              <w:spacing w:after="0" w:line="240" w:lineRule="auto"/>
            </w:pPr>
            <w:r>
              <w:rPr>
                <w:rFonts w:ascii="Microsoft YaHei" w:hAnsi="Microsoft YaHei" w:eastAsia="Microsoft YaHei"/>
                <w:b w:val="0"/>
                <w:color w:val="19212A"/>
                <w:sz w:val="14"/>
              </w:rPr>
              <w:t>-0.06%</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 -0.30%、纳指 -1.38%，风险偏好偏弱；DXY -0.36%、10年期收益率 -1.11%，美元与利率仍有压制，黄金 -0.71% 则保留避险/通胀对冲需求。宏观没有给出可以覆盖技术结构的单边优势，因此不在 BTC 低于正常震荡区下沿 VAL 79,609 猜方向，只执行上沿受阻空；下沿多头因第一目标净R:R不足不执行。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条候选标题；监控状态为 NO_MATERIAL_CHANGE。候选标题只能作为线索，未完成主来源确认的内容不升级为新的大佬立场，也不直接改变交易方向。</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10-09</w:t>
            </w:r>
          </w:p>
        </w:tc>
        <w:tc>
          <w:tcPr>
            <w:tcW w:type="dxa" w:w="2664"/>
            <w:vAlign w:val="center"/>
          </w:tcPr>
          <w:p>
            <w:pPr>
              <w:spacing w:after="0" w:line="240" w:lineRule="auto"/>
            </w:pPr>
            <w:r>
              <w:rPr>
                <w:rFonts w:ascii="Microsoft YaHei" w:hAnsi="Microsoft YaHei" w:eastAsia="Microsoft YaHei"/>
                <w:b w:val="0"/>
                <w:color w:val="19212A"/>
                <w:sz w:val="14"/>
              </w:rPr>
              <w:t>+21.1m</w:t>
            </w:r>
          </w:p>
        </w:tc>
        <w:tc>
          <w:tcPr>
            <w:tcW w:type="dxa" w:w="2664"/>
            <w:vAlign w:val="center"/>
          </w:tcPr>
          <w:p>
            <w:pPr>
              <w:spacing w:after="0" w:line="240" w:lineRule="auto"/>
            </w:pPr>
            <w:r>
              <w:rPr>
                <w:rFonts w:ascii="Microsoft YaHei" w:hAnsi="Microsoft YaHei" w:eastAsia="Microsoft YaHei"/>
                <w:b w:val="0"/>
                <w:color w:val="19212A"/>
                <w:sz w:val="14"/>
              </w:rPr>
              <w:t>-56.1m</w:t>
            </w:r>
          </w:p>
        </w:tc>
        <w:tc>
          <w:tcPr>
            <w:tcW w:type="dxa" w:w="2664"/>
            <w:vAlign w:val="center"/>
          </w:tcPr>
          <w:p>
            <w:pPr>
              <w:spacing w:after="0" w:line="240" w:lineRule="auto"/>
            </w:pPr>
            <w:r>
              <w:rPr>
                <w:rFonts w:ascii="Microsoft YaHei" w:hAnsi="Microsoft YaHei" w:eastAsia="Microsoft YaHei"/>
                <w:b w:val="0"/>
                <w:color w:val="19212A"/>
                <w:sz w:val="14"/>
              </w:rPr>
              <w:t>-3.8m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10-12</w:t>
            </w:r>
          </w:p>
        </w:tc>
        <w:tc>
          <w:tcPr>
            <w:tcW w:type="dxa" w:w="2664"/>
            <w:vAlign w:val="center"/>
            <w:shd w:fill="EAF2F8"/>
          </w:tcPr>
          <w:p>
            <w:pPr>
              <w:spacing w:after="0" w:line="240" w:lineRule="auto"/>
            </w:pPr>
            <w:r>
              <w:rPr>
                <w:rFonts w:ascii="Microsoft YaHei" w:hAnsi="Microsoft YaHei" w:eastAsia="Microsoft YaHei"/>
                <w:b w:val="0"/>
                <w:color w:val="19212A"/>
                <w:sz w:val="14"/>
              </w:rPr>
              <w:t>-65.4m</w:t>
            </w:r>
          </w:p>
        </w:tc>
        <w:tc>
          <w:tcPr>
            <w:tcW w:type="dxa" w:w="2664"/>
            <w:vAlign w:val="center"/>
            <w:shd w:fill="EAF2F8"/>
          </w:tcPr>
          <w:p>
            <w:pPr>
              <w:spacing w:after="0" w:line="240" w:lineRule="auto"/>
            </w:pPr>
            <w:r>
              <w:rPr>
                <w:rFonts w:ascii="Microsoft YaHei" w:hAnsi="Microsoft YaHei" w:eastAsia="Microsoft YaHei"/>
                <w:b w:val="0"/>
                <w:color w:val="19212A"/>
                <w:sz w:val="14"/>
              </w:rPr>
              <w:t>-85.4m</w:t>
            </w:r>
          </w:p>
        </w:tc>
        <w:tc>
          <w:tcPr>
            <w:tcW w:type="dxa" w:w="2664"/>
            <w:vAlign w:val="center"/>
            <w:shd w:fill="EAF2F8"/>
          </w:tcPr>
          <w:p>
            <w:pPr>
              <w:spacing w:after="0" w:line="240" w:lineRule="auto"/>
            </w:pPr>
            <w:r>
              <w:rPr>
                <w:rFonts w:ascii="Microsoft YaHei" w:hAnsi="Microsoft YaHei" w:eastAsia="Microsoft YaHei"/>
                <w:b w:val="0"/>
                <w:color w:val="19212A"/>
                <w:sz w:val="14"/>
              </w:rPr>
              <w:t>-0.7m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10-13</w:t>
            </w:r>
          </w:p>
        </w:tc>
        <w:tc>
          <w:tcPr>
            <w:tcW w:type="dxa" w:w="2664"/>
            <w:vAlign w:val="center"/>
          </w:tcPr>
          <w:p>
            <w:pPr>
              <w:spacing w:after="0" w:line="240" w:lineRule="auto"/>
            </w:pPr>
            <w:r>
              <w:rPr>
                <w:rFonts w:ascii="Microsoft YaHei" w:hAnsi="Microsoft YaHei" w:eastAsia="Microsoft YaHei"/>
                <w:b w:val="0"/>
                <w:color w:val="19212A"/>
                <w:sz w:val="14"/>
              </w:rPr>
              <w:t>+175.7m</w:t>
            </w:r>
          </w:p>
        </w:tc>
        <w:tc>
          <w:tcPr>
            <w:tcW w:type="dxa" w:w="2664"/>
            <w:vAlign w:val="center"/>
          </w:tcPr>
          <w:p>
            <w:pPr>
              <w:spacing w:after="0" w:line="240" w:lineRule="auto"/>
            </w:pPr>
            <w:r>
              <w:rPr>
                <w:rFonts w:ascii="Microsoft YaHei" w:hAnsi="Microsoft YaHei" w:eastAsia="Microsoft YaHei"/>
                <w:b w:val="0"/>
                <w:color w:val="19212A"/>
                <w:sz w:val="14"/>
              </w:rPr>
              <w:t>+24.8m</w:t>
            </w:r>
          </w:p>
        </w:tc>
        <w:tc>
          <w:tcPr>
            <w:tcW w:type="dxa" w:w="2664"/>
            <w:vAlign w:val="center"/>
          </w:tcPr>
          <w:p>
            <w:pPr>
              <w:spacing w:after="0" w:line="240" w:lineRule="auto"/>
            </w:pPr>
            <w:r>
              <w:rPr>
                <w:rFonts w:ascii="Microsoft YaHei" w:hAnsi="Microsoft YaHei" w:eastAsia="Microsoft YaHei"/>
                <w:b w:val="0"/>
                <w:color w:val="19212A"/>
                <w:sz w:val="14"/>
              </w:rPr>
              <w:t>-1.0m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10-14</w:t>
            </w:r>
          </w:p>
        </w:tc>
        <w:tc>
          <w:tcPr>
            <w:tcW w:type="dxa" w:w="2664"/>
            <w:vAlign w:val="center"/>
            <w:shd w:fill="EAF2F8"/>
          </w:tcPr>
          <w:p>
            <w:pPr>
              <w:spacing w:after="0" w:line="240" w:lineRule="auto"/>
            </w:pPr>
            <w:r>
              <w:rPr>
                <w:rFonts w:ascii="Microsoft YaHei" w:hAnsi="Microsoft YaHei" w:eastAsia="Microsoft YaHei"/>
                <w:b w:val="0"/>
                <w:color w:val="19212A"/>
                <w:sz w:val="14"/>
              </w:rPr>
              <w:t>-261.4m</w:t>
            </w:r>
          </w:p>
        </w:tc>
        <w:tc>
          <w:tcPr>
            <w:tcW w:type="dxa" w:w="2664"/>
            <w:vAlign w:val="center"/>
            <w:shd w:fill="EAF2F8"/>
          </w:tcPr>
          <w:p>
            <w:pPr>
              <w:spacing w:after="0" w:line="240" w:lineRule="auto"/>
            </w:pPr>
            <w:r>
              <w:rPr>
                <w:rFonts w:ascii="Microsoft YaHei" w:hAnsi="Microsoft YaHei" w:eastAsia="Microsoft YaHei"/>
                <w:b w:val="0"/>
                <w:color w:val="19212A"/>
                <w:sz w:val="14"/>
              </w:rPr>
              <w:t>-129.5m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10-15</w:t>
            </w:r>
          </w:p>
        </w:tc>
        <w:tc>
          <w:tcPr>
            <w:tcW w:type="dxa" w:w="2664"/>
            <w:vAlign w:val="center"/>
          </w:tcPr>
          <w:p>
            <w:pPr>
              <w:spacing w:after="0" w:line="240" w:lineRule="auto"/>
            </w:pPr>
            <w:r>
              <w:rPr>
                <w:rFonts w:ascii="Microsoft YaHei" w:hAnsi="Microsoft YaHei" w:eastAsia="Microsoft YaHei"/>
                <w:b w:val="0"/>
                <w:color w:val="19212A"/>
                <w:sz w:val="14"/>
              </w:rPr>
              <w:t>+5.1m</w:t>
            </w:r>
          </w:p>
        </w:tc>
        <w:tc>
          <w:tcPr>
            <w:tcW w:type="dxa" w:w="2664"/>
            <w:vAlign w:val="center"/>
          </w:tcPr>
          <w:p>
            <w:pPr>
              <w:spacing w:after="0" w:line="240" w:lineRule="auto"/>
            </w:pPr>
            <w:r>
              <w:rPr>
                <w:rFonts w:ascii="Microsoft YaHei" w:hAnsi="Microsoft YaHei" w:eastAsia="Microsoft YaHei"/>
                <w:b w:val="0"/>
                <w:color w:val="19212A"/>
                <w:sz w:val="14"/>
              </w:rPr>
              <w:t>-60.3m</w:t>
            </w:r>
          </w:p>
        </w:tc>
        <w:tc>
          <w:tcPr>
            <w:tcW w:type="dxa" w:w="2664"/>
            <w:vAlign w:val="center"/>
          </w:tcPr>
          <w:p>
            <w:pPr>
              <w:spacing w:after="0" w:line="240" w:lineRule="auto"/>
            </w:pPr>
            <w:r>
              <w:rPr>
                <w:rFonts w:ascii="Microsoft YaHei" w:hAnsi="Microsoft YaHei" w:eastAsia="Microsoft YaHei"/>
                <w:b w:val="0"/>
                <w:color w:val="19212A"/>
                <w:sz w:val="14"/>
              </w:rPr>
              <w:t>-9.8m</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已取得的最近完整发布日里，BTC ETF合计 -124.9m 美元；ETH -306.5m、SOL -16.6m。周末前最新完整美国交易日为 10月15日，10月16日数据尚未完整确认，不能把未公布值当成零流量。稳定币总供应约 $300.1bn，提供中期流动性底座，但不能证明今天正在主动买币。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个完整发布日净流，最新完整交易日为 10 月 15 日；数据来源：Farside Investors，ETH/SOL 使用公开表格交叉核验。</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25s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$0.35m</w:t>
            </w:r>
          </w:p>
        </w:tc>
        <w:tc>
          <w:tcPr>
            <w:tcW w:type="dxa" w:w="1522"/>
            <w:vAlign w:val="center"/>
          </w:tcPr>
          <w:p>
            <w:pPr>
              <w:spacing w:after="0" w:line="240" w:lineRule="auto"/>
            </w:pPr>
            <w:r>
              <w:rPr>
                <w:rFonts w:ascii="Microsoft YaHei" w:hAnsi="Microsoft YaHei" w:eastAsia="Microsoft YaHei"/>
                <w:b w:val="0"/>
                <w:color w:val="19212A"/>
                <w:sz w:val="13"/>
              </w:rPr>
              <w:t>$-0.35m</w:t>
            </w:r>
          </w:p>
        </w:tc>
        <w:tc>
          <w:tcPr>
            <w:tcW w:type="dxa" w:w="1522"/>
            <w:vAlign w:val="center"/>
          </w:tcPr>
          <w:p>
            <w:pPr>
              <w:spacing w:after="0" w:line="240" w:lineRule="auto"/>
            </w:pPr>
            <w:r>
              <w:rPr>
                <w:rFonts w:ascii="Microsoft YaHei" w:hAnsi="Microsoft YaHei" w:eastAsia="Microsoft YaHei"/>
                <w:b w:val="0"/>
                <w:color w:val="19212A"/>
                <w:sz w:val="13"/>
              </w:rPr>
              <w:t>26.1%</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31s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86.6%</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35s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69.1%</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$6.09m</w:t>
            </w:r>
          </w:p>
        </w:tc>
        <w:tc>
          <w:tcPr>
            <w:tcW w:type="dxa" w:w="2131"/>
            <w:vAlign w:val="center"/>
          </w:tcPr>
          <w:p>
            <w:pPr>
              <w:spacing w:after="0" w:line="240" w:lineRule="auto"/>
            </w:pPr>
            <w:r>
              <w:rPr>
                <w:rFonts w:ascii="Microsoft YaHei" w:hAnsi="Microsoft YaHei" w:eastAsia="Microsoft YaHei"/>
                <w:b w:val="0"/>
                <w:color w:val="19212A"/>
                <w:sz w:val="14"/>
              </w:rPr>
              <w:t>$3.19m</w:t>
            </w:r>
          </w:p>
        </w:tc>
        <w:tc>
          <w:tcPr>
            <w:tcW w:type="dxa" w:w="2131"/>
            <w:vAlign w:val="center"/>
          </w:tcPr>
          <w:p>
            <w:pPr>
              <w:spacing w:after="0" w:line="240" w:lineRule="auto"/>
            </w:pPr>
            <w:r>
              <w:rPr>
                <w:rFonts w:ascii="Microsoft YaHei" w:hAnsi="Microsoft YaHei" w:eastAsia="Microsoft YaHei"/>
                <w:b w:val="0"/>
                <w:color w:val="19212A"/>
                <w:sz w:val="14"/>
              </w:rPr>
              <w:t>+31.3%</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$4.62m</w:t>
            </w:r>
          </w:p>
        </w:tc>
        <w:tc>
          <w:tcPr>
            <w:tcW w:type="dxa" w:w="2131"/>
            <w:vAlign w:val="center"/>
            <w:shd w:fill="EAF2F8"/>
          </w:tcPr>
          <w:p>
            <w:pPr>
              <w:spacing w:after="0" w:line="240" w:lineRule="auto"/>
            </w:pPr>
            <w:r>
              <w:rPr>
                <w:rFonts w:ascii="Microsoft YaHei" w:hAnsi="Microsoft YaHei" w:eastAsia="Microsoft YaHei"/>
                <w:b w:val="0"/>
                <w:color w:val="19212A"/>
                <w:sz w:val="14"/>
              </w:rPr>
              <w:t>$2.39m</w:t>
            </w:r>
          </w:p>
        </w:tc>
        <w:tc>
          <w:tcPr>
            <w:tcW w:type="dxa" w:w="2131"/>
            <w:vAlign w:val="center"/>
            <w:shd w:fill="EAF2F8"/>
          </w:tcPr>
          <w:p>
            <w:pPr>
              <w:spacing w:after="0" w:line="240" w:lineRule="auto"/>
            </w:pPr>
            <w:r>
              <w:rPr>
                <w:rFonts w:ascii="Microsoft YaHei" w:hAnsi="Microsoft YaHei" w:eastAsia="Microsoft YaHei"/>
                <w:b w:val="0"/>
                <w:color w:val="19212A"/>
                <w:sz w:val="14"/>
              </w:rPr>
              <w:t>+31.9%</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$1.00m</w:t>
            </w:r>
          </w:p>
        </w:tc>
        <w:tc>
          <w:tcPr>
            <w:tcW w:type="dxa" w:w="2131"/>
            <w:vAlign w:val="center"/>
          </w:tcPr>
          <w:p>
            <w:pPr>
              <w:spacing w:after="0" w:line="240" w:lineRule="auto"/>
            </w:pPr>
            <w:r>
              <w:rPr>
                <w:rFonts w:ascii="Microsoft YaHei" w:hAnsi="Microsoft YaHei" w:eastAsia="Microsoft YaHei"/>
                <w:b w:val="0"/>
                <w:color w:val="19212A"/>
                <w:sz w:val="14"/>
              </w:rPr>
              <w:t>$0.95m</w:t>
            </w:r>
          </w:p>
        </w:tc>
        <w:tc>
          <w:tcPr>
            <w:tcW w:type="dxa" w:w="2131"/>
            <w:vAlign w:val="center"/>
          </w:tcPr>
          <w:p>
            <w:pPr>
              <w:spacing w:after="0" w:line="240" w:lineRule="auto"/>
            </w:pPr>
            <w:r>
              <w:rPr>
                <w:rFonts w:ascii="Microsoft YaHei" w:hAnsi="Microsoft YaHei" w:eastAsia="Microsoft YaHei"/>
                <w:b w:val="0"/>
                <w:color w:val="19212A"/>
                <w:sz w:val="14"/>
              </w:rPr>
              <w:t>+2.3%</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267 BTC @ $82,900</w:t>
            </w:r>
          </w:p>
        </w:tc>
        <w:tc>
          <w:tcPr>
            <w:tcW w:type="dxa" w:w="2131"/>
            <w:vAlign w:val="center"/>
          </w:tcPr>
          <w:p>
            <w:pPr>
              <w:spacing w:after="0" w:line="240" w:lineRule="auto"/>
            </w:pPr>
            <w:r>
              <w:rPr>
                <w:rFonts w:ascii="Microsoft YaHei" w:hAnsi="Microsoft YaHei" w:eastAsia="Microsoft YaHei"/>
                <w:b w:val="0"/>
                <w:color w:val="19212A"/>
                <w:sz w:val="14"/>
              </w:rPr>
              <w:t>848,517 BTC</w:t>
            </w:r>
          </w:p>
        </w:tc>
        <w:tc>
          <w:tcPr>
            <w:tcW w:type="dxa" w:w="2131"/>
            <w:vAlign w:val="center"/>
          </w:tcPr>
          <w:p>
            <w:pPr>
              <w:spacing w:after="0" w:line="240" w:lineRule="auto"/>
            </w:pPr>
            <w:r>
              <w:rPr>
                <w:rFonts w:ascii="Microsoft YaHei" w:hAnsi="Microsoft YaHei" w:eastAsia="Microsoft YaHei"/>
                <w:b w:val="0"/>
                <w:color w:val="19212A"/>
                <w:sz w:val="14"/>
              </w:rPr>
              <w:t>$64.02bn / $75,446</w:t>
            </w:r>
          </w:p>
        </w:tc>
        <w:tc>
          <w:tcPr>
            <w:tcW w:type="dxa" w:w="2131"/>
            <w:vAlign w:val="center"/>
          </w:tcPr>
          <w:p>
            <w:pPr>
              <w:spacing w:after="0" w:line="240" w:lineRule="auto"/>
            </w:pPr>
            <w:r>
              <w:rPr>
                <w:rFonts w:ascii="Microsoft YaHei" w:hAnsi="Microsoft YaHei" w:eastAsia="Microsoft YaHei"/>
                <w:b w:val="0"/>
                <w:color w:val="19212A"/>
                <w:sz w:val="14"/>
              </w:rPr>
              <w:t>2026-10-19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-5.13%</w:t>
            </w:r>
          </w:p>
        </w:tc>
        <w:tc>
          <w:tcPr>
            <w:tcW w:type="dxa" w:w="1522"/>
            <w:vAlign w:val="center"/>
          </w:tcPr>
          <w:p>
            <w:pPr>
              <w:spacing w:after="0" w:line="240" w:lineRule="auto"/>
            </w:pPr>
            <w:r>
              <w:rPr>
                <w:rFonts w:ascii="Microsoft YaHei" w:hAnsi="Microsoft YaHei" w:eastAsia="Microsoft YaHei"/>
                <w:b w:val="0"/>
                <w:color w:val="19212A"/>
                <w:sz w:val="13"/>
              </w:rPr>
              <w:t>+0.0100%</w:t>
            </w:r>
          </w:p>
        </w:tc>
        <w:tc>
          <w:tcPr>
            <w:tcW w:type="dxa" w:w="1522"/>
            <w:vAlign w:val="center"/>
          </w:tcPr>
          <w:p>
            <w:pPr>
              <w:spacing w:after="0" w:line="240" w:lineRule="auto"/>
            </w:pPr>
            <w:r>
              <w:rPr>
                <w:rFonts w:ascii="Microsoft YaHei" w:hAnsi="Microsoft YaHei" w:eastAsia="Microsoft YaHei"/>
                <w:b w:val="0"/>
                <w:color w:val="19212A"/>
                <w:sz w:val="13"/>
              </w:rPr>
              <w:t>$2.51bn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0.577/0.577/0.577</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-6.25%</w:t>
            </w:r>
          </w:p>
        </w:tc>
        <w:tc>
          <w:tcPr>
            <w:tcW w:type="dxa" w:w="1522"/>
            <w:vAlign w:val="center"/>
            <w:shd w:fill="EAF2F8"/>
          </w:tcPr>
          <w:p>
            <w:pPr>
              <w:spacing w:after="0" w:line="240" w:lineRule="auto"/>
            </w:pPr>
            <w:r>
              <w:rPr>
                <w:rFonts w:ascii="Microsoft YaHei" w:hAnsi="Microsoft YaHei" w:eastAsia="Microsoft YaHei"/>
                <w:b w:val="0"/>
                <w:color w:val="19212A"/>
                <w:sz w:val="13"/>
              </w:rPr>
              <w:t>-0.0048%</w:t>
            </w:r>
          </w:p>
        </w:tc>
        <w:tc>
          <w:tcPr>
            <w:tcW w:type="dxa" w:w="1522"/>
            <w:vAlign w:val="center"/>
            <w:shd w:fill="EAF2F8"/>
          </w:tcPr>
          <w:p>
            <w:pPr>
              <w:spacing w:after="0" w:line="240" w:lineRule="auto"/>
            </w:pPr>
            <w:r>
              <w:rPr>
                <w:rFonts w:ascii="Microsoft YaHei" w:hAnsi="Microsoft YaHei" w:eastAsia="Microsoft YaHei"/>
                <w:b w:val="0"/>
                <w:color w:val="19212A"/>
                <w:sz w:val="13"/>
              </w:rPr>
              <w:t>$1.45bn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1.080/1.080/1.080</w:t>
            </w:r>
          </w:p>
        </w:tc>
        <w:tc>
          <w:tcPr>
            <w:tcW w:type="dxa" w:w="1522"/>
            <w:vAlign w:val="center"/>
            <w:shd w:fill="EAF2F8"/>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-8.28%</w:t>
            </w:r>
          </w:p>
        </w:tc>
        <w:tc>
          <w:tcPr>
            <w:tcW w:type="dxa" w:w="1522"/>
            <w:vAlign w:val="center"/>
          </w:tcPr>
          <w:p>
            <w:pPr>
              <w:spacing w:after="0" w:line="240" w:lineRule="auto"/>
            </w:pPr>
            <w:r>
              <w:rPr>
                <w:rFonts w:ascii="Microsoft YaHei" w:hAnsi="Microsoft YaHei" w:eastAsia="Microsoft YaHei"/>
                <w:b w:val="0"/>
                <w:color w:val="19212A"/>
                <w:sz w:val="13"/>
              </w:rPr>
              <w:t>+0.0010%</w:t>
            </w:r>
          </w:p>
        </w:tc>
        <w:tc>
          <w:tcPr>
            <w:tcW w:type="dxa" w:w="1522"/>
            <w:vAlign w:val="center"/>
          </w:tcPr>
          <w:p>
            <w:pPr>
              <w:spacing w:after="0" w:line="240" w:lineRule="auto"/>
            </w:pPr>
            <w:r>
              <w:rPr>
                <w:rFonts w:ascii="Microsoft YaHei" w:hAnsi="Microsoft YaHei" w:eastAsia="Microsoft YaHei"/>
                <w:b w:val="0"/>
                <w:color w:val="19212A"/>
                <w:sz w:val="13"/>
              </w:rPr>
              <w:t>$0.32bn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1.000/1.000/1.000</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24小时下跌 5.13%、OI 增加 0.00%，最近三小时 Taker 为 0.577、0.577、0.577：价格与OI同步增加更像反弹中的杠杆回补，但末端 Taker 尚未稳定站上1.10，不能直接当成趋势反转。ETH 24小时下跌 6.25%、OI 增加 0.00%；SOL 24小时下跌 8.28%、OI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0.62</w:t>
            </w:r>
          </w:p>
        </w:tc>
        <w:tc>
          <w:tcPr>
            <w:tcW w:type="dxa" w:w="1776"/>
            <w:vAlign w:val="center"/>
          </w:tcPr>
          <w:p>
            <w:pPr>
              <w:spacing w:after="0" w:line="240" w:lineRule="auto"/>
            </w:pPr>
            <w:r>
              <w:rPr>
                <w:rFonts w:ascii="Microsoft YaHei" w:hAnsi="Microsoft YaHei" w:eastAsia="Microsoft YaHei"/>
                <w:b w:val="0"/>
                <w:color w:val="19212A"/>
                <w:sz w:val="14"/>
              </w:rPr>
              <w:t>13NOV26</w:t>
            </w:r>
          </w:p>
        </w:tc>
        <w:tc>
          <w:tcPr>
            <w:tcW w:type="dxa" w:w="1776"/>
            <w:vAlign w:val="center"/>
          </w:tcPr>
          <w:p>
            <w:pPr>
              <w:spacing w:after="0" w:line="240" w:lineRule="auto"/>
            </w:pPr>
            <w:r>
              <w:rPr>
                <w:rFonts w:ascii="Microsoft YaHei" w:hAnsi="Microsoft YaHei" w:eastAsia="Microsoft YaHei"/>
                <w:b w:val="0"/>
                <w:color w:val="19212A"/>
                <w:sz w:val="14"/>
              </w:rPr>
              <w:t>1.76</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0.53</w:t>
            </w:r>
          </w:p>
        </w:tc>
        <w:tc>
          <w:tcPr>
            <w:tcW w:type="dxa" w:w="1776"/>
            <w:vAlign w:val="center"/>
            <w:shd w:fill="EAF2F8"/>
          </w:tcPr>
          <w:p>
            <w:pPr>
              <w:spacing w:after="0" w:line="240" w:lineRule="auto"/>
            </w:pPr>
            <w:r>
              <w:rPr>
                <w:rFonts w:ascii="Microsoft YaHei" w:hAnsi="Microsoft YaHei" w:eastAsia="Microsoft YaHei"/>
                <w:b w:val="0"/>
                <w:color w:val="19212A"/>
                <w:sz w:val="14"/>
              </w:rPr>
              <w:t>13NOV26</w:t>
            </w:r>
          </w:p>
        </w:tc>
        <w:tc>
          <w:tcPr>
            <w:tcW w:type="dxa" w:w="1776"/>
            <w:vAlign w:val="center"/>
            <w:shd w:fill="EAF2F8"/>
          </w:tcPr>
          <w:p>
            <w:pPr>
              <w:spacing w:after="0" w:line="240" w:lineRule="auto"/>
            </w:pPr>
            <w:r>
              <w:rPr>
                <w:rFonts w:ascii="Microsoft YaHei" w:hAnsi="Microsoft YaHei" w:eastAsia="Microsoft YaHei"/>
                <w:b w:val="0"/>
                <w:color w:val="19212A"/>
                <w:sz w:val="14"/>
              </w:rPr>
              <w:t>1.79</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0.62、近月 1.76；ETH 全期限 0.53、近月 1.79。本轮只取得期权持仓结构，没有稳定的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79,609</w:t>
            </w:r>
          </w:p>
        </w:tc>
        <w:tc>
          <w:tcPr>
            <w:tcW w:type="dxa" w:w="1522"/>
            <w:vAlign w:val="center"/>
          </w:tcPr>
          <w:p>
            <w:pPr>
              <w:spacing w:after="0" w:line="240" w:lineRule="auto"/>
            </w:pPr>
            <w:r>
              <w:rPr>
                <w:rFonts w:ascii="Microsoft YaHei" w:hAnsi="Microsoft YaHei" w:eastAsia="Microsoft YaHei"/>
                <w:b w:val="0"/>
                <w:color w:val="19212A"/>
                <w:sz w:val="12"/>
              </w:rPr>
              <w:t>80,105</w:t>
            </w:r>
          </w:p>
        </w:tc>
        <w:tc>
          <w:tcPr>
            <w:tcW w:type="dxa" w:w="1522"/>
            <w:vAlign w:val="center"/>
          </w:tcPr>
          <w:p>
            <w:pPr>
              <w:spacing w:after="0" w:line="240" w:lineRule="auto"/>
            </w:pPr>
            <w:r>
              <w:rPr>
                <w:rFonts w:ascii="Microsoft YaHei" w:hAnsi="Microsoft YaHei" w:eastAsia="Microsoft YaHei"/>
                <w:b w:val="0"/>
                <w:color w:val="19212A"/>
                <w:sz w:val="12"/>
              </w:rPr>
              <w:t>80,996</w:t>
            </w:r>
          </w:p>
        </w:tc>
        <w:tc>
          <w:tcPr>
            <w:tcW w:type="dxa" w:w="1522"/>
            <w:vAlign w:val="center"/>
          </w:tcPr>
          <w:p>
            <w:pPr>
              <w:spacing w:after="0" w:line="240" w:lineRule="auto"/>
            </w:pPr>
            <w:r>
              <w:rPr>
                <w:rFonts w:ascii="Microsoft YaHei" w:hAnsi="Microsoft YaHei" w:eastAsia="Microsoft YaHei"/>
                <w:b w:val="0"/>
                <w:color w:val="19212A"/>
                <w:sz w:val="12"/>
              </w:rPr>
              <w:t>79,609 / 79,109 / 79,609</w:t>
            </w:r>
          </w:p>
        </w:tc>
        <w:tc>
          <w:tcPr>
            <w:tcW w:type="dxa" w:w="1522"/>
            <w:vAlign w:val="center"/>
          </w:tcPr>
          <w:p>
            <w:pPr>
              <w:spacing w:after="0" w:line="240" w:lineRule="auto"/>
            </w:pPr>
            <w:r>
              <w:rPr>
                <w:rFonts w:ascii="Microsoft YaHei" w:hAnsi="Microsoft YaHei" w:eastAsia="Microsoft YaHei"/>
                <w:b w:val="0"/>
                <w:color w:val="19212A"/>
                <w:sz w:val="12"/>
              </w:rPr>
              <w:t>80,996 / 81,496 / 81,591</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2,304</w:t>
            </w:r>
          </w:p>
        </w:tc>
        <w:tc>
          <w:tcPr>
            <w:tcW w:type="dxa" w:w="1522"/>
            <w:vAlign w:val="center"/>
            <w:shd w:fill="EAF2F8"/>
          </w:tcPr>
          <w:p>
            <w:pPr>
              <w:spacing w:after="0" w:line="240" w:lineRule="auto"/>
            </w:pPr>
            <w:r>
              <w:rPr>
                <w:rFonts w:ascii="Microsoft YaHei" w:hAnsi="Microsoft YaHei" w:eastAsia="Microsoft YaHei"/>
                <w:b w:val="0"/>
                <w:color w:val="19212A"/>
                <w:sz w:val="12"/>
              </w:rPr>
              <w:t>2,326</w:t>
            </w:r>
          </w:p>
        </w:tc>
        <w:tc>
          <w:tcPr>
            <w:tcW w:type="dxa" w:w="1522"/>
            <w:vAlign w:val="center"/>
            <w:shd w:fill="EAF2F8"/>
          </w:tcPr>
          <w:p>
            <w:pPr>
              <w:spacing w:after="0" w:line="240" w:lineRule="auto"/>
            </w:pPr>
            <w:r>
              <w:rPr>
                <w:rFonts w:ascii="Microsoft YaHei" w:hAnsi="Microsoft YaHei" w:eastAsia="Microsoft YaHei"/>
                <w:b w:val="0"/>
                <w:color w:val="19212A"/>
                <w:sz w:val="12"/>
              </w:rPr>
              <w:t>2,354</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96.89</w:t>
            </w:r>
          </w:p>
        </w:tc>
        <w:tc>
          <w:tcPr>
            <w:tcW w:type="dxa" w:w="1522"/>
            <w:vAlign w:val="center"/>
          </w:tcPr>
          <w:p>
            <w:pPr>
              <w:spacing w:after="0" w:line="240" w:lineRule="auto"/>
            </w:pPr>
            <w:r>
              <w:rPr>
                <w:rFonts w:ascii="Microsoft YaHei" w:hAnsi="Microsoft YaHei" w:eastAsia="Microsoft YaHei"/>
                <w:b w:val="0"/>
                <w:color w:val="19212A"/>
                <w:sz w:val="12"/>
              </w:rPr>
              <w:t>96.96</w:t>
            </w:r>
          </w:p>
        </w:tc>
        <w:tc>
          <w:tcPr>
            <w:tcW w:type="dxa" w:w="1522"/>
            <w:vAlign w:val="center"/>
          </w:tcPr>
          <w:p>
            <w:pPr>
              <w:spacing w:after="0" w:line="240" w:lineRule="auto"/>
            </w:pPr>
            <w:r>
              <w:rPr>
                <w:rFonts w:ascii="Microsoft YaHei" w:hAnsi="Microsoft YaHei" w:eastAsia="Microsoft YaHei"/>
                <w:b w:val="0"/>
                <w:color w:val="19212A"/>
                <w:sz w:val="12"/>
              </w:rPr>
              <w:t>101.60</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8.4707</w:t>
            </w:r>
          </w:p>
        </w:tc>
        <w:tc>
          <w:tcPr>
            <w:tcW w:type="dxa" w:w="1522"/>
            <w:vAlign w:val="center"/>
            <w:shd w:fill="EAF2F8"/>
          </w:tcPr>
          <w:p>
            <w:pPr>
              <w:spacing w:after="0" w:line="240" w:lineRule="auto"/>
            </w:pPr>
            <w:r>
              <w:rPr>
                <w:rFonts w:ascii="Microsoft YaHei" w:hAnsi="Microsoft YaHei" w:eastAsia="Microsoft YaHei"/>
                <w:b w:val="0"/>
                <w:color w:val="19212A"/>
                <w:sz w:val="12"/>
              </w:rPr>
              <w:t>8.4782</w:t>
            </w:r>
          </w:p>
        </w:tc>
        <w:tc>
          <w:tcPr>
            <w:tcW w:type="dxa" w:w="1522"/>
            <w:vAlign w:val="center"/>
            <w:shd w:fill="EAF2F8"/>
          </w:tcPr>
          <w:p>
            <w:pPr>
              <w:spacing w:after="0" w:line="240" w:lineRule="auto"/>
            </w:pPr>
            <w:r>
              <w:rPr>
                <w:rFonts w:ascii="Microsoft YaHei" w:hAnsi="Microsoft YaHei" w:eastAsia="Microsoft YaHei"/>
                <w:b w:val="0"/>
                <w:color w:val="19212A"/>
                <w:sz w:val="12"/>
              </w:rPr>
              <w:t>8.9518</w:t>
            </w:r>
          </w:p>
        </w:tc>
        <w:tc>
          <w:tcPr>
            <w:tcW w:type="dxa" w:w="1522"/>
            <w:vAlign w:val="center"/>
            <w:shd w:fill="EAF2F8"/>
          </w:tcPr>
          <w:p>
            <w:pPr>
              <w:spacing w:after="0" w:line="240" w:lineRule="auto"/>
            </w:pPr>
            <w:r>
              <w:rPr>
                <w:rFonts w:ascii="Microsoft YaHei" w:hAnsi="Microsoft YaHei" w:eastAsia="Microsoft YaHei"/>
                <w:b w:val="0"/>
                <w:color w:val="19212A"/>
                <w:sz w:val="12"/>
              </w:rPr>
              <w:t>7.9860 / 8.4707</w:t>
            </w:r>
          </w:p>
        </w:tc>
        <w:tc>
          <w:tcPr>
            <w:tcW w:type="dxa" w:w="1522"/>
            <w:vAlign w:val="center"/>
            <w:shd w:fill="EAF2F8"/>
          </w:tcPr>
          <w:p>
            <w:pPr>
              <w:spacing w:after="0" w:line="240" w:lineRule="auto"/>
            </w:pPr>
            <w:r>
              <w:rPr>
                <w:rFonts w:ascii="Microsoft YaHei" w:hAnsi="Microsoft YaHei" w:eastAsia="Microsoft YaHei"/>
                <w:b w:val="0"/>
                <w:color w:val="19212A"/>
                <w:sz w:val="12"/>
              </w:rPr>
              <w:t>8.9518 / 9.0800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1.2456</w:t>
            </w:r>
          </w:p>
        </w:tc>
        <w:tc>
          <w:tcPr>
            <w:tcW w:type="dxa" w:w="1522"/>
            <w:vAlign w:val="center"/>
          </w:tcPr>
          <w:p>
            <w:pPr>
              <w:spacing w:after="0" w:line="240" w:lineRule="auto"/>
            </w:pPr>
            <w:r>
              <w:rPr>
                <w:rFonts w:ascii="Microsoft YaHei" w:hAnsi="Microsoft YaHei" w:eastAsia="Microsoft YaHei"/>
                <w:b w:val="0"/>
                <w:color w:val="19212A"/>
                <w:sz w:val="12"/>
              </w:rPr>
              <w:t>1.2465</w:t>
            </w:r>
          </w:p>
        </w:tc>
        <w:tc>
          <w:tcPr>
            <w:tcW w:type="dxa" w:w="1522"/>
            <w:vAlign w:val="center"/>
          </w:tcPr>
          <w:p>
            <w:pPr>
              <w:spacing w:after="0" w:line="240" w:lineRule="auto"/>
            </w:pPr>
            <w:r>
              <w:rPr>
                <w:rFonts w:ascii="Microsoft YaHei" w:hAnsi="Microsoft YaHei" w:eastAsia="Microsoft YaHei"/>
                <w:b w:val="0"/>
                <w:color w:val="19212A"/>
                <w:sz w:val="12"/>
              </w:rPr>
              <w:t>1.3123</w:t>
            </w:r>
          </w:p>
        </w:tc>
        <w:tc>
          <w:tcPr>
            <w:tcW w:type="dxa" w:w="1522"/>
            <w:vAlign w:val="center"/>
          </w:tcPr>
          <w:p>
            <w:pPr>
              <w:spacing w:after="0" w:line="240" w:lineRule="auto"/>
            </w:pPr>
            <w:r>
              <w:rPr>
                <w:rFonts w:ascii="Microsoft YaHei" w:hAnsi="Microsoft YaHei" w:eastAsia="Microsoft YaHei"/>
                <w:b w:val="0"/>
                <w:color w:val="19212A"/>
                <w:sz w:val="12"/>
              </w:rPr>
              <w:t>1.2001 / 1.2456</w:t>
            </w:r>
          </w:p>
        </w:tc>
        <w:tc>
          <w:tcPr>
            <w:tcW w:type="dxa" w:w="1522"/>
            <w:vAlign w:val="center"/>
          </w:tcPr>
          <w:p>
            <w:pPr>
              <w:spacing w:after="0" w:line="240" w:lineRule="auto"/>
            </w:pPr>
            <w:r>
              <w:rPr>
                <w:rFonts w:ascii="Microsoft YaHei" w:hAnsi="Microsoft YaHei" w:eastAsia="Microsoft YaHei"/>
                <w:b w:val="0"/>
                <w:color w:val="19212A"/>
                <w:sz w:val="12"/>
              </w:rPr>
              <w:t>1.3123 / 1.3235</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79,609 与 VAH 80,996 之间、靠近 POC 80,105，说明价格在正常成交区中部，不自动等于多头或空头；下沿多头本轮未通过第一目标净R:R闸门，上沿 80,896-81,076 失败才有空头条件。AVAX 的 POC 约 8.4782、XRP 的 POC 约 1.2465，只代表这五天成交最密集处。真实全网清算热力图本轮未取得，图中上下方数字只是止损/流动性代理，不代表真实清算金额。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-5.13%</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-6.25%</w:t>
            </w:r>
          </w:p>
        </w:tc>
        <w:tc>
          <w:tcPr>
            <w:tcW w:type="dxa" w:w="2131"/>
            <w:vAlign w:val="center"/>
            <w:shd w:fill="EAF2F8"/>
          </w:tcPr>
          <w:p>
            <w:pPr>
              <w:spacing w:after="0" w:line="240" w:lineRule="auto"/>
            </w:pPr>
            <w:r>
              <w:rPr>
                <w:rFonts w:ascii="Microsoft YaHei" w:hAnsi="Microsoft YaHei" w:eastAsia="Microsoft YaHei"/>
                <w:b w:val="0"/>
                <w:color w:val="19212A"/>
                <w:sz w:val="14"/>
              </w:rPr>
              <w:t>ETH/BTC -1.16%</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-8.28% / -9.67% / -8.19%</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-11.78% / -8.19% / -7.59%</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-4.54pp</w:t>
            </w:r>
          </w:p>
        </w:tc>
        <w:tc>
          <w:tcPr>
            <w:tcW w:type="dxa" w:w="1776"/>
            <w:vAlign w:val="center"/>
          </w:tcPr>
          <w:p>
            <w:pPr>
              <w:spacing w:after="0" w:line="240" w:lineRule="auto"/>
            </w:pPr>
            <w:r>
              <w:rPr>
                <w:rFonts w:ascii="Microsoft YaHei" w:hAnsi="Microsoft YaHei" w:eastAsia="Microsoft YaHei"/>
                <w:b w:val="0"/>
                <w:color w:val="19212A"/>
                <w:sz w:val="13"/>
              </w:rPr>
              <w:t>TVL $600.4m；7d -38.58%；DEX量7d -38.58%；费用未取得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-9.67%；OI +0.00%；Funding +0.0037%；Taker 1.023</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-3.06pp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-8.19%；OI +0.00%；Funding -0.0037%；Taker 0.558</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-4.54pp</w:t>
            </w:r>
          </w:p>
        </w:tc>
        <w:tc>
          <w:tcPr>
            <w:tcW w:type="dxa" w:w="2664"/>
            <w:vAlign w:val="center"/>
          </w:tcPr>
          <w:p>
            <w:pPr>
              <w:spacing w:after="0" w:line="240" w:lineRule="auto"/>
            </w:pPr>
            <w:r>
              <w:rPr>
                <w:rFonts w:ascii="Microsoft YaHei" w:hAnsi="Microsoft YaHei" w:eastAsia="Microsoft YaHei"/>
                <w:b w:val="0"/>
                <w:color w:val="19212A"/>
                <w:sz w:val="14"/>
              </w:rPr>
              <w:t>-3.06pp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1.023</w:t>
            </w:r>
          </w:p>
        </w:tc>
        <w:tc>
          <w:tcPr>
            <w:tcW w:type="dxa" w:w="2664"/>
            <w:vAlign w:val="center"/>
          </w:tcPr>
          <w:p>
            <w:pPr>
              <w:spacing w:after="0" w:line="240" w:lineRule="auto"/>
            </w:pPr>
            <w:r>
              <w:rPr>
                <w:rFonts w:ascii="Microsoft YaHei" w:hAnsi="Microsoft YaHei" w:eastAsia="Microsoft YaHei"/>
                <w:b w:val="0"/>
                <w:color w:val="19212A"/>
                <w:sz w:val="14"/>
              </w:rPr>
              <w:t>OI +0.00%，Taker 0.558</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S5/S5 条件卡没有可核验成交，所以没有模型交易，也不能计入 Kelly。今天上沿空头条件卡都只是触发后执行的预案；每张有效卡的最大风险预算仍是0.10%，不是要求必须用满的目标仓位。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2026-10-28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已落地（结果待核验）</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已确认：下一次会议为10月27-28日；声明与记者会仍是待公布结果</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2026-10-21</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AVAX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Tokenomics.com unlock schedule</w:t>
            </w:r>
          </w:p>
        </w:tc>
        <w:tc>
          <w:tcPr>
            <w:tcW w:type="dxa" w:w="1066"/>
            <w:vAlign w:val="center"/>
          </w:tcPr>
          <w:p>
            <w:pPr>
              <w:spacing w:after="0" w:line="240" w:lineRule="auto"/>
            </w:pPr>
            <w:r>
              <w:rPr>
                <w:rFonts w:ascii="Microsoft YaHei" w:hAnsi="Microsoft YaHei" w:eastAsia="Microsoft YaHei"/>
                <w:b w:val="0"/>
                <w:color w:val="19212A"/>
                <w:sz w:val="11"/>
              </w:rPr>
              <w:t>新增近7日供给风险：约3.584842m AVAX，约占总供应0.5%、市值0.7%</w:t>
            </w:r>
          </w:p>
        </w:tc>
        <w:tc>
          <w:tcPr>
            <w:tcW w:type="dxa" w:w="1066"/>
            <w:vAlign w:val="center"/>
          </w:tcPr>
          <w:p>
            <w:pPr>
              <w:spacing w:after="0" w:line="240" w:lineRule="auto"/>
            </w:pPr>
            <w:r>
              <w:rPr>
                <w:rFonts w:ascii="Microsoft YaHei" w:hAnsi="Microsoft YaHei" w:eastAsia="Microsoft YaHei"/>
                <w:b w:val="0"/>
                <w:color w:val="19212A"/>
                <w:sz w:val="11"/>
              </w:rPr>
              <w:t>AVAX / L1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shd w:fill="EAF2F8"/>
          </w:tcPr>
          <w:p>
            <w:pPr>
              <w:spacing w:after="0" w:line="240" w:lineRule="auto"/>
            </w:pPr>
            <w:r>
              <w:rPr>
                <w:rFonts w:ascii="Microsoft YaHei" w:hAnsi="Microsoft YaHei" w:eastAsia="Microsoft YaHei"/>
                <w:b w:val="0"/>
                <w:color w:val="19212A"/>
                <w:sz w:val="11"/>
              </w:rPr>
              <w:t>已落地（结果待核验）</w:t>
            </w:r>
          </w:p>
        </w:tc>
        <w:tc>
          <w:tcPr>
            <w:tcW w:type="dxa" w:w="1066"/>
            <w:vAlign w:val="center"/>
            <w:shd w:fill="EAF2F8"/>
          </w:tcPr>
          <w:p>
            <w:pPr>
              <w:spacing w:after="0" w:line="240" w:lineRule="auto"/>
            </w:pPr>
            <w:r>
              <w:rPr>
                <w:rFonts w:ascii="Microsoft YaHei" w:hAnsi="Microsoft YaHei" w:eastAsia="Microsoft YaHei"/>
                <w:b w:val="0"/>
                <w:color w:val="19212A"/>
                <w:sz w:val="11"/>
              </w:rPr>
              <w:t>BEA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2026-09-16 completed</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暂无已核验的未来节点。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80,896-81,076是否触达；15m/30m能否冲高失败、跌回VAH 80,996下方并形成LH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80,896-81,076是否触达；反弹后能否重新跌回VAL下方并形成LH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OI增加后是否继续；Taker能否从0.577回落并再次转弱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79,609 后收回形成 HL，或上沿 80,896-81,076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2026-10-30T08:42:27.466301+08:00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2026-10-30T08:42:27.466301+08:00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2026-10-30 08:42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2026-10-30T08:42:27.466301+08:00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2026-10-19</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2026-10-30T08:42:27.466301+08:00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2026-10-30T08:42:27.466301+08:00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2026-10-30T08:42:27.466301+08:00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2026-10-30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2026-10-30T08:42:27.466301+08:00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2026-10-30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2026-10-30</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2026-10-30T08:42:27.466301+08:00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2026-10-30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- 2026-10-30</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