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2026-10-20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报告日期：2026-10-21（北京时间）｜覆盖交易日：2026-10-20（美国现金盘）｜数据截点：收盘及可获得的盘后公开链数据。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+1.02%、标普500 +0.28%、纳指 -0.02%、Russell 2000 +1.65%；S&amp;P 500 广度为上涨 353、下跌 150，涨跌比 2.35。板块当日相对强弱由 </w:t>
      </w:r>
      <w:r>
        <w:rPr>
          <w:highlight w:val="yellow"/>
          <w:shd w:fill="E7E6E6"/>
        </w:rPr>
        <w:t>XBI</w:t>
      </w:r>
      <w:r>
        <w:rPr>
          <w:highlight w:val="yellow"/>
        </w:rPr>
        <w:t>（生物医药）+3.64%、</w:t>
      </w:r>
      <w:r>
        <w:rPr>
          <w:highlight w:val="yellow"/>
          <w:shd w:fill="E7E6E6"/>
        </w:rPr>
        <w:t>XLV</w:t>
      </w:r>
      <w:r>
        <w:rPr>
          <w:highlight w:val="yellow"/>
        </w:rPr>
        <w:t>（医疗保健）+2.37%、</w:t>
      </w:r>
      <w:r>
        <w:rPr>
          <w:highlight w:val="yellow"/>
          <w:shd w:fill="E7E6E6"/>
        </w:rPr>
        <w:t>XHB</w:t>
      </w:r>
      <w:r>
        <w:rPr>
          <w:highlight w:val="yellow"/>
        </w:rPr>
        <w:t>（住宅建筑）+2.22% 领跑，</w:t>
      </w:r>
      <w:r>
        <w:rPr>
          <w:highlight w:val="yellow"/>
          <w:shd w:fill="E7E6E6"/>
        </w:rPr>
        <w:t>COPX</w:t>
      </w:r>
      <w:r>
        <w:rPr>
          <w:highlight w:val="yellow"/>
        </w:rPr>
        <w:t>（铜矿）-0.68%、</w:t>
      </w:r>
      <w:r>
        <w:rPr>
          <w:highlight w:val="yellow"/>
          <w:shd w:fill="E7E6E6"/>
        </w:rPr>
        <w:t>ITA</w:t>
      </w:r>
      <w:r>
        <w:rPr>
          <w:highlight w:val="yellow"/>
        </w:rPr>
        <w:t>（航空航天/国防）-0.77%、</w:t>
      </w:r>
      <w:r>
        <w:rPr>
          <w:highlight w:val="yellow"/>
          <w:shd w:fill="E7E6E6"/>
        </w:rPr>
        <w:t>XME</w:t>
      </w:r>
      <w:r>
        <w:rPr>
          <w:highlight w:val="yellow"/>
        </w:rPr>
        <w:t>（金属与矿业）-1.01%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52,495.88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+1.02%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+1.60%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7,712.57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+0.28%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-1.19%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26,424.82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-0.02%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-2.87%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2,773.42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+1.65%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-0.36%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17.31 / 97.15 / 160.40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-6.13%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101.78 / 98.33 / 8.29万美元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-0.20% / WTI -5.14% / BTC +1.31%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XBI</w:t>
      </w:r>
      <w:r>
        <w:t>（生物医药）+3.64%、</w:t>
      </w:r>
      <w:r>
        <w:rPr>
          <w:shd w:fill="E7E6E6"/>
        </w:rPr>
        <w:t>XLV</w:t>
      </w:r>
      <w:r>
        <w:t>（医疗保健）+2.37%、</w:t>
      </w:r>
      <w:r>
        <w:rPr>
          <w:shd w:fill="E7E6E6"/>
        </w:rPr>
        <w:t>XHB</w:t>
      </w:r>
      <w:r>
        <w:t xml:space="preserve">（住宅建筑）+2.22%，相对最弱为 </w:t>
      </w:r>
      <w:r>
        <w:rPr>
          <w:shd w:fill="E7E6E6"/>
        </w:rPr>
        <w:t>COPX</w:t>
      </w:r>
      <w:r>
        <w:t>（铜矿）-0.68%、</w:t>
      </w:r>
      <w:r>
        <w:rPr>
          <w:shd w:fill="E7E6E6"/>
        </w:rPr>
        <w:t>ITA</w:t>
      </w:r>
      <w:r>
        <w:t>（航空航天/国防）-0.77%、</w:t>
      </w:r>
      <w:r>
        <w:rPr>
          <w:shd w:fill="E7E6E6"/>
        </w:rPr>
        <w:t>XME</w:t>
      </w:r>
      <w:r>
        <w:t xml:space="preserve">（金属与矿业）-1.01%；上涨占比 70.2%。需要把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XBI</w:t>
      </w:r>
      <w:r>
        <w:t>（生物医药）+3.64%、</w:t>
      </w:r>
      <w:r>
        <w:rPr>
          <w:shd w:fill="E7E6E6"/>
        </w:rPr>
        <w:t>XLV</w:t>
      </w:r>
      <w:r>
        <w:t>（医疗保健）+2.37%、</w:t>
      </w:r>
      <w:r>
        <w:rPr>
          <w:shd w:fill="E7E6E6"/>
        </w:rPr>
        <w:t>XHB</w:t>
      </w:r>
      <w:r>
        <w:t xml:space="preserve">（住宅建筑）+2.22%，相对压力集中在 </w:t>
      </w:r>
      <w:r>
        <w:rPr>
          <w:shd w:fill="E7E6E6"/>
        </w:rPr>
        <w:t>COPX</w:t>
      </w:r>
      <w:r>
        <w:t>（铜矿）-0.68%、</w:t>
      </w:r>
      <w:r>
        <w:rPr>
          <w:shd w:fill="E7E6E6"/>
        </w:rPr>
        <w:t>ITA</w:t>
      </w:r>
      <w:r>
        <w:t>（航空航天/国防）-0.77%、</w:t>
      </w:r>
      <w:r>
        <w:rPr>
          <w:shd w:fill="E7E6E6"/>
        </w:rPr>
        <w:t>XME</w:t>
      </w:r>
      <w:r>
        <w:t xml:space="preserve">（金属与矿业）-1.01%；20日维度需要结合热图判断是否只是短期反转。没有直接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异常个股必须回填在行业图旁：本次扫描得到 </w:t>
      </w:r>
      <w:r>
        <w:rPr>
          <w:shd w:fill="E7E6E6"/>
        </w:rPr>
        <w:t>LITE</w:t>
      </w:r>
      <w:r>
        <w:t xml:space="preserve"> -1.44%、</w:t>
      </w:r>
      <w:r>
        <w:rPr>
          <w:shd w:fill="E7E6E6"/>
        </w:rPr>
        <w:t>CIEN</w:t>
      </w:r>
      <w:r>
        <w:t xml:space="preserve"> -0.65%、</w:t>
      </w:r>
      <w:r>
        <w:rPr>
          <w:shd w:fill="E7E6E6"/>
        </w:rPr>
        <w:t>COHR</w:t>
      </w:r>
      <w:r>
        <w:t xml:space="preserve"> -0.09%、</w:t>
      </w:r>
      <w:r>
        <w:rPr>
          <w:shd w:fill="E7E6E6"/>
        </w:rPr>
        <w:t>AAOI</w:t>
      </w:r>
      <w:r>
        <w:t xml:space="preserve"> -1.87%、</w:t>
      </w:r>
      <w:r>
        <w:rPr>
          <w:shd w:fill="E7E6E6"/>
        </w:rPr>
        <w:t>CRDO</w:t>
      </w:r>
      <w:r>
        <w:t xml:space="preserve"> -0.75%、</w:t>
      </w:r>
      <w:r>
        <w:rPr>
          <w:shd w:fill="E7E6E6"/>
        </w:rPr>
        <w:t>FICO</w:t>
      </w:r>
      <w:r>
        <w:t xml:space="preserve"> +2.39%、</w:t>
      </w:r>
      <w:r>
        <w:rPr>
          <w:shd w:fill="E7E6E6"/>
        </w:rPr>
        <w:t>FIGS</w:t>
      </w:r>
      <w:r>
        <w:t xml:space="preserve"> +2.11%、</w:t>
      </w:r>
      <w:r>
        <w:rPr>
          <w:shd w:fill="E7E6E6"/>
        </w:rPr>
        <w:t>MDT</w:t>
      </w:r>
      <w:r>
        <w:t xml:space="preserve"> +2.00%。这些是价格/成交异常候选，若当天没有新公告、研报、公司交流或可验证传闻，只能标为结构性重定价或待验，不能把行业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-0.53%，软件等权 +1.31%，价差（Semi - Software）-1.84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-1.27pp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-4.42pp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-12.87pp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-0.76pp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+4.68pp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+10.96pp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-1.69pp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-4.85pp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-2.50pp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-1.25pp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-4.69pp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-5.43pp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-1.82pp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-8.13pp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-9.55pp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-1.22pp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-3.66pp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-3.89pp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-1.40pp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-6.92pp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-10.49pp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-0.40pp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-7.56pp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-11.24pp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+1.32pp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+0.82pp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-3.42pp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-1.27pp / 5D -4.42pp / 20D -12.87pp（EXTENDED）；Mag7 - Tech ex-Mag7 1D -0.76pp / 5D +4.68pp / 20D +10.96pp（EXTENDED）；Mag7 - </w:t>
      </w:r>
      <w:r>
        <w:rPr>
          <w:shd w:fill="E7E6E6"/>
        </w:rPr>
        <w:t>RSP</w:t>
      </w:r>
      <w:r>
        <w:t xml:space="preserve"> 1D -1.69pp / 5D -4.85pp / 20D -2.50pp（CONFIRMED）；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-1.25pp / 5D -4.69pp / 20D -5.43pp（CONFIRMED）；Growth - Defensive 1D -1.82pp / 5D -8.13pp / 20D -9.55pp（CONFIRMED）；Cyclical - Defensive 1D -1.22pp / 5D -3.66pp / 20D -3.89pp（CONFIRMED）；</w:t>
      </w:r>
      <w:r>
        <w:t>AI</w:t>
      </w:r>
      <w:r>
        <w:t xml:space="preserve"> CapEx - </w:t>
      </w:r>
      <w:r>
        <w:t>AI</w:t>
      </w:r>
      <w:r>
        <w:t xml:space="preserve"> Applications 1D -1.40pp / 5D -6.92pp / 20D -10.49pp（EXTENDED）；High Beta - Low Vol 1D -0.40pp / 5D -7.56pp / 20D -11.24pp（EXTENDED）；Small Cap - Large Cap 1D +1.32pp / 5D +0.82pp / 20D -3.42pp（REVERSING）。上涨占比 70.2%，因此需把指数方向、横截面参与度和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353、下跌 150、不变 0，上涨占比 70.2%，涨跌比 2.35；252日新高 32、新低 3。这不是“全市场风险关闭”，而是指数权重和主题结构在切换。</w:t>
      </w:r>
      <w:r>
        <w:rPr>
          <w:shd w:fill="E7E6E6"/>
        </w:rPr>
        <w:t>RSP</w:t>
      </w:r>
      <w:r>
        <w:t xml:space="preserve"> 当日 +1.15%，</w:t>
      </w:r>
      <w:r>
        <w:rPr>
          <w:shd w:fill="E7E6E6"/>
        </w:rPr>
        <w:t>SPY</w:t>
      </w:r>
      <w:r>
        <w:t xml:space="preserve"> +0.34%，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+0.82pp，等权参与度优于市值加权。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87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8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753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75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+0.63% 对比 </w:t>
      </w:r>
      <w:r>
        <w:rPr>
          <w:shd w:fill="E7E6E6"/>
        </w:rPr>
        <w:t>USMV</w:t>
      </w:r>
      <w:r>
        <w:t xml:space="preserve"> +1.04%（差 -0.40pp），</w:t>
      </w:r>
      <w:r>
        <w:rPr>
          <w:shd w:fill="E7E6E6"/>
        </w:rPr>
        <w:t>IWM</w:t>
      </w:r>
      <w:r>
        <w:t xml:space="preserve"> +1.66% 对比 </w:t>
      </w:r>
      <w:r>
        <w:rPr>
          <w:shd w:fill="E7E6E6"/>
        </w:rPr>
        <w:t>SPY</w:t>
      </w:r>
      <w:r>
        <w:t xml:space="preserve"> +0.34%（差 +1.32pp）。在宏观美元与油价同时偏强的环境下，对冲基金去杠杆是一个待验证的结构性假设，而不是已经被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LCID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+5.65%；成交 2.27x均量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MDB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+5.02%；成交 0.50x均量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MSTR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+4.93%；成交 0.86x均量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WDAY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+4.50%；成交 1.00x均量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IREN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-4.00%；成交 1.63x均量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ADBE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+3.90%；成交 0.84x均量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-0.29%、</w:t>
      </w:r>
      <w:r>
        <w:rPr>
          <w:shd w:fill="E7E6E6"/>
        </w:rPr>
        <w:t>AVGO</w:t>
      </w:r>
      <w:r>
        <w:t xml:space="preserve"> -0.07%、</w:t>
      </w:r>
      <w:r>
        <w:rPr>
          <w:shd w:fill="E7E6E6"/>
        </w:rPr>
        <w:t>MSFT</w:t>
      </w:r>
      <w:r>
        <w:t xml:space="preserve"> -0.31%、</w:t>
      </w:r>
      <w:r>
        <w:rPr>
          <w:shd w:fill="E7E6E6"/>
        </w:rPr>
        <w:t>META</w:t>
      </w:r>
      <w:r>
        <w:t xml:space="preserve"> -1.59%；Tier 2 网络、存储和光互联代表为 </w:t>
      </w:r>
      <w:r>
        <w:rPr>
          <w:shd w:fill="E7E6E6"/>
        </w:rPr>
        <w:t>MU</w:t>
      </w:r>
      <w:r>
        <w:t xml:space="preserve"> -0.98%、</w:t>
      </w:r>
      <w:r>
        <w:rPr>
          <w:shd w:fill="E7E6E6"/>
        </w:rPr>
        <w:t>SNDK</w:t>
      </w:r>
      <w:r>
        <w:t xml:space="preserve"> -0.42%、</w:t>
      </w:r>
      <w:r>
        <w:rPr>
          <w:shd w:fill="E7E6E6"/>
        </w:rPr>
        <w:t>MRVL</w:t>
      </w:r>
      <w:r>
        <w:t xml:space="preserve"> +1.40%、</w:t>
      </w:r>
      <w:r>
        <w:rPr>
          <w:shd w:fill="E7E6E6"/>
        </w:rPr>
        <w:t>CRDO</w:t>
      </w:r>
      <w:r>
        <w:t xml:space="preserve"> -0.75%、</w:t>
      </w:r>
      <w:r>
        <w:rPr>
          <w:shd w:fill="E7E6E6"/>
        </w:rPr>
        <w:t>LITE</w:t>
      </w:r>
      <w:r>
        <w:t xml:space="preserve"> -1.44%、</w:t>
      </w:r>
      <w:r>
        <w:rPr>
          <w:shd w:fill="E7E6E6"/>
        </w:rPr>
        <w:t>COHR</w:t>
      </w:r>
      <w:r>
        <w:t xml:space="preserve"> -0.09%。这组数据只能说明当天价格速度和相对分化，不能单独证明订单、客户或资本开支发生变化；后者需要公司公告、会议或可复核产业数据。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rPr>
          <w:shd w:fill="E7E6E6"/>
        </w:rPr>
        <w:t>LCID</w:t>
      </w:r>
      <w:r>
        <w:t xml:space="preserve"> +5.65%（成交约2.27x均量）；</w:t>
      </w:r>
      <w:r>
        <w:rPr>
          <w:shd w:fill="E7E6E6"/>
        </w:rPr>
        <w:t>MDB</w:t>
      </w:r>
      <w:r>
        <w:t xml:space="preserve"> +5.02%（成交约0.50x均量）；</w:t>
      </w:r>
      <w:r>
        <w:rPr>
          <w:shd w:fill="E7E6E6"/>
        </w:rPr>
        <w:t>MSTR</w:t>
      </w:r>
      <w:r>
        <w:t xml:space="preserve"> +4.93%（成交约0.86x均量）；</w:t>
      </w:r>
      <w:r>
        <w:rPr>
          <w:shd w:fill="E7E6E6"/>
        </w:rPr>
        <w:t>WDAY</w:t>
      </w:r>
      <w:r>
        <w:t xml:space="preserve"> +4.50%（成交约1.00x均量）；</w:t>
      </w:r>
      <w:r>
        <w:rPr>
          <w:shd w:fill="E7E6E6"/>
        </w:rPr>
        <w:t>IREN</w:t>
      </w:r>
      <w:r>
        <w:t xml:space="preserve"> -4.00%（成交约1.63x均量）；</w:t>
      </w:r>
      <w:r>
        <w:rPr>
          <w:shd w:fill="E7E6E6"/>
        </w:rPr>
        <w:t>ADBE</w:t>
      </w:r>
      <w:r>
        <w:t xml:space="preserve"> +3.90%（成交约0.84x均量）。这些名字先记录为价格/成交异常，随后核对同日公告、研报、公司交流、行业数据或传闻原始出处；没有证据时保留“待验”，不把涨跌倒推成原因。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+0.25%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+2.37% / +0.95%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-1.43pp，行业内部需拆分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+0.09%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+0.55% / +2.22%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+3.64% / +2.70%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600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6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464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IREN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-4.00%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1.63x均量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PWR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-3.62%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1.78x均量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LRCX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-3.21%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0.84x均量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ARM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-3.07%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0.91x均量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KLAC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-2.80%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1.31x均量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ETN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-2.43%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1.27x均量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XBI</w:t>
      </w:r>
      <w:r>
        <w:t>（生物医药）+3.64%、</w:t>
      </w:r>
      <w:r>
        <w:rPr>
          <w:shd w:fill="E7E6E6"/>
        </w:rPr>
        <w:t>XLV</w:t>
      </w:r>
      <w:r>
        <w:t>（医疗保健）+2.37%、</w:t>
      </w:r>
      <w:r>
        <w:rPr>
          <w:shd w:fill="E7E6E6"/>
        </w:rPr>
        <w:t>XHB</w:t>
      </w:r>
      <w:r>
        <w:t xml:space="preserve">（住宅建筑）+2.22%，后列为 </w:t>
      </w:r>
      <w:r>
        <w:rPr>
          <w:shd w:fill="E7E6E6"/>
        </w:rPr>
        <w:t>COPX</w:t>
      </w:r>
      <w:r>
        <w:t>（铜矿）-0.68%、</w:t>
      </w:r>
      <w:r>
        <w:rPr>
          <w:shd w:fill="E7E6E6"/>
        </w:rPr>
        <w:t>ITA</w:t>
      </w:r>
      <w:r>
        <w:t>（航空航天/国防）-0.77%、</w:t>
      </w:r>
      <w:r>
        <w:rPr>
          <w:shd w:fill="E7E6E6"/>
        </w:rPr>
        <w:t>XME</w:t>
      </w:r>
      <w:r>
        <w:t>（金属与矿业）-1.01%；S&amp;P 广度上涨占比 70.2%，</w:t>
      </w:r>
      <w:r>
        <w:rPr>
          <w:shd w:fill="E7E6E6"/>
        </w:rPr>
        <w:t>RSP</w:t>
      </w:r>
      <w:r>
        <w:t xml:space="preserve"> +1.15% 对比 </w:t>
      </w:r>
      <w:r>
        <w:rPr>
          <w:shd w:fill="E7E6E6"/>
        </w:rPr>
        <w:t>SPY</w:t>
      </w:r>
      <w:r>
        <w:t xml:space="preserve"> +0.34%。这能支持参与度和相对偏好的判断，但没有直接基金流、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3.45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23.6%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3.23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25.8%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2.30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18.0%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24.1%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MRNA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23.3%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15.4%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7.89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68961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9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2026-10-20T19:46:22-04:00；无执行方向确认。。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LITE</w:t>
      </w:r>
      <w:r>
        <w:t xml:space="preserve">, </w:t>
      </w:r>
      <w:r>
        <w:rPr>
          <w:shd w:fill="E7E6E6"/>
        </w:rPr>
        <w:t>CIEN</w:t>
      </w:r>
      <w:r>
        <w:t xml:space="preserve">, </w:t>
      </w:r>
      <w:r>
        <w:rPr>
          <w:shd w:fill="E7E6E6"/>
        </w:rPr>
        <w:t>MU</w:t>
      </w:r>
      <w:r>
        <w:t xml:space="preserve">, </w:t>
      </w:r>
      <w:r>
        <w:rPr>
          <w:shd w:fill="E7E6E6"/>
        </w:rPr>
        <w:t>SNDK</w:t>
      </w:r>
      <w:r>
        <w:t xml:space="preserve">, </w:t>
      </w:r>
      <w:r>
        <w:rPr>
          <w:shd w:fill="E7E6E6"/>
        </w:rPr>
        <w:t>NVDA</w:t>
      </w:r>
      <w:r>
        <w:t xml:space="preserve">, </w:t>
      </w:r>
      <w:r>
        <w:rPr>
          <w:shd w:fill="E7E6E6"/>
        </w:rPr>
        <w:t>AVGO</w:t>
      </w:r>
      <w:r>
        <w:t xml:space="preserve">, </w:t>
      </w:r>
      <w:r>
        <w:rPr>
          <w:shd w:fill="E7E6E6"/>
        </w:rPr>
        <w:t>META</w:t>
      </w:r>
      <w:r>
        <w:t xml:space="preserve">, </w:t>
      </w:r>
      <w:r>
        <w:rPr>
          <w:shd w:fill="E7E6E6"/>
        </w:rPr>
        <w:t>FICO</w:t>
      </w:r>
      <w:r>
        <w:t xml:space="preserve">, </w:t>
      </w:r>
      <w:r>
        <w:t>MRNA</w:t>
      </w:r>
      <w:r>
        <w:t xml:space="preserve">, </w:t>
      </w:r>
      <w:r>
        <w:t>TWST</w:t>
      </w:r>
      <w:r>
        <w:t xml:space="preserve">, </w:t>
      </w:r>
      <w:r>
        <w:rPr>
          <w:shd w:fill="E7E6E6"/>
        </w:rPr>
        <w:t>CRDO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17.31 / 97.15 / 160.40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+0.28%、纳指 -0.02%，广度上涨占比 70.2%，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-1.25pp，高 Beta 对低波动为 -0.40pp。因此对冲基金去杠杆仍是结构性假设，而不是已经被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2026-10-20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876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8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