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2026-10-30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报告日期：2026-10-31（北京时间）｜覆盖交易日：2026-10-30（美国现金盘）｜数据截点：收盘及可获得的盘后公开链数据。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-1.09%、标普500 -1.82%、纳指 -2.86%、Russell 2000 -1.66%；S&amp;P 500 广度为上涨 226、下跌 277，涨跌比 0.82。板块当日相对强弱由 </w:t>
      </w:r>
      <w:r>
        <w:rPr>
          <w:highlight w:val="yellow"/>
          <w:shd w:fill="E7E6E6"/>
        </w:rPr>
        <w:t>XLE</w:t>
      </w:r>
      <w:r>
        <w:rPr>
          <w:highlight w:val="yellow"/>
        </w:rPr>
        <w:t>（能源）+1.91%、</w:t>
      </w:r>
      <w:r>
        <w:rPr>
          <w:highlight w:val="yellow"/>
          <w:shd w:fill="E7E6E6"/>
        </w:rPr>
        <w:t>XLP</w:t>
      </w:r>
      <w:r>
        <w:rPr>
          <w:highlight w:val="yellow"/>
        </w:rPr>
        <w:t>（必选消费）+1.41%、</w:t>
      </w:r>
      <w:r>
        <w:rPr>
          <w:highlight w:val="yellow"/>
          <w:shd w:fill="E7E6E6"/>
        </w:rPr>
        <w:t>XLU</w:t>
      </w:r>
      <w:r>
        <w:rPr>
          <w:highlight w:val="yellow"/>
        </w:rPr>
        <w:t>（公用事业）+0.67% 领跑，</w:t>
      </w:r>
      <w:r>
        <w:rPr>
          <w:highlight w:val="yellow"/>
          <w:shd w:fill="E7E6E6"/>
        </w:rPr>
        <w:t>ARKK</w:t>
      </w:r>
      <w:r>
        <w:rPr>
          <w:highlight w:val="yellow"/>
        </w:rPr>
        <w:t>（创新成长）-6.07%、</w:t>
      </w:r>
      <w:r>
        <w:rPr>
          <w:highlight w:val="yellow"/>
          <w:shd w:fill="E7E6E6"/>
        </w:rPr>
        <w:t>SMH</w:t>
      </w:r>
      <w:r>
        <w:rPr>
          <w:highlight w:val="yellow"/>
        </w:rPr>
        <w:t>（半导体）-6.98%、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（半导体）-8.24%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51,770.31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-1.09%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7,580.07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-1.82%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-0.57%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25,437.00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-2.86%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-2.00%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2,811.84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-1.66%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+1.29%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19.42 / 106.43 / 149.76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+12.91%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101.88 / 104.12 / 7.73万美元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-0.16% / WTI +2.08% / BTC -0.67%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XLE</w:t>
      </w:r>
      <w:r>
        <w:t>（能源）+1.91%、</w:t>
      </w:r>
      <w:r>
        <w:rPr>
          <w:shd w:fill="E7E6E6"/>
        </w:rPr>
        <w:t>XLP</w:t>
      </w:r>
      <w:r>
        <w:t>（必选消费）+1.41%、</w:t>
      </w:r>
      <w:r>
        <w:rPr>
          <w:shd w:fill="E7E6E6"/>
        </w:rPr>
        <w:t>XLU</w:t>
      </w:r>
      <w:r>
        <w:t xml:space="preserve">（公用事业）+0.67%，相对最弱为 </w:t>
      </w:r>
      <w:r>
        <w:rPr>
          <w:shd w:fill="E7E6E6"/>
        </w:rPr>
        <w:t>ARKK</w:t>
      </w:r>
      <w:r>
        <w:t>（创新成长）-6.07%、</w:t>
      </w:r>
      <w:r>
        <w:rPr>
          <w:shd w:fill="E7E6E6"/>
        </w:rPr>
        <w:t>SMH</w:t>
      </w:r>
      <w:r>
        <w:t>（半导体）-6.98%、</w:t>
      </w:r>
      <w:r>
        <w:rPr>
          <w:shd w:fill="E7E6E6"/>
        </w:rPr>
        <w:t>SOXX</w:t>
      </w:r>
      <w:r>
        <w:t xml:space="preserve">（半导体）-8.24%；上涨占比 44.9%。需要把 </w:t>
      </w:r>
      <w:r>
        <w:t>ETF</w:t>
      </w:r>
      <w:r>
        <w:t xml:space="preserve"> 表现和单股异常分开读，不能用行业平均替代个股催化。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09160" cy="22688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26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XLE</w:t>
      </w:r>
      <w:r>
        <w:t>（能源）+1.91%、</w:t>
      </w:r>
      <w:r>
        <w:rPr>
          <w:shd w:fill="E7E6E6"/>
        </w:rPr>
        <w:t>XLP</w:t>
      </w:r>
      <w:r>
        <w:t>（必选消费）+1.41%、</w:t>
      </w:r>
      <w:r>
        <w:rPr>
          <w:shd w:fill="E7E6E6"/>
        </w:rPr>
        <w:t>XLU</w:t>
      </w:r>
      <w:r>
        <w:t xml:space="preserve">（公用事业）+0.67%，相对压力集中在 </w:t>
      </w:r>
      <w:r>
        <w:rPr>
          <w:shd w:fill="E7E6E6"/>
        </w:rPr>
        <w:t>ARKK</w:t>
      </w:r>
      <w:r>
        <w:t>（创新成长）-6.07%、</w:t>
      </w:r>
      <w:r>
        <w:rPr>
          <w:shd w:fill="E7E6E6"/>
        </w:rPr>
        <w:t>SMH</w:t>
      </w:r>
      <w:r>
        <w:t>（半导体）-6.98%、</w:t>
      </w:r>
      <w:r>
        <w:rPr>
          <w:shd w:fill="E7E6E6"/>
        </w:rPr>
        <w:t>SOXX</w:t>
      </w:r>
      <w:r>
        <w:t xml:space="preserve">（半导体）-8.24%；20日维度需要结合热图判断是否只是短期反转。没有直接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异常个股必须回填在行业图旁：本次先从 520 个可用单股样本中按当日绝对涨跌、相对 </w:t>
      </w:r>
      <w:r>
        <w:rPr>
          <w:shd w:fill="E7E6E6"/>
        </w:rPr>
        <w:t>SPY</w:t>
      </w:r>
      <w:r>
        <w:t>、成交量和新高/新低筛出 9 个候选：</w:t>
      </w:r>
      <w:r>
        <w:t>RDDT</w:t>
      </w:r>
      <w:r>
        <w:t>（互联网平台/社交媒体）-29.22%、</w:t>
      </w:r>
      <w:r>
        <w:rPr>
          <w:shd w:fill="E7E6E6"/>
        </w:rPr>
        <w:t>INTC</w:t>
      </w:r>
      <w:r>
        <w:t>（半导体/CPU与晶圆制造）-28.58%、</w:t>
      </w:r>
      <w:r>
        <w:t>ILMN</w:t>
      </w:r>
      <w:r>
        <w:t>（生命科学工具/基因测序）-18.64%、</w:t>
      </w:r>
      <w:r>
        <w:t>TWLO</w:t>
      </w:r>
      <w:r>
        <w:t>（云通信/客户互动软件）-15.24%、</w:t>
      </w:r>
      <w:r>
        <w:t>FDXF</w:t>
      </w:r>
      <w:r>
        <w:t>（工业/零担货运）+14.91%、</w:t>
      </w:r>
      <w:r>
        <w:t>REGN</w:t>
      </w:r>
      <w:r>
        <w:t>（生物医药/创新药）+13.33%、</w:t>
      </w:r>
      <w:r>
        <w:t>GPN</w:t>
      </w:r>
      <w:r>
        <w:t>（金融科技/支付处理）+12.97%、</w:t>
      </w:r>
      <w:r>
        <w:t>GDDY</w:t>
      </w:r>
      <w:r>
        <w:t>（互联网服务/域名与主机）+10.72%、</w:t>
      </w:r>
      <w:r>
        <w:rPr>
          <w:shd w:fill="E7E6E6"/>
        </w:rPr>
        <w:t>AMZN</w:t>
      </w:r>
      <w:r>
        <w:t xml:space="preserve">（互联网平台/电商与云计算）-1.41%。固定 </w:t>
      </w:r>
      <w:r>
        <w:t>AI</w:t>
      </w:r>
      <w:r>
        <w:t xml:space="preserve">/光通信名单只用于覆盖扫描，未进入当日异动排序的标的不进入本节归因。若当天没有新公告、研报、公司交流或可验证传闻，只能标为结构性重定价或待验，不能把行业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-8.53%，软件等权 -4.16%，价差（Semi - Software）-4.38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-4.83pp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+4.30pp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-16.12pp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+5.70pp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+1.90pp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+11.85pp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-10.31pp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-2.69pp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-2.79pp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-11.97pp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-4.22pp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-4.43pp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-18.76pp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-0.74pp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-7.09pp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EMERGING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-2.55pp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+7.63pp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-7.69pp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-4.67pp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-16.03pp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+1.86pp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+1.03pp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-4.83pp / 5D +4.30pp / 20D -16.12pp（EXTENDED）；Mag7 - Tech ex-Mag7 1D +5.70pp / 5D +1.90pp / 20D +11.85pp（CONFIRMED）；Mag7 - </w:t>
      </w:r>
      <w:r>
        <w:rPr>
          <w:shd w:fill="E7E6E6"/>
        </w:rPr>
        <w:t>RSP</w:t>
      </w:r>
      <w:r>
        <w:t xml:space="preserve"> 1D -0.80pp / 5D -3.07pp / 20D -10.31pp（EXTENDED）；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-2.69pp / 5D -2.79pp / 20D -11.97pp（CONFIRMED）；Growth - Defensive 1D -4.22pp / 5D -4.43pp / 20D -18.76pp（EXTENDED）；Cyclical - Defensive 1D -1.28pp / 5D -0.74pp / 20D -7.09pp（EMERGING）；</w:t>
      </w:r>
      <w:r>
        <w:t>AI</w:t>
      </w:r>
      <w:r>
        <w:t xml:space="preserve"> CapEx - </w:t>
      </w:r>
      <w:r>
        <w:t>AI</w:t>
      </w:r>
      <w:r>
        <w:t xml:space="preserve"> Applications 1D -2.55pp / 5D +7.63pp / 20D -7.69pp（CONFIRMED）；High Beta - Low Vol 1D -4.67pp / 5D +1.12pp / 20D -16.03pp（CONFIRMED）；Small Cap - Large Cap 1D +0.13pp / 5D +1.86pp / 20D +1.03pp（UNCLEAR）。上涨占比 44.9%，因此需把指数方向、横截面参与度和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226、下跌 277、不变 0，上涨占比 44.9%，涨跌比 0.82；252日新高 42、新低 5。这不是“全市场风险关闭”，而是指数权重和主题结构在切换。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-0.79%，</w:t>
      </w:r>
      <w:r>
        <w:rPr>
          <w:shd w:fill="E7E6E6"/>
        </w:rPr>
        <w:t>SPY</w:t>
      </w:r>
      <w:r>
        <w:t xml:space="preserve"> -1.77%，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+0.99pp，等权参与度优于市值加权。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-4.86% 对比 </w:t>
      </w:r>
      <w:r>
        <w:rPr>
          <w:shd w:fill="E7E6E6"/>
        </w:rPr>
        <w:t>USMV</w:t>
      </w:r>
      <w:r>
        <w:t xml:space="preserve"> -0.19%（差 -4.67pp），</w:t>
      </w:r>
      <w:r>
        <w:rPr>
          <w:shd w:fill="E7E6E6"/>
        </w:rPr>
        <w:t>IWM</w:t>
      </w:r>
      <w:r>
        <w:t xml:space="preserve"> -1.65% 对比 </w:t>
      </w:r>
      <w:r>
        <w:rPr>
          <w:shd w:fill="E7E6E6"/>
        </w:rPr>
        <w:t>SPY</w:t>
      </w:r>
      <w:r>
        <w:t xml:space="preserve"> -1.77%（差 +0.13pp）。在宏观美元与油价同时偏强的环境下，对冲基金去杠杆是一个待验证的结构性假设，而不是已经被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RDDT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互联网平台/社交媒体；价格 -29.22%；相对SPY -27.45pp；成交不可得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已确认财报+卖方反应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Q3收入、利润和现金流仍强，但美国DAUq同比下降2%，高预期下市场转而惩罚本土用户增长与搜索流量风险；多家券商在财报后下调评级或目标价。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INTC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半导体/CPU与晶圆制造；价格 -28.58%；相对SPY -26.80pp；成交 4.33x均量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已确认财报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Q3收入和EPS超预期，但Q4收入指引仅150亿至160亿美元、非GAAP EPS为0.25美元，并明确PC放缓至少持续至2027年上半年；近端指引、供给约束和持续资本投入压过当季增长。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ILMN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生命科学工具/基因测序；价格 -18.64%；相对SPY -16.87pp；成交不可得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已确认财报+二手市场解读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公司上调全年指引，但报告收入约11.3亿美元低于市场预期，关税退款影响了收入与利润口径，中国收入同比微降，市场将焦点放在核心增长速度和中国风险而非headline beat。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TWLO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云通信/客户互动软件；价格 -15.24%；相对SPY -13.47pp；成交不可得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已确认财报+二手市场解读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当季收入与盈利好于预期，但约占六成收入的Messaging有机增速从18%降至17%，Q4有机收入增速指引仅11%至12%，显著低于Q3的16%。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FDXF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工业/零担货运；价格 +14.91%；相对SPY +16.68pp；成交不可得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已确认财报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独立上市后的四个月过渡期收入同比增长9.2%，调整后EPS约1.49美元，收益率改善和优于预期的业绩缓解了市场对货运需求疲软的担忧。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REGN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生物医药/创新药；价格 +13.33%；相对SPY +15.10pp；成交不可得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已确认财报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Q3收入增长36%，Dupixent、EYLEA HD和Libtayo销售分别增长35%、62%和51%，非GAAP EPS增长70%；与Sanofi扩展合作带来10亿美元预付款及最高70亿美元里程碑潜力。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RDDT</w:t>
      </w:r>
      <w:r>
        <w:t>（互联网平台/社交媒体，已确认财报+卖方反应）：Q3收入、利润和现金流仍强，但美国DAUq同比下降2%，高预期下市场转而惩罚本土用户增长与搜索流量风险；多家券商在财报后下调评级或目标价。。交易解读：这是强财务结果与更高用户质量门槛之间的预期重置，不能简单写成基本面全面恶化。</w:t>
      </w:r>
    </w:p>
    <w:p>
      <w:pPr>
        <w:spacing w:after="120" w:line="276" w:lineRule="auto"/>
      </w:pPr>
      <w:r>
        <w:rPr>
          <w:shd w:fill="E7E6E6"/>
        </w:rPr>
        <w:t>INTC</w:t>
      </w:r>
      <w:r>
        <w:t>（半导体/CPU与晶圆制造，已确认财报）：Q3收入和EPS超预期，但Q4收入指引仅150亿至160亿美元、非GAAP EPS为0.25美元，并明确PC放缓至少持续至2027年上半年；近端指引、供给约束和持续资本投入压过当季增长。。交易解读：股价反应是对高位估值和复苏斜率的重新定价，并向PC、服务器和半导体链扩散。</w:t>
      </w:r>
    </w:p>
    <w:p>
      <w:pPr>
        <w:spacing w:after="120" w:line="276" w:lineRule="auto"/>
      </w:pPr>
      <w:r>
        <w:t>ILMN</w:t>
      </w:r>
      <w:r>
        <w:t>（生命科学工具/基因测序，已确认财报+二手市场解读）：公司上调全年指引，但报告收入约11.3亿美元低于市场预期，关税退款影响了收入与利润口径，中国收入同比微降，市场将焦点放在核心增长速度和中国风险而非headline beat。。交易解读：典型的利好不涨：在股价前期大幅重估后，增长质量与地区结构比上调指引更重要。</w:t>
      </w:r>
    </w:p>
    <w:p>
      <w:pPr>
        <w:spacing w:after="120" w:line="276" w:lineRule="auto"/>
      </w:pPr>
      <w:r>
        <w:t>TWLO</w:t>
      </w:r>
      <w:r>
        <w:t>（云通信/客户互动软件，已确认财报+二手市场解读）：当季收入与盈利好于预期，但约占六成收入的Messaging有机增速从18%降至17%，Q4有机收入增速指引仅11%至12%，显著低于Q3的16%。。交易解读：市场在下调Twilio的持续增长溢价，AI产品亮点尚不足以抵消最大业务减速。</w:t>
      </w:r>
    </w:p>
    <w:p>
      <w:pPr>
        <w:spacing w:after="120" w:line="276" w:lineRule="auto"/>
      </w:pPr>
      <w:r>
        <w:t>FDXF</w:t>
      </w:r>
      <w:r>
        <w:t>（工业/零担货运，已确认财报）：独立上市后的四个月过渡期收入同比增长9.2%，调整后EPS约1.49美元，收益率改善和优于预期的业绩缓解了市场对货运需求疲软的担忧。。交易解读：上涨主要是公司业绩与定价改善驱动，而不是工业板块普涨。</w:t>
      </w:r>
    </w:p>
    <w:p>
      <w:pPr>
        <w:spacing w:after="120" w:line="276" w:lineRule="auto"/>
      </w:pPr>
      <w:r>
        <w:t>REGN</w:t>
      </w:r>
      <w:r>
        <w:t>（生物医药/创新药，已确认财报）：Q3收入增长36%，Dupixent、</w:t>
      </w:r>
      <w:r>
        <w:t>EYLEA</w:t>
      </w:r>
      <w:r>
        <w:t xml:space="preserve"> HD和Libtayo销售分别增长35%、62%和51%，非GAAP EPS增长70%；与Sanofi扩展合作带来10亿美元预付款及最高70亿美元里程碑潜力。。交易解读：这是产品组合和合作经济性共同驱动的基本面上涨，解释了REGN与医药ETF可能不同步。</w:t>
      </w:r>
    </w:p>
    <w:p>
      <w:pPr>
        <w:spacing w:after="120" w:line="276" w:lineRule="auto"/>
      </w:pPr>
      <w:r>
        <w:t>GPN</w:t>
      </w:r>
      <w:r>
        <w:t>（金融科技/支付处理，媒体传闻）：二手报道援引Financial Times称，</w:t>
      </w:r>
      <w:r>
        <w:t>CD</w:t>
      </w:r>
      <w:r>
        <w:t>&amp;R正与GPN最大外部股东GTCR研究约400亿美元的私有化方案。公司尚未正式确认交易。。交易解读：上涨主要由潜在并购溢价驱动；在正式要约或公司公告前，不能把传闻当作已达成交易。</w:t>
      </w:r>
    </w:p>
    <w:p>
      <w:pPr>
        <w:spacing w:after="120" w:line="276" w:lineRule="auto"/>
      </w:pPr>
      <w:r>
        <w:t>GDDY</w:t>
      </w:r>
      <w:r>
        <w:t>（互联网服务/域名与主机，已确认财报）：</w:t>
      </w:r>
      <w:r>
        <w:t>Q3</w:t>
      </w:r>
      <w:r>
        <w:t xml:space="preserve"> EPS约2.08美元高于约1.90美元预期，收入约13.4亿美元；收入和预订量同比增长约6.0%和5.7%，同时持续大额回购。。交易解读：盈利和资本回报共同推动估值修复，属于公司事件，不代表软件板块全面走强。</w:t>
      </w:r>
    </w:p>
    <w:p>
      <w:pPr>
        <w:spacing w:after="120" w:line="276" w:lineRule="auto"/>
      </w:pPr>
      <w:r>
        <w:rPr>
          <w:shd w:fill="E7E6E6"/>
        </w:rPr>
        <w:t>AMZN</w:t>
      </w:r>
      <w:r>
        <w:t>（互联网平台/电商与云计算，已确认财报+市场解读）：AWS收入增长超过39%，但收入和EPS低于市场预期，自由现金流转为负424亿美元，AI基础设施投入显著上升且2027年资本开支仍将增加。。交易解读：仅下跌1.4%但成交约2.7倍均量，说明市场在强AWS增长与高资本强度之间激烈换手。</w:t>
      </w: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-4.22%、</w:t>
      </w:r>
      <w:r>
        <w:rPr>
          <w:shd w:fill="E7E6E6"/>
        </w:rPr>
        <w:t>AVGO</w:t>
      </w:r>
      <w:r>
        <w:t xml:space="preserve"> -5.48%、</w:t>
      </w:r>
      <w:r>
        <w:rPr>
          <w:shd w:fill="E7E6E6"/>
        </w:rPr>
        <w:t>MSFT</w:t>
      </w:r>
      <w:r>
        <w:t xml:space="preserve"> -1.55%、</w:t>
      </w:r>
      <w:r>
        <w:rPr>
          <w:shd w:fill="E7E6E6"/>
        </w:rPr>
        <w:t>META</w:t>
      </w:r>
      <w:r>
        <w:t xml:space="preserve"> -1.53%；Tier 2 网络、存储和光互联代表为 </w:t>
      </w:r>
      <w:r>
        <w:rPr>
          <w:shd w:fill="E7E6E6"/>
        </w:rPr>
        <w:t>MU</w:t>
      </w:r>
      <w:r>
        <w:t xml:space="preserve"> -5.30%、</w:t>
      </w:r>
      <w:r>
        <w:rPr>
          <w:shd w:fill="E7E6E6"/>
        </w:rPr>
        <w:t>SNDK</w:t>
      </w:r>
      <w:r>
        <w:t xml:space="preserve"> -13.47%、</w:t>
      </w:r>
      <w:r>
        <w:rPr>
          <w:shd w:fill="E7E6E6"/>
        </w:rPr>
        <w:t>MRVL</w:t>
      </w:r>
      <w:r>
        <w:t xml:space="preserve"> -10.05%、</w:t>
      </w:r>
      <w:r>
        <w:rPr>
          <w:shd w:fill="E7E6E6"/>
        </w:rPr>
        <w:t>CRDO</w:t>
      </w:r>
      <w:r>
        <w:t xml:space="preserve"> -8.65%、</w:t>
      </w:r>
      <w:r>
        <w:rPr>
          <w:shd w:fill="E7E6E6"/>
        </w:rPr>
        <w:t>LITE</w:t>
      </w:r>
      <w:r>
        <w:t xml:space="preserve"> -8.57%、</w:t>
      </w:r>
      <w:r>
        <w:rPr>
          <w:shd w:fill="E7E6E6"/>
        </w:rPr>
        <w:t>COHR</w:t>
      </w:r>
      <w:r>
        <w:t xml:space="preserve"> -11.34%。这组数据只能说明当天价格速度和相对分化，不能单独证明订单、客户或资本开支发生变化；后者需要公司公告、会议或可复核产业数据。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6512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65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29919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9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t>RDDT</w:t>
      </w:r>
      <w:r>
        <w:t xml:space="preserve"> -29.22%（互联网平台/社交媒体）；</w:t>
      </w:r>
      <w:r>
        <w:rPr>
          <w:shd w:fill="E7E6E6"/>
        </w:rPr>
        <w:t>INTC</w:t>
      </w:r>
      <w:r>
        <w:t xml:space="preserve"> -28.58%（半导体/CPU与晶圆制造；成交约4.33x均量）；</w:t>
      </w:r>
      <w:r>
        <w:t>ILMN</w:t>
      </w:r>
      <w:r>
        <w:t xml:space="preserve"> -18.64%（生命科学工具/基因测序）；</w:t>
      </w:r>
      <w:r>
        <w:t>TWLO</w:t>
      </w:r>
      <w:r>
        <w:t xml:space="preserve"> -15.24%（云通信/客户互动软件）；</w:t>
      </w:r>
      <w:r>
        <w:t>FDXF</w:t>
      </w:r>
      <w:r>
        <w:t xml:space="preserve"> +14.91%（工业/零担货运）；</w:t>
      </w:r>
      <w:r>
        <w:t>REGN</w:t>
      </w:r>
      <w:r>
        <w:t xml:space="preserve"> +13.33%（生物医药/创新药）；</w:t>
      </w:r>
      <w:r>
        <w:t>GPN</w:t>
      </w:r>
      <w:r>
        <w:t xml:space="preserve"> +12.97%（金融科技/支付处理）；</w:t>
      </w:r>
      <w:r>
        <w:t>GDDY</w:t>
      </w:r>
      <w:r>
        <w:t xml:space="preserve"> +10.72%（互联网服务/域名与主机）；</w:t>
      </w:r>
      <w:r>
        <w:rPr>
          <w:shd w:fill="E7E6E6"/>
        </w:rPr>
        <w:t>AMZN</w:t>
      </w:r>
      <w:r>
        <w:t xml:space="preserve"> -1.41%（互联网平台/电商与云计算；成交约2.73x均量）。本次已取得的同日归因为：</w:t>
      </w:r>
      <w:r>
        <w:t>RDDT</w:t>
      </w:r>
      <w:r>
        <w:t>（已确认财报+卖方反应）：Q3收入、利润和现金流仍强，但美国DAUq同比下降2%，高预期下市场转而惩罚本土用户增长与搜索流量风险；多家券商在财报后下调评级或目标价。；</w:t>
      </w:r>
      <w:r>
        <w:rPr>
          <w:shd w:fill="E7E6E6"/>
        </w:rPr>
        <w:t>INTC</w:t>
      </w:r>
      <w:r>
        <w:t>（已确认财报）：Q3收入和EPS超预期，但Q4收入指引仅150亿至160亿美元、非GAAP EPS为0.25美元，并明确PC放缓至少持续至2027年上半年；近端指引、供给约束和持续资本投入压过当季增长。；</w:t>
      </w:r>
      <w:r>
        <w:t>ILMN</w:t>
      </w:r>
      <w:r>
        <w:t>（已确认财报+二手市场解读）：公司上调全年指引，但报告收入约11.3亿美元低于市场预期，关税退款影响了收入与利润口径，中国收入同比微降，市场将焦点放在核心增长速度和中国风险而非headline beat。；</w:t>
      </w:r>
      <w:r>
        <w:t>TWLO</w:t>
      </w:r>
      <w:r>
        <w:t>（已确认财报+二手市场解读）：当季收入与盈利好于预期，但约占六成收入的Messaging有机增速从18%降至17%，Q4有机收入增速指引仅11%至12%，显著低于Q3的16%。；</w:t>
      </w:r>
      <w:r>
        <w:t>FDXF</w:t>
      </w:r>
      <w:r>
        <w:t>（已确认财报）：独立上市后的四个月过渡期收入同比增长9.2%，调整后EPS约1.49美元，收益率改善和优于预期的业绩缓解了市场对货运需求疲软的担忧。；</w:t>
      </w:r>
      <w:r>
        <w:t>REGN</w:t>
      </w:r>
      <w:r>
        <w:t>（已确认财报）：Q3收入增长36%，Dupixent、</w:t>
      </w:r>
      <w:r>
        <w:t>EYLEA</w:t>
      </w:r>
      <w:r>
        <w:t xml:space="preserve"> HD和Libtayo销售分别增长35%、62%和51%，非GAAP EPS增长70%；与Sanofi扩展合作带来10亿美元预付款及最高70亿美元里程碑潜力。；</w:t>
      </w:r>
      <w:r>
        <w:t>GPN</w:t>
      </w:r>
      <w:r>
        <w:t>（媒体传闻）：二手报道援引Financial Times称，</w:t>
      </w:r>
      <w:r>
        <w:t>CD</w:t>
      </w:r>
      <w:r>
        <w:t>&amp;R正与GPN最大外部股东GTCR研究约400亿美元的私有化方案。公司尚未正式确认交易。；</w:t>
      </w:r>
      <w:r>
        <w:t>GDDY</w:t>
      </w:r>
      <w:r>
        <w:t>（已确认财报）：</w:t>
      </w:r>
      <w:r>
        <w:t>Q3</w:t>
      </w:r>
      <w:r>
        <w:t xml:space="preserve"> EPS约2.08美元高于约1.90美元预期，收入约13.4亿美元；收入和预订量同比增长约6.0%和5.7%，同时持续大额回购。；</w:t>
      </w:r>
      <w:r>
        <w:rPr>
          <w:shd w:fill="E7E6E6"/>
        </w:rPr>
        <w:t>AMZN</w:t>
      </w:r>
      <w:r>
        <w:t>（已确认财报+市场解读）：AWS收入增长超过39%，但收入和EPS低于市场预期，自由现金流转为负424亿美元，AI基础设施投入显著上升且2027年资本开支仍将增加。。未取得证据的名字只记录价格/成交异常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+1.91%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+1.41%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+0.45% / -1.98%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-2.43pp，行业内部需拆分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-1.29%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+0.40% / -0.30%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-1.15% / -6.73%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238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7784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7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RDDT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互联网平台/社交媒体 -29.22%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成交不可得；相对SPY -27.45pp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Q3收入、利润和现金流仍强，但美国DAUq同比下降2%，高预期下市场转而惩罚本土用户增长与搜索流量风险；多家券商在财报后下调评级或目标价。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INTC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半导体/CPU与晶圆制造 -28.58%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4.33x均量；相对SPY -26.80pp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Q3收入和EPS超预期，但Q4收入指引仅150亿至160亿美元、非GAAP EPS为0.25美元，并明确PC放缓至少持续至2027年上半年；近端指引、供给约束和持续资本投入压过当季增长。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ILMN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生命科学工具/基因测序 -18.64%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成交不可得；相对SPY -16.87pp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公司上调全年指引，但报告收入约11.3亿美元低于市场预期，关税退款影响了收入与利润口径，中国收入同比微降，市场将焦点放在核心增长速度和中国风险而非headline beat。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TWLO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云通信/客户互动软件 -15.24%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成交不可得；相对SPY -13.47pp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当季收入与盈利好于预期，但约占六成收入的Messaging有机增速从18%降至17%，Q4有机收入增速指引仅11%至12%，显著低于Q3的16%。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AMZN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互联网平台/电商与云计算 -1.41%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2.73x均量；相对SPY +0.36pp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AWS收入增长超过39%，但收入和EPS低于市场预期，自由现金流转为负424亿美元，AI基础设施投入显著上升且2027年资本开支仍将增加。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XLE</w:t>
      </w:r>
      <w:r>
        <w:t>（能源）+1.91%、</w:t>
      </w:r>
      <w:r>
        <w:rPr>
          <w:shd w:fill="E7E6E6"/>
        </w:rPr>
        <w:t>XLP</w:t>
      </w:r>
      <w:r>
        <w:t>（必选消费）+1.41%、</w:t>
      </w:r>
      <w:r>
        <w:rPr>
          <w:shd w:fill="E7E6E6"/>
        </w:rPr>
        <w:t>XLU</w:t>
      </w:r>
      <w:r>
        <w:t xml:space="preserve">（公用事业）+0.67%，后列为 </w:t>
      </w:r>
      <w:r>
        <w:rPr>
          <w:shd w:fill="E7E6E6"/>
        </w:rPr>
        <w:t>ARKK</w:t>
      </w:r>
      <w:r>
        <w:t>（创新成长）-6.07%、</w:t>
      </w:r>
      <w:r>
        <w:rPr>
          <w:shd w:fill="E7E6E6"/>
        </w:rPr>
        <w:t>SMH</w:t>
      </w:r>
      <w:r>
        <w:t>（半导体）-6.98%、</w:t>
      </w:r>
      <w:r>
        <w:rPr>
          <w:shd w:fill="E7E6E6"/>
        </w:rPr>
        <w:t>SOXX</w:t>
      </w:r>
      <w:r>
        <w:t>（半导体）-8.24%；S&amp;P 广度上涨占比 44.9%，</w:t>
      </w:r>
      <w:r>
        <w:rPr>
          <w:shd w:fill="E7E6E6"/>
        </w:rPr>
        <w:t>RSP</w:t>
      </w:r>
      <w:r>
        <w:t xml:space="preserve"> -0.79% 对比 </w:t>
      </w:r>
      <w:r>
        <w:rPr>
          <w:shd w:fill="E7E6E6"/>
        </w:rPr>
        <w:t>SPY</w:t>
      </w:r>
      <w:r>
        <w:t xml:space="preserve"> -1.77%。这能支持参与度和相对偏好的判断，但没有直接基金流、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11.3%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3.55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33.8%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1.08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6.0%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1.32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2026-11-02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1.61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8.3%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put-volume/OI&gt;=2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3.62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28.4%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2.63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12.7%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2.82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39.8%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put-heavy,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1.15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2026-11-06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1.26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9.4%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43914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39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2026-10-31T01:35:00-04:00；无执行方向确认。。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；来源不可得为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3791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19.42 / 106.43 / 149.76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价格代理可得（9/9）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尾20分钟相对最强 SOXX +1.24%、XLK +0.59%；相对最弱 IGV +0.13%、XLC +0.05%。仅为价格变化，不是官方MOC金额或买卖失衡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-1.82%、纳指 -2.86%，广度上涨占比 44.9%，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-2.69pp，高 Beta 对低波动为 -4.67pp。因此对冲基金去杠杆仍是结构性假设，而不是已经被 </w:t>
      </w:r>
      <w:r>
        <w:t>PB</w:t>
      </w:r>
      <w:r>
        <w:t xml:space="preserve"> 数据证实的事实。</w:t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2026-10-30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0012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0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2026-10-30 美股收盘综述</w:t>
        </w:r>
      </w:hyperlink>
    </w:p>
    <w:p>
      <w:hyperlink r:id="rId38">
        <w:r>
          <w:rPr/>
          <w:t>RDDT：Reddit Q3 2026 官方业绩</w:t>
        </w:r>
      </w:hyperlink>
    </w:p>
    <w:p>
      <w:hyperlink r:id="rId39">
        <w:r>
          <w:rPr/>
          <w:t>RDDT：Finviz 当日卖方行动汇总</w:t>
        </w:r>
      </w:hyperlink>
    </w:p>
    <w:p>
      <w:hyperlink r:id="rId40">
        <w:r>
          <w:rPr/>
          <w:t>INTC：Intel Q3 2026 官方业绩</w:t>
        </w:r>
      </w:hyperlink>
    </w:p>
    <w:p>
      <w:hyperlink r:id="rId41">
        <w:r>
          <w:rPr/>
          <w:t>ILMN：Illumina Q3 2026 官方业绩</w:t>
        </w:r>
      </w:hyperlink>
    </w:p>
    <w:p>
      <w:hyperlink r:id="rId42">
        <w:r>
          <w:rPr/>
          <w:t>ILMN：当日市场解读</w:t>
        </w:r>
      </w:hyperlink>
    </w:p>
    <w:p>
      <w:hyperlink r:id="rId43">
        <w:r>
          <w:rPr/>
          <w:t>TWLO：Twilio Q3 2026 官方业绩</w:t>
        </w:r>
      </w:hyperlink>
    </w:p>
    <w:p>
      <w:hyperlink r:id="rId44">
        <w:r>
          <w:rPr/>
          <w:t>TWLO：当日市场解读</w:t>
        </w:r>
      </w:hyperlink>
    </w:p>
    <w:p>
      <w:hyperlink r:id="rId45">
        <w:r>
          <w:rPr/>
          <w:t>FDXF：FedEx Freight 过渡期官方业绩</w:t>
        </w:r>
      </w:hyperlink>
    </w:p>
    <w:p>
      <w:hyperlink r:id="rId46">
        <w:r>
          <w:rPr/>
          <w:t>REGN：Regeneron Q3 2026 官方业绩</w:t>
        </w:r>
      </w:hyperlink>
    </w:p>
    <w:p>
      <w:hyperlink r:id="rId47">
        <w:r>
          <w:rPr/>
          <w:t>GPN：潜在私有化二手报道</w:t>
        </w:r>
      </w:hyperlink>
    </w:p>
    <w:p>
      <w:hyperlink r:id="rId48">
        <w:r>
          <w:rPr/>
          <w:t>GDDY：GoDaddy Q3 2026 官方投资者页面</w:t>
        </w:r>
      </w:hyperlink>
    </w:p>
    <w:p>
      <w:hyperlink r:id="rId49">
        <w:r>
          <w:rPr/>
          <w:t>AMZN：Amazon Q3 2026 官方业绩</w:t>
        </w:r>
      </w:hyperlink>
    </w:p>
    <w:p>
      <w:hyperlink r:id="rId50">
        <w:r>
          <w:rPr/>
          <w:t>Nasdaq public option chain example: LITE</w:t>
        </w:r>
      </w:hyperlink>
    </w:p>
    <w:p>
      <w:hyperlink r:id="rId51">
        <w:r>
          <w:rPr/>
          <w:t>Yahoo Finance Chart API example: SPY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16c266731fdf64178f38070af2b42497" TargetMode="External"/><Relationship Id="rId38" Type="http://schemas.openxmlformats.org/officeDocument/2006/relationships/hyperlink" Target="https://investor.redditinc.com/news-events/news-releases/news-details/2026/Reddit-Reports-Third-Quarter-2026-Results/default.aspx" TargetMode="External"/><Relationship Id="rId39" Type="http://schemas.openxmlformats.org/officeDocument/2006/relationships/hyperlink" Target="https://finviz.com/stock?b=2&amp;p=d&amp;r=m1&amp;t=RDDT" TargetMode="External"/><Relationship Id="rId40" Type="http://schemas.openxmlformats.org/officeDocument/2006/relationships/hyperlink" Target="https://www.intc.com/news-events/press-releases/detail/1786/intel-reports-third-quarter-2026-financial-results" TargetMode="External"/><Relationship Id="rId41" Type="http://schemas.openxmlformats.org/officeDocument/2006/relationships/hyperlink" Target="https://investor.illumina.com/static-files/425680f5-fad9-4b9e-af2b-d863bdaa9ac9" TargetMode="External"/><Relationship Id="rId42" Type="http://schemas.openxmlformats.org/officeDocument/2006/relationships/hyperlink" Target="https://www.investing.com/news/stock-market-news/why-is-illumina-stock-tumbling-today-93CH-4986290" TargetMode="External"/><Relationship Id="rId43" Type="http://schemas.openxmlformats.org/officeDocument/2006/relationships/hyperlink" Target="https://twilio.gcs-web.com/news-releases/news-release-details/twilio-announces-third-quarter-2026-results" TargetMode="External"/><Relationship Id="rId44" Type="http://schemas.openxmlformats.org/officeDocument/2006/relationships/hyperlink" Target="https://www.benzinga.com/trading-ideas/movers/26/10/62735517/twilios-biggest-business-is-slowing-and-thats-a-problem-for-its-growth-story" TargetMode="External"/><Relationship Id="rId45" Type="http://schemas.openxmlformats.org/officeDocument/2006/relationships/hyperlink" Target="https://ir.fedexfreight.com/news-events/press-releases/detail/190/fedex-freight-reports-solid-financial-results-for-the-four-month-transition-period-ended-september-30-2026" TargetMode="External"/><Relationship Id="rId46" Type="http://schemas.openxmlformats.org/officeDocument/2006/relationships/hyperlink" Target="https://investor.regeneron.com/node/32446/pdf" TargetMode="External"/><Relationship Id="rId47" Type="http://schemas.openxmlformats.org/officeDocument/2006/relationships/hyperlink" Target="https://beststocks.com/stocks/gpn/what-changed" TargetMode="External"/><Relationship Id="rId48" Type="http://schemas.openxmlformats.org/officeDocument/2006/relationships/hyperlink" Target="https://aboutus.godaddy.net/investor-relations/overview/default.aspx" TargetMode="External"/><Relationship Id="rId49" Type="http://schemas.openxmlformats.org/officeDocument/2006/relationships/hyperlink" Target="https://ir.aboutamazon.com/files/doc_earnings/2026/q3/earnings-result/AMZN-Q3-2026-Earnings-Release.pdf" TargetMode="External"/><Relationship Id="rId50" Type="http://schemas.openxmlformats.org/officeDocument/2006/relationships/hyperlink" Target="https://www.nasdaq.com/market-activity/stocks/lite/option-chain" TargetMode="External"/><Relationship Id="rId51" Type="http://schemas.openxmlformats.org/officeDocument/2006/relationships/hyperlink" Target="https://query1.finance.yahoo.com/v8/finance/chart/S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