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2026-10-12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报告日期：2026-10-13（北京时间）｜覆盖交易日：2026-10-12（美国现金盘）｜数据截点：收盘及可获得的盘后公开链数据。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结论先行：这是一个“指数近乎横盘、内部轮动明显”的交易日。道指 +0.38%，标普500 -0.06%，纳指 -0.44%，Russell 2000 -0.45%；但标普成分股上涨 321 家、下跌 179 家，涨跌比约 1.79。资金从高估值 </w:t>
      </w:r>
      <w:r>
        <w:rPr>
          <w:highlight w:val="yellow"/>
        </w:rPr>
        <w:t>AI</w:t>
      </w:r>
      <w:r>
        <w:rPr>
          <w:highlight w:val="yellow"/>
        </w:rPr>
        <w:t xml:space="preserve"> 硬件与高 Beta 方向撤出，转向能源、必选消费、医疗、通信服务和部分防御资产。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51,850.55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7,807.24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指数平稳，内部并非平稳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27,245.90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成长权重承压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2,794.48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15.21 / 85.93 / 155.06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+2.49%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波动率温和上行，尾部定价偏高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102.58 / 93.74 / 81,762.56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美元/油涨，BTC跌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宏观流动性与风险偏好分化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>图表读法：当日最强为能源（</w:t>
      </w:r>
      <w:r>
        <w:rPr>
          <w:shd w:fill="E7E6E6"/>
        </w:rPr>
        <w:t>XLE</w:t>
      </w:r>
      <w:r>
        <w:t xml:space="preserve"> +1.43%）、必选消费（</w:t>
      </w:r>
      <w:r>
        <w:rPr>
          <w:shd w:fill="E7E6E6"/>
        </w:rPr>
        <w:t>XLP</w:t>
      </w:r>
      <w:r>
        <w:t xml:space="preserve"> +1.17%）、通信服务（</w:t>
      </w:r>
      <w:r>
        <w:rPr>
          <w:shd w:fill="E7E6E6"/>
        </w:rPr>
        <w:t>XLC</w:t>
      </w:r>
      <w:r>
        <w:t xml:space="preserve"> +0.97%）；科技（</w:t>
      </w:r>
      <w:r>
        <w:rPr>
          <w:shd w:fill="E7E6E6"/>
        </w:rPr>
        <w:t>XLK</w:t>
      </w:r>
      <w:r>
        <w:t xml:space="preserve"> -1.22%）与半导体代理（</w:t>
      </w:r>
      <w:r>
        <w:rPr>
          <w:shd w:fill="E7E6E6"/>
        </w:rPr>
        <w:t>SOXX</w:t>
      </w:r>
      <w:r>
        <w:t xml:space="preserve"> -2.60%）明显落后。结合上涨家数占比 63.8%，可判定为“风险偏好没有全面崩坏，但高拥挤成长资产被主动降仓”。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资金方向判断：短线流入能源、必选消费、医疗保健、房地产和通信服务，流出科技、材料与可选消费；20日维度则仍保留半导体、软件/网络和 </w:t>
      </w:r>
      <w:r>
        <w:t>AI</w:t>
      </w:r>
      <w:r>
        <w:t xml:space="preserve"> 相关资产的历史强势，因此今天更像高位主题内部的去杠杆，而不是趋势彻底反转。科技板块内部不能只看 </w:t>
      </w:r>
      <w:r>
        <w:rPr>
          <w:shd w:fill="E7E6E6"/>
        </w:rPr>
        <w:t>XLK</w:t>
      </w:r>
      <w:r>
        <w:t>：</w:t>
      </w:r>
      <w:r>
        <w:rPr>
          <w:shd w:fill="E7E6E6"/>
        </w:rPr>
        <w:t>SOXX</w:t>
      </w:r>
      <w:r>
        <w:t>/</w:t>
      </w:r>
      <w:r>
        <w:rPr>
          <w:shd w:fill="E7E6E6"/>
        </w:rPr>
        <w:t>SMH</w:t>
      </w:r>
      <w:r>
        <w:t>、</w:t>
      </w:r>
      <w:r>
        <w:rPr>
          <w:shd w:fill="E7E6E6"/>
        </w:rPr>
        <w:t>CIBR</w:t>
      </w:r>
      <w:r>
        <w:t>、</w:t>
      </w:r>
      <w:r>
        <w:rPr>
          <w:shd w:fill="E7E6E6"/>
        </w:rPr>
        <w:t>SKYY</w:t>
      </w:r>
      <w:r>
        <w:t xml:space="preserve"> 和 </w:t>
      </w:r>
      <w:r>
        <w:rPr>
          <w:shd w:fill="E7E6E6"/>
        </w:rPr>
        <w:t>XBI</w:t>
      </w:r>
      <w:r>
        <w:t xml:space="preserve"> 进一步走弱，而 </w:t>
      </w:r>
      <w:r>
        <w:rPr>
          <w:shd w:fill="E7E6E6"/>
        </w:rPr>
        <w:t>IHI</w:t>
      </w:r>
      <w:r>
        <w:t>、</w:t>
      </w:r>
      <w:r>
        <w:rPr>
          <w:shd w:fill="E7E6E6"/>
        </w:rPr>
        <w:t>XHE</w:t>
      </w:r>
      <w:r>
        <w:t xml:space="preserve"> 体现医疗器械相对韧性。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异常个股必须回填在行业图旁：光通信链条 </w:t>
      </w:r>
      <w:r>
        <w:rPr>
          <w:shd w:fill="E7E6E6"/>
        </w:rPr>
        <w:t>LITE</w:t>
      </w:r>
      <w:r>
        <w:t xml:space="preserve"> -9.78%、</w:t>
      </w:r>
      <w:r>
        <w:rPr>
          <w:shd w:fill="E7E6E6"/>
        </w:rPr>
        <w:t>CIEN</w:t>
      </w:r>
      <w:r>
        <w:t xml:space="preserve"> -9.95%、</w:t>
      </w:r>
      <w:r>
        <w:rPr>
          <w:shd w:fill="E7E6E6"/>
        </w:rPr>
        <w:t>COHR</w:t>
      </w:r>
      <w:r>
        <w:t xml:space="preserve"> -7.87%、</w:t>
      </w:r>
      <w:r>
        <w:rPr>
          <w:shd w:fill="E7E6E6"/>
        </w:rPr>
        <w:t>AAOI</w:t>
      </w:r>
      <w:r>
        <w:t xml:space="preserve"> -8.17%、</w:t>
      </w:r>
      <w:r>
        <w:rPr>
          <w:shd w:fill="E7E6E6"/>
        </w:rPr>
        <w:t>CRDO</w:t>
      </w:r>
      <w:r>
        <w:t xml:space="preserve"> -7.25%，明显弱于通信服务 </w:t>
      </w:r>
      <w:r>
        <w:t>ETF</w:t>
      </w:r>
      <w:r>
        <w:t>，说明行业指数掩盖了硬件子组的集中抛压；</w:t>
      </w:r>
      <w:r>
        <w:rPr>
          <w:shd w:fill="E7E6E6"/>
        </w:rPr>
        <w:t>FICO</w:t>
      </w:r>
      <w:r>
        <w:t xml:space="preserve"> +10.85%、</w:t>
      </w:r>
      <w:r>
        <w:rPr>
          <w:shd w:fill="E7E6E6"/>
        </w:rPr>
        <w:t>FIGS</w:t>
      </w:r>
      <w:r>
        <w:t xml:space="preserve"> +12.42%、</w:t>
      </w:r>
      <w:r>
        <w:rPr>
          <w:shd w:fill="E7E6E6"/>
        </w:rPr>
        <w:t>MDT</w:t>
      </w:r>
      <w:r>
        <w:t xml:space="preserve"> +3.90%则是单股驱动，不能被简单归入“金融、可选消费或医疗整体上涨”。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图表解读：半导体等权当日约 -2.07%，软件约 -1.48%，价差约 -1.37 个百分点，意味着软件相对抗跌；但过去 20 日半导体仍明显占优，故今天更接近短期估值/仓位再平衡。不能把“半导体下跌”泛化为整个科技板块都弱，</w:t>
      </w:r>
      <w:r>
        <w:rPr>
          <w:shd w:fill="E7E6E6"/>
        </w:rPr>
        <w:t>META</w:t>
      </w:r>
      <w:r>
        <w:t xml:space="preserve"> +3.38%就是大型平台股的反例。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+8.91pp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+5.97pp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+4.17pp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-9.94pp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-5.70pp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+3.59pp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-5.71pp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矩阵显示：</w:t>
      </w:r>
      <w:r>
        <w:rPr>
          <w:shd w:fill="E7E6E6"/>
        </w:rPr>
        <w:t>QQQ</w:t>
      </w:r>
      <w:r>
        <w:t xml:space="preserve"> 相对 </w:t>
      </w:r>
      <w:r>
        <w:rPr>
          <w:shd w:fill="E7E6E6"/>
        </w:rPr>
        <w:t>RSP</w:t>
      </w:r>
      <w:r>
        <w:t xml:space="preserve"> 的 1D/5D 明显走弱，Mag7 相对科技除 Mag7 仍有当日支撑；</w:t>
      </w:r>
      <w:r>
        <w:t>AI</w:t>
      </w:r>
      <w:r>
        <w:t xml:space="preserve"> CapEx 相对 </w:t>
      </w:r>
      <w:r>
        <w:t>AI</w:t>
      </w:r>
      <w:r>
        <w:t xml:space="preserve"> Applications、High Beta 相对 Low Vol 均转弱。大盘上涨家数超过下跌家数，说明“参与度”没有塌陷，但高弹性和高拥挤的资金速度在下降。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10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321、下跌 179、不变 3，上涨占比 63.8%，涨跌比 1.79；252日新高 9、新低 5。这不是“全市场风险关闭”，而是指数权重和主题结构在切换。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+0.07%，</w:t>
      </w:r>
      <w:r>
        <w:rPr>
          <w:shd w:fill="E7E6E6"/>
        </w:rPr>
        <w:t>SPY</w:t>
      </w:r>
      <w:r>
        <w:t xml:space="preserve"> -0.06%，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+0.13pp，等权参与度优于市值加权。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相对 </w:t>
      </w:r>
      <w:r>
        <w:rPr>
          <w:shd w:fill="E7E6E6"/>
        </w:rPr>
        <w:t>USMV</w:t>
      </w:r>
      <w:r>
        <w:t xml:space="preserve"> 走弱，小盘相对大盘走弱；在宏观美元与油价同时偏强的环境下，对冲基金更可能采取 de-grossing，而不是单向全面做空。其典型路径是砍掉高 Beta 多头、回补此前已拥挤的空头，因此个别高空头光模块或存储名字若逆势反弹，不能直接解释为基本面反转，需等待成交、借券、期权执行方向和后续指引确认。公开数据没有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 / Muse Wonder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META +3.38%；官方发布 Muse Wonder 与 Muse Wonder Full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平台 AI 产品进展改善大型科技相对强度；尚不能外推为全行业硬件需求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AVGO -1.88%；当日有 CEO 对 AI 预期过高/投资者行为的二手报道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二手报道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更像估值与预期重估；不是新财报，不把 9/2 财报重复写成今日催化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光通信硬件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LITE/CIEN/COHR/AAOI/CRDO 同步大跌，未见单一公司新公告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板块重定价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供给、估值、拥挤仓位或产业链预期同时收缩；不能硬归因于 FCC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ORCL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本日未发现新财报或新指引证据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历史背景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不纳入今日催化；只在云基础设施相对表现需要时作为背景参照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spacing w:after="120" w:line="276" w:lineRule="auto"/>
      </w:pPr>
      <w:r>
        <w:t>AI</w:t>
      </w:r>
      <w:r>
        <w:t xml:space="preserve"> 链条分层：Tier 1 中 </w:t>
      </w:r>
      <w:r>
        <w:rPr>
          <w:shd w:fill="E7E6E6"/>
        </w:rPr>
        <w:t>META</w:t>
      </w:r>
      <w:r>
        <w:t xml:space="preserve"> 逆势上涨，</w:t>
      </w:r>
      <w:r>
        <w:rPr>
          <w:shd w:fill="E7E6E6"/>
        </w:rPr>
        <w:t>NVDA</w:t>
      </w:r>
      <w:r>
        <w:t xml:space="preserve"> -1.29%、</w:t>
      </w:r>
      <w:r>
        <w:rPr>
          <w:shd w:fill="E7E6E6"/>
        </w:rPr>
        <w:t>AVGO</w:t>
      </w:r>
      <w:r>
        <w:t xml:space="preserve"> -1.88%，表现分化；Tier 2 的 </w:t>
      </w:r>
      <w:r>
        <w:rPr>
          <w:shd w:fill="E7E6E6"/>
        </w:rPr>
        <w:t>MU</w:t>
      </w:r>
      <w:r>
        <w:t xml:space="preserve"> -3.88%、</w:t>
      </w:r>
      <w:r>
        <w:rPr>
          <w:shd w:fill="E7E6E6"/>
        </w:rPr>
        <w:t>SNDK</w:t>
      </w:r>
      <w:r>
        <w:t xml:space="preserve"> -5.97%、</w:t>
      </w:r>
      <w:r>
        <w:rPr>
          <w:shd w:fill="E7E6E6"/>
        </w:rPr>
        <w:t>MRVL</w:t>
      </w:r>
      <w:r>
        <w:t xml:space="preserve"> -3.42%、</w:t>
      </w:r>
      <w:r>
        <w:rPr>
          <w:shd w:fill="E7E6E6"/>
        </w:rPr>
        <w:t>CRDO</w:t>
      </w:r>
      <w:r>
        <w:t xml:space="preserve"> -7.25%、</w:t>
      </w:r>
      <w:r>
        <w:rPr>
          <w:shd w:fill="E7E6E6"/>
        </w:rPr>
        <w:t>LITE</w:t>
      </w:r>
      <w:r>
        <w:t xml:space="preserve"> -9.78%、</w:t>
      </w:r>
      <w:r>
        <w:rPr>
          <w:shd w:fill="E7E6E6"/>
        </w:rPr>
        <w:t>COHR</w:t>
      </w:r>
      <w:r>
        <w:t xml:space="preserve"> -7.87%显著承压；Tier 3 也不是同质，</w:t>
      </w:r>
      <w:r>
        <w:rPr>
          <w:shd w:fill="E7E6E6"/>
        </w:rPr>
        <w:t>VRT</w:t>
      </w:r>
      <w:r>
        <w:t>/</w:t>
      </w:r>
      <w:r>
        <w:rPr>
          <w:shd w:fill="E7E6E6"/>
        </w:rPr>
        <w:t>CEG</w:t>
      </w:r>
      <w:r>
        <w:t>/</w:t>
      </w:r>
      <w:r>
        <w:rPr>
          <w:shd w:fill="E7E6E6"/>
        </w:rPr>
        <w:t>NRG</w:t>
      </w:r>
      <w:r>
        <w:t xml:space="preserve"> 受能源与电力叙事影响相对独立。今天不是“</w:t>
      </w:r>
      <w:r>
        <w:t>AI</w:t>
      </w:r>
      <w:r>
        <w:t xml:space="preserve"> 全线崩”，而是资金把最依赖持续加速订单、估值和资本开支预期的二阶硬件资产先降仓。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spacing w:after="120" w:line="276" w:lineRule="auto"/>
      </w:pPr>
      <w:r>
        <w:t>异动原因必须逐个核验：</w:t>
      </w:r>
      <w:r>
        <w:rPr>
          <w:shd w:fill="E7E6E6"/>
        </w:rPr>
        <w:t>FICO</w:t>
      </w:r>
      <w:r>
        <w:t xml:space="preserve"> +10.85%伴随约 2.16 倍成交，属于强催化/预期重估候选，但本次公开数据未给出足够单一事件证据，标注为“待验”；</w:t>
      </w:r>
      <w:r>
        <w:rPr>
          <w:shd w:fill="E7E6E6"/>
        </w:rPr>
        <w:t>FIGS</w:t>
      </w:r>
      <w:r>
        <w:t xml:space="preserve"> +12.42%伴随约 3.83 倍成交，需核查业绩、产品或卖方报告；</w:t>
      </w:r>
      <w:r>
        <w:rPr>
          <w:shd w:fill="E7E6E6"/>
        </w:rPr>
        <w:t>MDT</w:t>
      </w:r>
      <w:r>
        <w:t xml:space="preserve"> +3.90%相对医疗器械 ETF走强，属于行业内部 Alpha。反面是光通信簇跌幅接近 -8%至 -10%，而非通信服务 ETF同步大跌，说明个股/子行业因素占主导。</w:t>
      </w:r>
    </w:p>
    <w:p>
      <w:pPr>
        <w:pStyle w:val="Heading1"/>
        <w:keepNext/>
      </w:pPr>
      <w:r>
        <w:t>7. Non-Tech Sector Scan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流入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油价上涨与通胀/现金流防御共振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流入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防御与稳定现金流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流入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+0.69% / +2.03%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 强于 XLV，行业内部偏器械 Alpha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流入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+0.97%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META、无线运营商支撑，非单一软件行情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流出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+0.02% / -0.76%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流出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-1.54% / -3.55%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生物科技内部偏风险收缩，TWST等个股需单独解释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-9.78%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约1.43x均量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光通信硬件簇同步杀估值；单一 FCC 因素证据不足，列为板块重定价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-9.95%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高波动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 LITE/COHR/AAOI 同步，偏行业预期与仓位收缩；二手市场文章未替代公司公告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-5.97%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高 Beta/存储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AI 硬件链预期降温与高位去杠杆，未找到当日新财报证据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-7.25%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网络互联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Tier 2 相对弱于 Tier 1；需后续订单/客户验证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-9.07%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主题高 Beta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高 Beta 与成长风险偏好收缩，暂不写成基本面单因子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资金主线不是单一板块，而是三条并行路径：第一，能源与必选消费承接宏观不确定性；第二，通信服务由 </w:t>
      </w:r>
      <w:r>
        <w:rPr>
          <w:shd w:fill="E7E6E6"/>
        </w:rPr>
        <w:t>META</w:t>
      </w:r>
      <w:r>
        <w:t xml:space="preserve"> 和运营商支撑，表现为平台/现金流而非纯成长扩张；第三，科技内部从 Tier 2 高弹性硬件向 Tier 1 平台与防御性资产收缩。广度为正且 </w:t>
      </w:r>
      <w:r>
        <w:rPr>
          <w:shd w:fill="E7E6E6"/>
        </w:rPr>
        <w:t>RSP</w:t>
      </w:r>
      <w:r>
        <w:t xml:space="preserve"> 跑赢 </w:t>
      </w:r>
      <w:r>
        <w:rPr>
          <w:shd w:fill="E7E6E6"/>
        </w:rPr>
        <w:t>SPY</w:t>
      </w:r>
      <w:r>
        <w:t xml:space="preserve">，说明有真实参与，但 </w:t>
      </w:r>
      <w:r>
        <w:rPr>
          <w:shd w:fill="E7E6E6"/>
        </w:rPr>
        <w:t>QQQ</w:t>
      </w:r>
      <w:r>
        <w:t xml:space="preserve"> 跑输 </w:t>
      </w:r>
      <w:r>
        <w:rPr>
          <w:shd w:fill="E7E6E6"/>
        </w:rPr>
        <w:t>RSP</w:t>
      </w:r>
      <w:r>
        <w:t>、High Beta 跑输 Low Vol，说明增量资金更挑剔。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22.0%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2.29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5.52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69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2026-10-12 19:41 ET；无执行方向确认。。</w:t>
      </w:r>
    </w:p>
    <w:p>
      <w:pPr>
        <w:spacing w:after="120" w:line="276" w:lineRule="auto"/>
      </w:pPr>
      <w:r>
        <w:t>解读规则：</w:t>
      </w:r>
      <w:r>
        <w:rPr>
          <w:shd w:fill="E7E6E6"/>
        </w:rPr>
        <w:t>CIEN</w:t>
      </w:r>
      <w:r>
        <w:t xml:space="preserve"> 的远月执行价集中度约 46.98%、</w:t>
      </w:r>
      <w:r>
        <w:rPr>
          <w:shd w:fill="E7E6E6"/>
        </w:rPr>
        <w:t>AAOI</w:t>
      </w:r>
      <w:r>
        <w:t xml:space="preserve"> 约 21.18%、</w:t>
      </w:r>
      <w:r>
        <w:t>TWST</w:t>
      </w:r>
      <w:r>
        <w:t xml:space="preserve"> 约 28.97%、</w:t>
      </w:r>
      <w:r>
        <w:rPr>
          <w:shd w:fill="E7E6E6"/>
        </w:rPr>
        <w:t>MRVL</w:t>
      </w:r>
      <w:r>
        <w:t xml:space="preserve"> 约 22.40%，说明成交/未平仓结构可能围绕少数执行价聚集，常见含义包括事件对冲、做市商库存管理、价位 pinning 或投机性集中下注；它不等于“看涨/看跌”。</w:t>
      </w:r>
      <w:r>
        <w:rPr>
          <w:shd w:fill="E7E6E6"/>
        </w:rPr>
        <w:t>MU</w:t>
      </w:r>
      <w:r>
        <w:t xml:space="preserve"> 同时触发 Call Volume/</w:t>
      </w:r>
      <w:r>
        <w:t>OI</w:t>
      </w:r>
      <w:r>
        <w:t xml:space="preserve"> 与 Put Volume/</w:t>
      </w:r>
      <w:r>
        <w:t>OI</w:t>
      </w:r>
      <w:r>
        <w:t xml:space="preserve"> 阈值，说明期权活跃度异常，但公开链没有买卖方向、开平仓、扫单/大宗标签，不能把它写成净买入或净卖出。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15.21 / 85.93 / 155.06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今天可确认的是价格与横截面结构：指数近乎平盘、广度偏正、</w:t>
      </w:r>
      <w:r>
        <w:rPr>
          <w:shd w:fill="E7E6E6"/>
        </w:rPr>
        <w:t>QQQ</w:t>
      </w:r>
      <w:r>
        <w:t>/</w:t>
      </w:r>
      <w:r>
        <w:rPr>
          <w:shd w:fill="E7E6E6"/>
        </w:rPr>
        <w:t>RSP</w:t>
      </w:r>
      <w:r>
        <w:t xml:space="preserve"> 走弱、高 Beta/小盘走弱。因此对冲基金去杠杆是一个结构性假设，而不是已经被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10/13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下一交易日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10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数据完整性：Yahoo Finance Chart </w:t>
      </w:r>
      <w:r>
        <w:t>API</w:t>
      </w:r>
      <w:r>
        <w:t xml:space="preserve"> 取得收盘与历史收益；S&amp;P 500 成分广度抓取成功 503/503；期权链抓取成功但为公开链快照；盘中 5分钟数据接口返回空序列，</w:t>
      </w:r>
      <w:r>
        <w:t>MOC</w:t>
      </w:r>
      <w:r>
        <w:t>/尾盘20分钟不可得；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、执行方向均不可得。所有不可得项均保留为“不可得”，没有用估计值替代。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19">
        <w:r>
          <w:rPr/>
          <w:t>AP market recap（指数、板块与个股收盘摘要）</w:t>
        </w:r>
      </w:hyperlink>
    </w:p>
    <w:p>
      <w:hyperlink r:id="rId20">
        <w:r>
          <w:rPr/>
          <w:t>Meta 官方：Muse Wonder / Muse Wonder Full</w:t>
        </w:r>
      </w:hyperlink>
    </w:p>
    <w:p>
      <w:hyperlink r:id="rId21">
        <w:r>
          <w:rPr/>
          <w:t>Broadcom CEO AI 预期相关二手报道</w:t>
        </w:r>
      </w:hyperlink>
    </w:p>
    <w:p>
      <w:hyperlink r:id="rId22">
        <w:r>
          <w:rPr/>
          <w:t>Nasdaq public option chain example: LITE</w:t>
        </w:r>
      </w:hyperlink>
    </w:p>
    <w:p>
      <w:hyperlink r:id="rId23">
        <w:r>
          <w:rPr/>
          <w:t>Yahoo Finance Chart API example: SPY</w:t>
        </w:r>
      </w:hyperlink>
    </w:p>
    <w:p>
      <w:hyperlink r:id="rId24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apnews.com/article/f07713e8b2e438ac5903b50f5ce97235" TargetMode="External"/><Relationship Id="rId20" Type="http://schemas.openxmlformats.org/officeDocument/2006/relationships/hyperlink" Target="https://about.fb.com/news/2026/10/introducing-muse-wonder-models/" TargetMode="External"/><Relationship Id="rId21" Type="http://schemas.openxmlformats.org/officeDocument/2006/relationships/hyperlink" Target="https://www.investing.com/news/stock-market-news/broadcom-ceo-says-many-ai-investors-are-gamblers-4943815" TargetMode="External"/><Relationship Id="rId22" Type="http://schemas.openxmlformats.org/officeDocument/2006/relationships/hyperlink" Target="https://www.nasdaq.com/market-activity/stocks/lite/option-chain" TargetMode="External"/><Relationship Id="rId23" Type="http://schemas.openxmlformats.org/officeDocument/2006/relationships/hyperlink" Target="https://query1.finance.yahoo.com/v8/finance/chart/SPY" TargetMode="External"/><Relationship Id="rId24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