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2026-10-26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报告日期：2026-10-27（北京时间）｜覆盖交易日：2026-10-26（美国现金盘）｜数据截点：收盘及可获得的盘后公开链数据。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+0.28%、标普500 +0.70%、纳指 +0.82%、Russell 2000 +0.38%；S&amp;P 500 广度为上涨 343、下跌 160，涨跌比 2.14。板块当日相对强弱由 </w:t>
      </w:r>
      <w:r>
        <w:rPr>
          <w:highlight w:val="yellow"/>
          <w:shd w:fill="E7E6E6"/>
        </w:rPr>
        <w:t>SOXX</w:t>
      </w:r>
      <w:r>
        <w:rPr>
          <w:highlight w:val="yellow"/>
        </w:rPr>
        <w:t>（半导体）+2.85%、</w:t>
      </w:r>
      <w:r>
        <w:rPr>
          <w:highlight w:val="yellow"/>
          <w:shd w:fill="E7E6E6"/>
        </w:rPr>
        <w:t>SMH</w:t>
      </w:r>
      <w:r>
        <w:rPr>
          <w:highlight w:val="yellow"/>
        </w:rPr>
        <w:t>（半导体）+2.74%、</w:t>
      </w:r>
      <w:r>
        <w:rPr>
          <w:highlight w:val="yellow"/>
          <w:shd w:fill="E7E6E6"/>
        </w:rPr>
        <w:t>ITA</w:t>
      </w:r>
      <w:r>
        <w:rPr>
          <w:highlight w:val="yellow"/>
        </w:rPr>
        <w:t>（航空航天/国防）+2.44% 领跑，</w:t>
      </w:r>
      <w:r>
        <w:rPr>
          <w:highlight w:val="yellow"/>
          <w:shd w:fill="E7E6E6"/>
        </w:rPr>
        <w:t>XME</w:t>
      </w:r>
      <w:r>
        <w:rPr>
          <w:highlight w:val="yellow"/>
        </w:rPr>
        <w:t>（金属与矿业）-0.37%、</w:t>
      </w:r>
      <w:r>
        <w:rPr>
          <w:highlight w:val="yellow"/>
          <w:shd w:fill="E7E6E6"/>
        </w:rPr>
        <w:t>XHB</w:t>
      </w:r>
      <w:r>
        <w:rPr>
          <w:highlight w:val="yellow"/>
        </w:rPr>
        <w:t>（住宅建筑）-0.44%、</w:t>
      </w:r>
      <w:r>
        <w:rPr>
          <w:highlight w:val="yellow"/>
          <w:shd w:fill="E7E6E6"/>
        </w:rPr>
        <w:t>XLC</w:t>
      </w:r>
      <w:r>
        <w:rPr>
          <w:highlight w:val="yellow"/>
        </w:rPr>
        <w:t>（通信服务）-1.57%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52,361.58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7,676.77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+0.70%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26,169.38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+0.82%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-0.99%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2,786.42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+2.13%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18.39 / 101.43 / 150.97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-5.45%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102.01 / 101.35 / 8.02万美元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+0.19% / WTI -1.86% / BTC +0.17%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SOXX</w:t>
      </w:r>
      <w:r>
        <w:t>（半导体）+2.85%、</w:t>
      </w:r>
      <w:r>
        <w:rPr>
          <w:shd w:fill="E7E6E6"/>
        </w:rPr>
        <w:t>SMH</w:t>
      </w:r>
      <w:r>
        <w:t>（半导体）+2.74%、</w:t>
      </w:r>
      <w:r>
        <w:rPr>
          <w:shd w:fill="E7E6E6"/>
        </w:rPr>
        <w:t>ITA</w:t>
      </w:r>
      <w:r>
        <w:t xml:space="preserve">（航空航天/国防）+2.44%，相对最弱为 </w:t>
      </w:r>
      <w:r>
        <w:rPr>
          <w:shd w:fill="E7E6E6"/>
        </w:rPr>
        <w:t>XME</w:t>
      </w:r>
      <w:r>
        <w:t>（金属与矿业）-0.37%、</w:t>
      </w:r>
      <w:r>
        <w:rPr>
          <w:shd w:fill="E7E6E6"/>
        </w:rPr>
        <w:t>XHB</w:t>
      </w:r>
      <w:r>
        <w:t>（住宅建筑）-0.44%、</w:t>
      </w:r>
      <w:r>
        <w:rPr>
          <w:shd w:fill="E7E6E6"/>
        </w:rPr>
        <w:t>XLC</w:t>
      </w:r>
      <w:r>
        <w:t xml:space="preserve">（通信服务）-1.57%；上涨占比 68.2%。需要把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SOXX</w:t>
      </w:r>
      <w:r>
        <w:t>（半导体）+2.85%、</w:t>
      </w:r>
      <w:r>
        <w:rPr>
          <w:shd w:fill="E7E6E6"/>
        </w:rPr>
        <w:t>SMH</w:t>
      </w:r>
      <w:r>
        <w:t>（半导体）+2.74%、</w:t>
      </w:r>
      <w:r>
        <w:rPr>
          <w:shd w:fill="E7E6E6"/>
        </w:rPr>
        <w:t>ITA</w:t>
      </w:r>
      <w:r>
        <w:t xml:space="preserve">（航空航天/国防）+2.44%，相对压力集中在 </w:t>
      </w:r>
      <w:r>
        <w:rPr>
          <w:shd w:fill="E7E6E6"/>
        </w:rPr>
        <w:t>XME</w:t>
      </w:r>
      <w:r>
        <w:t>（金属与矿业）-0.37%、</w:t>
      </w:r>
      <w:r>
        <w:rPr>
          <w:shd w:fill="E7E6E6"/>
        </w:rPr>
        <w:t>XHB</w:t>
      </w:r>
      <w:r>
        <w:t>（住宅建筑）-0.44%、</w:t>
      </w:r>
      <w:r>
        <w:rPr>
          <w:shd w:fill="E7E6E6"/>
        </w:rPr>
        <w:t>XLC</w:t>
      </w:r>
      <w:r>
        <w:t xml:space="preserve">（通信服务）-1.57%；20日维度需要结合热图判断是否只是短期反转。没有直接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+8.19%、</w:t>
      </w:r>
      <w:r>
        <w:rPr>
          <w:shd w:fill="E7E6E6"/>
        </w:rPr>
        <w:t>CIEN</w:t>
      </w:r>
      <w:r>
        <w:t xml:space="preserve"> +4.89%、</w:t>
      </w:r>
      <w:r>
        <w:rPr>
          <w:shd w:fill="E7E6E6"/>
        </w:rPr>
        <w:t>COHR</w:t>
      </w:r>
      <w:r>
        <w:t xml:space="preserve"> +5.83%、</w:t>
      </w:r>
      <w:r>
        <w:rPr>
          <w:shd w:fill="E7E6E6"/>
        </w:rPr>
        <w:t>AAOI</w:t>
      </w:r>
      <w:r>
        <w:t xml:space="preserve"> +6.56%、</w:t>
      </w:r>
      <w:r>
        <w:rPr>
          <w:shd w:fill="E7E6E6"/>
        </w:rPr>
        <w:t>CRDO</w:t>
      </w:r>
      <w:r>
        <w:t xml:space="preserve"> +2.62%、</w:t>
      </w:r>
      <w:r>
        <w:rPr>
          <w:shd w:fill="E7E6E6"/>
        </w:rPr>
        <w:t>FICO</w:t>
      </w:r>
      <w:r>
        <w:t xml:space="preserve"> -13.15%、</w:t>
      </w:r>
      <w:r>
        <w:rPr>
          <w:shd w:fill="E7E6E6"/>
        </w:rPr>
        <w:t>FIGS</w:t>
      </w:r>
      <w:r>
        <w:t xml:space="preserve"> +3.12%、</w:t>
      </w:r>
      <w:r>
        <w:rPr>
          <w:shd w:fill="E7E6E6"/>
        </w:rPr>
        <w:t>MDT</w:t>
      </w:r>
      <w:r>
        <w:t xml:space="preserve"> -0.65%。这些是价格/成交异常候选，若当天没有新公告、研报、公司交流或可验证传闻，只能标为结构性重定价或待验，不能把行业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+3.03%，软件等权 +1.33%，价差（Semi - Software）+1.70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+2.13pp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-7.11pp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-17.95pp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+8.00pp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-5.18pp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-5.71pp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-6.90pp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-9.11pp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+0.98pp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-2.49pp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+1.64pp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-3.33pp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-13.77pp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-3.72pp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-13.79pp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+2.25pp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+2.13pp / 5D -7.11pp / 20D -17.95pp（REVERSING）；Mag7 - Tech ex-Mag7 1D -1.34pp / 5D -2.85pp / 20D +8.00pp（REVERSING）；Mag7 - </w:t>
      </w:r>
      <w:r>
        <w:rPr>
          <w:shd w:fill="E7E6E6"/>
        </w:rPr>
        <w:t>RSP</w:t>
      </w:r>
      <w:r>
        <w:t xml:space="preserve"> 1D +0.19pp / 5D -5.18pp / 20D -5.71pp（UNCLEAR）；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+0.76pp / 5D -2.68pp / 20D -6.90pp（CONFIRMED）；Growth - Defensive 1D +1.21pp / 5D -2.69pp / 20D -9.11pp（REVERSING）；Cyclical - Defensive 1D +0.98pp / 5D -1.10pp / 20D -2.49pp（CONFIRMED）；</w:t>
      </w:r>
      <w:r>
        <w:t>AI</w:t>
      </w:r>
      <w:r>
        <w:t xml:space="preserve"> CapEx - </w:t>
      </w:r>
      <w:r>
        <w:t>AI</w:t>
      </w:r>
      <w:r>
        <w:t xml:space="preserve"> Applications 1D +1.64pp / 5D -3.33pp / 20D -13.77pp（REVERSING）；High Beta - Low Vol 1D +1.21pp / 5D -3.72pp / 20D -13.79pp（REVERSING）；Small Cap - Large Cap 1D -0.26pp / 5D +2.25pp / 20D -1.05pp（UNCLEAR）。上涨占比 68.2%，因此需把指数方向、横截面参与度和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343、下跌 160、不变 0，上涨占比 68.2%，涨跌比 2.14；252日新高 45、新低 14。这不是“全市场风险关闭”，而是指数权重和主题结构在切换。</w:t>
      </w:r>
      <w:r>
        <w:rPr>
          <w:shd w:fill="E7E6E6"/>
        </w:rPr>
        <w:t>RSP</w:t>
      </w:r>
      <w:r>
        <w:t xml:space="preserve"> 当日 +0.35%，</w:t>
      </w:r>
      <w:r>
        <w:rPr>
          <w:shd w:fill="E7E6E6"/>
        </w:rPr>
        <w:t>SPY</w:t>
      </w:r>
      <w:r>
        <w:t xml:space="preserve"> +0.71%，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-0.36pp，等权参与度优于市值加权。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+1.66% 对比 </w:t>
      </w:r>
      <w:r>
        <w:rPr>
          <w:shd w:fill="E7E6E6"/>
        </w:rPr>
        <w:t>USMV</w:t>
      </w:r>
      <w:r>
        <w:t xml:space="preserve"> +0.46%（差 +1.21pp），</w:t>
      </w:r>
      <w:r>
        <w:rPr>
          <w:shd w:fill="E7E6E6"/>
        </w:rPr>
        <w:t>IWM</w:t>
      </w:r>
      <w:r>
        <w:t xml:space="preserve"> +0.45% 对比 </w:t>
      </w:r>
      <w:r>
        <w:rPr>
          <w:shd w:fill="E7E6E6"/>
        </w:rPr>
        <w:t>SPY</w:t>
      </w:r>
      <w:r>
        <w:t xml:space="preserve"> +0.71%（差 -0.26pp）。在宏观美元与油价同时偏强的环境下，对冲基金去杠杆是一个待验证的结构性假设，而不是已经被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-13.15%；成交 2.35x均量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+8.19%；成交 1.17x均量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+6.56%；成交 1.20x均量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ARM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+6.19%；成交 0.74x均量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NOK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+6.14%；成交 1.59x均量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+5.83%；成交 0.92x均量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+2.39%、</w:t>
      </w:r>
      <w:r>
        <w:rPr>
          <w:shd w:fill="E7E6E6"/>
        </w:rPr>
        <w:t>AVGO</w:t>
      </w:r>
      <w:r>
        <w:t xml:space="preserve"> +2.33%、</w:t>
      </w:r>
      <w:r>
        <w:rPr>
          <w:shd w:fill="E7E6E6"/>
        </w:rPr>
        <w:t>MSFT</w:t>
      </w:r>
      <w:r>
        <w:t xml:space="preserve"> +1.54%、</w:t>
      </w:r>
      <w:r>
        <w:rPr>
          <w:shd w:fill="E7E6E6"/>
        </w:rPr>
        <w:t>META</w:t>
      </w:r>
      <w:r>
        <w:t xml:space="preserve"> -1.88%；Tier 2 网络、存储和光互联代表为 </w:t>
      </w:r>
      <w:r>
        <w:rPr>
          <w:shd w:fill="E7E6E6"/>
        </w:rPr>
        <w:t>MU</w:t>
      </w:r>
      <w:r>
        <w:t xml:space="preserve"> +2.98%、</w:t>
      </w:r>
      <w:r>
        <w:rPr>
          <w:shd w:fill="E7E6E6"/>
        </w:rPr>
        <w:t>SNDK</w:t>
      </w:r>
      <w:r>
        <w:t xml:space="preserve"> +1.42%、</w:t>
      </w:r>
      <w:r>
        <w:rPr>
          <w:shd w:fill="E7E6E6"/>
        </w:rPr>
        <w:t>MRVL</w:t>
      </w:r>
      <w:r>
        <w:t xml:space="preserve"> +2.31%、</w:t>
      </w:r>
      <w:r>
        <w:rPr>
          <w:shd w:fill="E7E6E6"/>
        </w:rPr>
        <w:t>CRDO</w:t>
      </w:r>
      <w:r>
        <w:t xml:space="preserve"> +2.62%、</w:t>
      </w:r>
      <w:r>
        <w:rPr>
          <w:shd w:fill="E7E6E6"/>
        </w:rPr>
        <w:t>LITE</w:t>
      </w:r>
      <w:r>
        <w:t xml:space="preserve"> +8.19%、</w:t>
      </w:r>
      <w:r>
        <w:rPr>
          <w:shd w:fill="E7E6E6"/>
        </w:rPr>
        <w:t>COHR</w:t>
      </w:r>
      <w:r>
        <w:t xml:space="preserve"> +5.83%。这组数据只能说明当天价格速度和相对分化，不能单独证明订单、客户或资本开支发生变化；后者需要公司公告、会议或可复核产业数据。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FICO</w:t>
      </w:r>
      <w:r>
        <w:t xml:space="preserve"> -13.15%（成交约2.35x均量）；</w:t>
      </w:r>
      <w:r>
        <w:rPr>
          <w:shd w:fill="E7E6E6"/>
        </w:rPr>
        <w:t>LITE</w:t>
      </w:r>
      <w:r>
        <w:t xml:space="preserve"> +8.19%（成交约1.17x均量）；</w:t>
      </w:r>
      <w:r>
        <w:rPr>
          <w:shd w:fill="E7E6E6"/>
        </w:rPr>
        <w:t>AAOI</w:t>
      </w:r>
      <w:r>
        <w:t xml:space="preserve"> +6.56%（成交约1.20x均量）；</w:t>
      </w:r>
      <w:r>
        <w:rPr>
          <w:shd w:fill="E7E6E6"/>
        </w:rPr>
        <w:t>ARM</w:t>
      </w:r>
      <w:r>
        <w:t xml:space="preserve"> +6.19%（成交约0.74x均量）；</w:t>
      </w:r>
      <w:r>
        <w:rPr>
          <w:shd w:fill="E7E6E6"/>
        </w:rPr>
        <w:t>NOK</w:t>
      </w:r>
      <w:r>
        <w:t xml:space="preserve"> +6.14%（成交约1.59x均量）；</w:t>
      </w:r>
      <w:r>
        <w:rPr>
          <w:shd w:fill="E7E6E6"/>
        </w:rPr>
        <w:t>COHR</w:t>
      </w:r>
      <w:r>
        <w:t xml:space="preserve"> +5.83%（成交约0.92x均量）。这些名字先记录为价格/成交异常，随后核对同日公告、研报、公司交流、行业数据或传闻原始出处；没有证据时保留“待验”，不把涨跌倒推成原因。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+0.45%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+0.00% / +0.22%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+0.22pp，行业内部需拆分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-1.57%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+0.14% / -0.44%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+0.62% / +1.16%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502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5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81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-13.15%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2.35x均量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MSTR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-4.24%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0.64x均量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VZ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-3.49%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2.13x均量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LCID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-3.41%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0.59x均量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COIN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-2.95%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0.57x均量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CMCSA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-2.82%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0.90x均量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SOXX</w:t>
      </w:r>
      <w:r>
        <w:t>（半导体）+2.85%、</w:t>
      </w:r>
      <w:r>
        <w:rPr>
          <w:shd w:fill="E7E6E6"/>
        </w:rPr>
        <w:t>SMH</w:t>
      </w:r>
      <w:r>
        <w:t>（半导体）+2.74%、</w:t>
      </w:r>
      <w:r>
        <w:rPr>
          <w:shd w:fill="E7E6E6"/>
        </w:rPr>
        <w:t>ITA</w:t>
      </w:r>
      <w:r>
        <w:t xml:space="preserve">（航空航天/国防）+2.44%，后列为 </w:t>
      </w:r>
      <w:r>
        <w:rPr>
          <w:shd w:fill="E7E6E6"/>
        </w:rPr>
        <w:t>XME</w:t>
      </w:r>
      <w:r>
        <w:t>（金属与矿业）-0.37%、</w:t>
      </w:r>
      <w:r>
        <w:rPr>
          <w:shd w:fill="E7E6E6"/>
        </w:rPr>
        <w:t>XHB</w:t>
      </w:r>
      <w:r>
        <w:t>（住宅建筑）-0.44%、</w:t>
      </w:r>
      <w:r>
        <w:rPr>
          <w:shd w:fill="E7E6E6"/>
        </w:rPr>
        <w:t>XLC</w:t>
      </w:r>
      <w:r>
        <w:t>（通信服务）-1.57%；S&amp;P 广度上涨占比 68.2%，</w:t>
      </w:r>
      <w:r>
        <w:rPr>
          <w:shd w:fill="E7E6E6"/>
        </w:rPr>
        <w:t>RSP</w:t>
      </w:r>
      <w:r>
        <w:t xml:space="preserve"> +0.35% 对比 </w:t>
      </w:r>
      <w:r>
        <w:rPr>
          <w:shd w:fill="E7E6E6"/>
        </w:rPr>
        <w:t>SPY</w:t>
      </w:r>
      <w:r>
        <w:t xml:space="preserve"> +0.71%。这能支持参与度和相对偏好的判断，但没有直接基金流、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2.38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2.96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2.35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24.9%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2.34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6.7%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2.49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2.27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0.65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24.2%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21.5%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8.12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212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21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2026-10-26T20:20:36-04:00；无执行方向确认。。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TWST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18.39 / 101.43 / 150.97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+0.70%、纳指 +0.82%，广度上涨占比 68.2%，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+0.76pp，高 Beta 对低波动为 +1.21pp。因此对冲基金去杠杆仍是结构性假设，而不是已经被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2026-10-26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