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2026-10-13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报告日期：2026-10-14（北京时间）｜覆盖交易日：2026-10-13（美国现金盘）｜数据截点：收盘及可获得的盘后公开链数据。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-0.35%、标普500 -0.02%、纳指 -0.15%、Russell 2000 -0.40%；S&amp;P 500 广度为上涨 265、下跌 237，涨跌比 1.12。板块当日相对强弱由 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（能源）+1.80%、</w:t>
      </w:r>
      <w:r>
        <w:rPr>
          <w:highlight w:val="yellow"/>
          <w:shd w:fill="E7E6E6"/>
        </w:rPr>
        <w:t>XLC</w:t>
      </w:r>
      <w:r>
        <w:rPr>
          <w:highlight w:val="yellow"/>
        </w:rPr>
        <w:t>（通信服务）+0.74%、</w:t>
      </w:r>
      <w:r>
        <w:rPr>
          <w:highlight w:val="yellow"/>
          <w:shd w:fill="E7E6E6"/>
        </w:rPr>
        <w:t>XHB</w:t>
      </w:r>
      <w:r>
        <w:rPr>
          <w:highlight w:val="yellow"/>
        </w:rPr>
        <w:t>（住宅建筑）+0.62% 领跑，</w:t>
      </w:r>
      <w:r>
        <w:rPr>
          <w:highlight w:val="yellow"/>
          <w:shd w:fill="E7E6E6"/>
        </w:rPr>
        <w:t>XLV</w:t>
      </w:r>
      <w:r>
        <w:rPr>
          <w:highlight w:val="yellow"/>
        </w:rPr>
        <w:t>（医疗保健）-1.35%、</w:t>
      </w:r>
      <w:r>
        <w:rPr>
          <w:highlight w:val="yellow"/>
          <w:shd w:fill="E7E6E6"/>
        </w:rPr>
        <w:t>GDX</w:t>
      </w:r>
      <w:r>
        <w:rPr>
          <w:highlight w:val="yellow"/>
        </w:rPr>
        <w:t>（黄金矿业）-1.46%、</w:t>
      </w:r>
      <w:r>
        <w:rPr>
          <w:highlight w:val="yellow"/>
          <w:shd w:fill="E7E6E6"/>
        </w:rPr>
        <w:t>XBI</w:t>
      </w:r>
      <w:r>
        <w:rPr>
          <w:highlight w:val="yellow"/>
        </w:rPr>
        <w:t>（生物医药）-3.04%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51,670.10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7,805.45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指数平稳，内部并非平稳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27,204.38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成长权重承压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2,783.37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-0.40%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15.27 / 85.38 / 154.74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波动率温和上行，尾部定价偏高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102.17 / 94.90 / 83,406.17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美元/油涨，BTC跌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宏观流动性与风险偏好分化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XLE</w:t>
      </w:r>
      <w:r>
        <w:t>（能源）+1.80%、</w:t>
      </w:r>
      <w:r>
        <w:rPr>
          <w:shd w:fill="E7E6E6"/>
        </w:rPr>
        <w:t>XLC</w:t>
      </w:r>
      <w:r>
        <w:t>（通信服务）+0.74%、</w:t>
      </w:r>
      <w:r>
        <w:rPr>
          <w:shd w:fill="E7E6E6"/>
        </w:rPr>
        <w:t>XHB</w:t>
      </w:r>
      <w:r>
        <w:t xml:space="preserve">（住宅建筑）+0.62%，相对最弱为 </w:t>
      </w:r>
      <w:r>
        <w:rPr>
          <w:shd w:fill="E7E6E6"/>
        </w:rPr>
        <w:t>XLV</w:t>
      </w:r>
      <w:r>
        <w:t>（医疗保健）-1.35%、</w:t>
      </w:r>
      <w:r>
        <w:rPr>
          <w:shd w:fill="E7E6E6"/>
        </w:rPr>
        <w:t>GDX</w:t>
      </w:r>
      <w:r>
        <w:t>（黄金矿业）-1.46%、</w:t>
      </w:r>
      <w:r>
        <w:rPr>
          <w:shd w:fill="E7E6E6"/>
        </w:rPr>
        <w:t>XBI</w:t>
      </w:r>
      <w:r>
        <w:t xml:space="preserve">（生物医药）-3.04%；上涨占比 52.7%。需要把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XLE</w:t>
      </w:r>
      <w:r>
        <w:t>（能源）+1.80%、</w:t>
      </w:r>
      <w:r>
        <w:rPr>
          <w:shd w:fill="E7E6E6"/>
        </w:rPr>
        <w:t>XLC</w:t>
      </w:r>
      <w:r>
        <w:t>（通信服务）+0.74%、</w:t>
      </w:r>
      <w:r>
        <w:rPr>
          <w:shd w:fill="E7E6E6"/>
        </w:rPr>
        <w:t>XHB</w:t>
      </w:r>
      <w:r>
        <w:t xml:space="preserve">（住宅建筑）+0.62%，相对压力集中在 </w:t>
      </w:r>
      <w:r>
        <w:rPr>
          <w:shd w:fill="E7E6E6"/>
        </w:rPr>
        <w:t>XLV</w:t>
      </w:r>
      <w:r>
        <w:t>（医疗保健）-1.35%、</w:t>
      </w:r>
      <w:r>
        <w:rPr>
          <w:shd w:fill="E7E6E6"/>
        </w:rPr>
        <w:t>GDX</w:t>
      </w:r>
      <w:r>
        <w:t>（黄金矿业）-1.46%、</w:t>
      </w:r>
      <w:r>
        <w:rPr>
          <w:shd w:fill="E7E6E6"/>
        </w:rPr>
        <w:t>XBI</w:t>
      </w:r>
      <w:r>
        <w:t xml:space="preserve">（生物医药）-3.04%；20日维度需要结合热图判断是否只是短期反转。没有直接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-0.75%、</w:t>
      </w:r>
      <w:r>
        <w:rPr>
          <w:shd w:fill="E7E6E6"/>
        </w:rPr>
        <w:t>CIEN</w:t>
      </w:r>
      <w:r>
        <w:t xml:space="preserve"> -1.14%、</w:t>
      </w:r>
      <w:r>
        <w:rPr>
          <w:shd w:fill="E7E6E6"/>
        </w:rPr>
        <w:t>COHR</w:t>
      </w:r>
      <w:r>
        <w:t xml:space="preserve"> +0.68%、</w:t>
      </w:r>
      <w:r>
        <w:rPr>
          <w:shd w:fill="E7E6E6"/>
        </w:rPr>
        <w:t>AAOI</w:t>
      </w:r>
      <w:r>
        <w:t xml:space="preserve"> -2.88%、</w:t>
      </w:r>
      <w:r>
        <w:rPr>
          <w:shd w:fill="E7E6E6"/>
        </w:rPr>
        <w:t>CRDO</w:t>
      </w:r>
      <w:r>
        <w:t xml:space="preserve"> -1.26%、</w:t>
      </w:r>
      <w:r>
        <w:rPr>
          <w:shd w:fill="E7E6E6"/>
        </w:rPr>
        <w:t>FICO</w:t>
      </w:r>
      <w:r>
        <w:t xml:space="preserve"> -2.29%、</w:t>
      </w:r>
      <w:r>
        <w:rPr>
          <w:shd w:fill="E7E6E6"/>
        </w:rPr>
        <w:t>FIGS</w:t>
      </w:r>
      <w:r>
        <w:t xml:space="preserve"> +1.47%、</w:t>
      </w:r>
      <w:r>
        <w:rPr>
          <w:shd w:fill="E7E6E6"/>
        </w:rPr>
        <w:t>MDT</w:t>
      </w:r>
      <w:r>
        <w:t xml:space="preserve"> +1.17%。这些是价格/成交异常候选，若当天没有新公告、研报、公司交流或可验证传闻，只能标为结构性重定价或待验，不能把行业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-0.38%，软件等权 -0.18%，价差（Semi - Software）-0.20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+3.89pp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+7.15pp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+0.87pp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+7.92pp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+5.85pp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+4.51pp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+0.96pp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-0.99pp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-7.26pp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+3.73pp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-5.03pp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+4.34pp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-5.68pp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矩阵显示：</w:t>
      </w:r>
      <w:r>
        <w:rPr>
          <w:shd w:fill="E7E6E6"/>
        </w:rPr>
        <w:t>QQQ</w:t>
      </w:r>
      <w:r>
        <w:t xml:space="preserve"> 相对 </w:t>
      </w:r>
      <w:r>
        <w:rPr>
          <w:shd w:fill="E7E6E6"/>
        </w:rPr>
        <w:t>RSP</w:t>
      </w:r>
      <w:r>
        <w:t xml:space="preserve"> 的 1D/5D 明显走弱，Mag7 相对科技除 Mag7 仍有当日支撑；</w:t>
      </w:r>
      <w:r>
        <w:t>AI</w:t>
      </w:r>
      <w:r>
        <w:t xml:space="preserve"> CapEx 相对 </w:t>
      </w:r>
      <w:r>
        <w:t>AI</w:t>
      </w:r>
      <w:r>
        <w:t xml:space="preserve"> Applications、High Beta 相对 Low Vol 均转弱。大盘上涨家数超过下跌家数，说明“参与度”没有塌陷，但高弹性和高拥挤的资金速度在下降。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9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265、下跌 237、不变 1，上涨占比 52.7%，涨跌比 1.12；252日新高 17、新低 5。这不是“全市场风险关闭”，而是指数权重和主题结构在切换。</w:t>
      </w:r>
      <w:r>
        <w:rPr>
          <w:shd w:fill="E7E6E6"/>
        </w:rPr>
        <w:t>RSP</w:t>
      </w:r>
      <w:r>
        <w:t xml:space="preserve"> 当日 +0.05%，</w:t>
      </w:r>
      <w:r>
        <w:rPr>
          <w:shd w:fill="E7E6E6"/>
        </w:rPr>
        <w:t>SPY</w:t>
      </w:r>
      <w:r>
        <w:t xml:space="preserve"> -0.01%，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+0.06pp，等权参与度优于市值加权。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相对 </w:t>
      </w:r>
      <w:r>
        <w:rPr>
          <w:shd w:fill="E7E6E6"/>
        </w:rPr>
        <w:t>USMV</w:t>
      </w:r>
      <w:r>
        <w:t xml:space="preserve"> 走弱，小盘相对大盘走弱；在宏观美元与油价同时偏强的环境下，对冲基金更可能采取 de-grossing，而不是单向全面做空。其典型路径是砍掉高 Beta 多头、回补此前已拥挤的空头，因此个别高空头光模块或存储名字若逆势反弹，不能直接解释为基本面反转，需等待成交、借券、期权执行方向和后续指引确认。公开数据没有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 +2.63%；固定名单不自动升级为事件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价格/结构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只有找到同日产品、管理层或研究增量，才升级为事件催化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 +0.73%；本报告不重复历史财报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价格/结构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结合半导体等权、成交和期权结构判断，不把旧财报写成今日原因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光通信硬件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LITE/CIEN/COHR/AAOI/CRDO：LITE -0.75%、CIEN -1.14%、COHR +0.68%、AAOI -2.88%、CRDO -1.26%、FICO -2.29%、FIGS +1.47%、MDT +1.17%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异常候选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若没有同日证据，暂归行业/估值/仓位重定价，FCC 不是默认解释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ORCL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 +4.23%；未由固定名单自动触发新事件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价格/结构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只在出现同日公告、研报、交流或指引变化时升级为公司催化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+0.97%、</w:t>
      </w:r>
      <w:r>
        <w:rPr>
          <w:shd w:fill="E7E6E6"/>
        </w:rPr>
        <w:t>AVGO</w:t>
      </w:r>
      <w:r>
        <w:t xml:space="preserve"> +0.73%、</w:t>
      </w:r>
      <w:r>
        <w:rPr>
          <w:shd w:fill="E7E6E6"/>
        </w:rPr>
        <w:t>MSFT</w:t>
      </w:r>
      <w:r>
        <w:t xml:space="preserve"> +0.43%、</w:t>
      </w:r>
      <w:r>
        <w:rPr>
          <w:shd w:fill="E7E6E6"/>
        </w:rPr>
        <w:t>META</w:t>
      </w:r>
      <w:r>
        <w:t xml:space="preserve"> +2.63%；Tier 2 网络、存储和光互联代表为 </w:t>
      </w:r>
      <w:r>
        <w:rPr>
          <w:shd w:fill="E7E6E6"/>
        </w:rPr>
        <w:t>MU</w:t>
      </w:r>
      <w:r>
        <w:t xml:space="preserve"> -3.62%、</w:t>
      </w:r>
      <w:r>
        <w:rPr>
          <w:shd w:fill="E7E6E6"/>
        </w:rPr>
        <w:t>SNDK</w:t>
      </w:r>
      <w:r>
        <w:t xml:space="preserve"> -0.34%、</w:t>
      </w:r>
      <w:r>
        <w:rPr>
          <w:shd w:fill="E7E6E6"/>
        </w:rPr>
        <w:t>MRVL</w:t>
      </w:r>
      <w:r>
        <w:t xml:space="preserve"> +1.08%、</w:t>
      </w:r>
      <w:r>
        <w:rPr>
          <w:shd w:fill="E7E6E6"/>
        </w:rPr>
        <w:t>CRDO</w:t>
      </w:r>
      <w:r>
        <w:t xml:space="preserve"> -1.26%、</w:t>
      </w:r>
      <w:r>
        <w:rPr>
          <w:shd w:fill="E7E6E6"/>
        </w:rPr>
        <w:t>LITE</w:t>
      </w:r>
      <w:r>
        <w:t xml:space="preserve"> -0.75%、</w:t>
      </w:r>
      <w:r>
        <w:rPr>
          <w:shd w:fill="E7E6E6"/>
        </w:rPr>
        <w:t>COHR</w:t>
      </w:r>
      <w:r>
        <w:t xml:space="preserve"> +0.68%。这组数据只能说明当天价格速度和相对分化，不能单独证明订单、客户或资本开支发生变化；后者需要公司公告、会议或可复核产业数据。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AMAT</w:t>
      </w:r>
      <w:r>
        <w:t xml:space="preserve"> -6.69%（成交约1.52x均量）；</w:t>
      </w:r>
      <w:r>
        <w:rPr>
          <w:shd w:fill="E7E6E6"/>
        </w:rPr>
        <w:t>JNJ</w:t>
      </w:r>
      <w:r>
        <w:t xml:space="preserve"> -5.73%（成交约2.04x均量）；C -5.60%（成交约1.96x均量）；</w:t>
      </w:r>
      <w:r>
        <w:rPr>
          <w:shd w:fill="E7E6E6"/>
        </w:rPr>
        <w:t>IONQ</w:t>
      </w:r>
      <w:r>
        <w:t xml:space="preserve"> -4.25%（成交约0.93x均量）；</w:t>
      </w:r>
      <w:r>
        <w:rPr>
          <w:shd w:fill="E7E6E6"/>
        </w:rPr>
        <w:t>ORCL</w:t>
      </w:r>
      <w:r>
        <w:t xml:space="preserve"> +4.23%（成交约0.70x均量）；</w:t>
      </w:r>
      <w:r>
        <w:rPr>
          <w:shd w:fill="E7E6E6"/>
        </w:rPr>
        <w:t>MU</w:t>
      </w:r>
      <w:r>
        <w:t xml:space="preserve"> -3.62%（成交约1.04x均量）。这些名字先记录为价格/成交异常，随后核对同日公告、研报、公司交流、行业数据或传闻原始出处；没有证据时保留“待验”，不把涨跌倒推成原因。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判断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油价上涨与通胀/现金流防御共振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防御与稳定现金流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-1.35% / -0.19%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 强于 XLV，行业内部偏器械 Alpha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META、无线运营商支撑，非单一软件行情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+0.57% / +0.62%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周期与利率敏感资产相对弱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-3.04% / -1.96%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生物科技内部偏风险收缩，TWST等个股需单独解释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-0.75%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约0.79x均量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光通信硬件簇同步杀估值；单一 FCC 因素证据不足，列为板块重定价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高波动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 LITE/COHR/AAOI 同步，偏行业预期与仓位收缩；二手市场文章未替代公司公告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Beta/存储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AI 硬件链预期降温与高位去杠杆，未找到当日新财报证据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网络互联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Tier 2 相对弱于 Tier 1；需后续订单/客户验证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-4.25%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主题高 Beta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 与成长风险偏好收缩，暂不写成基本面单因子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XLE</w:t>
      </w:r>
      <w:r>
        <w:t>（能源）+1.80%、</w:t>
      </w:r>
      <w:r>
        <w:rPr>
          <w:shd w:fill="E7E6E6"/>
        </w:rPr>
        <w:t>XLC</w:t>
      </w:r>
      <w:r>
        <w:t>（通信服务）+0.74%、</w:t>
      </w:r>
      <w:r>
        <w:rPr>
          <w:shd w:fill="E7E6E6"/>
        </w:rPr>
        <w:t>XHB</w:t>
      </w:r>
      <w:r>
        <w:t xml:space="preserve">（住宅建筑）+0.62%，后列为 </w:t>
      </w:r>
      <w:r>
        <w:rPr>
          <w:shd w:fill="E7E6E6"/>
        </w:rPr>
        <w:t>XLV</w:t>
      </w:r>
      <w:r>
        <w:t>（医疗保健）-1.35%、</w:t>
      </w:r>
      <w:r>
        <w:rPr>
          <w:shd w:fill="E7E6E6"/>
        </w:rPr>
        <w:t>GDX</w:t>
      </w:r>
      <w:r>
        <w:t>（黄金矿业）-1.46%、</w:t>
      </w:r>
      <w:r>
        <w:rPr>
          <w:shd w:fill="E7E6E6"/>
        </w:rPr>
        <w:t>XBI</w:t>
      </w:r>
      <w:r>
        <w:t>（生物医药）-3.04%；S&amp;P 广度上涨占比 52.7%，</w:t>
      </w:r>
      <w:r>
        <w:rPr>
          <w:shd w:fill="E7E6E6"/>
        </w:rPr>
        <w:t>RSP</w:t>
      </w:r>
      <w:r>
        <w:t xml:space="preserve"> +0.05% 对比 </w:t>
      </w:r>
      <w:r>
        <w:rPr>
          <w:shd w:fill="E7E6E6"/>
        </w:rPr>
        <w:t>SPY</w:t>
      </w:r>
      <w:r>
        <w:t xml:space="preserve"> -0.01%。这能支持参与度和相对偏好的判断，但没有直接基金流、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5.06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13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1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2026-10-13T20:34:27-04:00；无执行方向确认。。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15.27 / 85.38 / 154.74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今天可确认的是价格与横截面结构：指数近乎平盘、广度偏正、</w:t>
      </w:r>
      <w:r>
        <w:rPr>
          <w:shd w:fill="E7E6E6"/>
        </w:rPr>
        <w:t>QQQ</w:t>
      </w:r>
      <w:r>
        <w:t>/</w:t>
      </w:r>
      <w:r>
        <w:rPr>
          <w:shd w:fill="E7E6E6"/>
        </w:rPr>
        <w:t>RSP</w:t>
      </w:r>
      <w:r>
        <w:t xml:space="preserve"> 走弱、高 Beta/小盘走弱。因此对冲基金去杠杆是一个结构性假设，而不是已经被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10/13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下一交易日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9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19">
        <w:r>
          <w:rPr/>
          <w:t>AP market recap（指数、板块与个股收盘摘要）</w:t>
        </w:r>
      </w:hyperlink>
    </w:p>
    <w:p>
      <w:hyperlink r:id="rId20">
        <w:r>
          <w:rPr/>
          <w:t>Meta 官方：Muse Wonder / Muse Wonder Full</w:t>
        </w:r>
      </w:hyperlink>
    </w:p>
    <w:p>
      <w:hyperlink r:id="rId21">
        <w:r>
          <w:rPr/>
          <w:t>Broadcom CEO AI 预期相关二手报道</w:t>
        </w:r>
      </w:hyperlink>
    </w:p>
    <w:p>
      <w:hyperlink r:id="rId22">
        <w:r>
          <w:rPr/>
          <w:t>Nasdaq public option chain example: LITE</w:t>
        </w:r>
      </w:hyperlink>
    </w:p>
    <w:p>
      <w:hyperlink r:id="rId23">
        <w:r>
          <w:rPr/>
          <w:t>Yahoo Finance Chart API example: SPY</w:t>
        </w:r>
      </w:hyperlink>
    </w:p>
    <w:p>
      <w:hyperlink r:id="rId24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yperlink" Target="https://apnews.com/article/f07713e8b2e438ac5903b50f5ce97235" TargetMode="External"/><Relationship Id="rId20" Type="http://schemas.openxmlformats.org/officeDocument/2006/relationships/hyperlink" Target="https://about.fb.com/news/2026/10/introducing-muse-wonder-models/" TargetMode="External"/><Relationship Id="rId21" Type="http://schemas.openxmlformats.org/officeDocument/2006/relationships/hyperlink" Target="https://www.investing.com/news/stock-market-news/broadcom-ceo-says-many-ai-investors-are-gamblers-4943815" TargetMode="External"/><Relationship Id="rId22" Type="http://schemas.openxmlformats.org/officeDocument/2006/relationships/hyperlink" Target="https://www.nasdaq.com/market-activity/stocks/lite/option-chain" TargetMode="External"/><Relationship Id="rId23" Type="http://schemas.openxmlformats.org/officeDocument/2006/relationships/hyperlink" Target="https://query1.finance.yahoo.com/v8/finance/chart/SPY" TargetMode="External"/><Relationship Id="rId24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