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美股每日复盘 | 2026-10-29 美东收盘</w:t>
      </w:r>
    </w:p>
    <w:p>
      <w:pPr>
        <w:spacing w:after="60" w:line="276" w:lineRule="auto"/>
      </w:pPr>
      <w:r>
        <w:rPr>
          <w:color w:val="555555"/>
          <w:sz w:val="17"/>
        </w:rPr>
        <w:t>报告日期：2026-10-30（北京时间）｜覆盖交易日：2026-10-29（美国现金盘）｜数据截点：收盘及可获得的盘后公开链数据。</w:t>
      </w:r>
    </w:p>
    <w:p>
      <w:pPr>
        <w:spacing w:after="120" w:line="276" w:lineRule="auto"/>
      </w:pPr>
      <w:r>
        <w:rPr>
          <w:highlight w:val="yellow"/>
        </w:rPr>
        <w:t xml:space="preserve">结论先行：指数表现为道指 -0.25%、标普500 -0.30%、纳指 -1.38%、Russell 2000 +1.01%；S&amp;P 500 广度为上涨 367、下跌 135，涨跌比 2.72。板块当日相对强弱由 </w:t>
      </w:r>
      <w:r>
        <w:rPr>
          <w:highlight w:val="yellow"/>
          <w:shd w:fill="E7E6E6"/>
        </w:rPr>
        <w:t>XHB</w:t>
      </w:r>
      <w:r>
        <w:rPr>
          <w:highlight w:val="yellow"/>
        </w:rPr>
        <w:t>（住宅建筑）+3.37%、</w:t>
      </w:r>
      <w:r>
        <w:rPr>
          <w:highlight w:val="yellow"/>
          <w:shd w:fill="E7E6E6"/>
        </w:rPr>
        <w:t>ITA</w:t>
      </w:r>
      <w:r>
        <w:rPr>
          <w:highlight w:val="yellow"/>
        </w:rPr>
        <w:t>（航空航天/国防）+3.16%、</w:t>
      </w:r>
      <w:r>
        <w:rPr>
          <w:highlight w:val="yellow"/>
          <w:shd w:fill="E7E6E6"/>
        </w:rPr>
        <w:t>XRT</w:t>
      </w:r>
      <w:r>
        <w:rPr>
          <w:highlight w:val="yellow"/>
        </w:rPr>
        <w:t>（零售）+2.62% 领跑，</w:t>
      </w:r>
      <w:r>
        <w:rPr>
          <w:highlight w:val="yellow"/>
          <w:shd w:fill="E7E6E6"/>
        </w:rPr>
        <w:t>SKYY</w:t>
      </w:r>
      <w:r>
        <w:rPr>
          <w:highlight w:val="yellow"/>
        </w:rPr>
        <w:t>（云计算）-2.84%、</w:t>
      </w:r>
      <w:r>
        <w:rPr>
          <w:highlight w:val="yellow"/>
          <w:shd w:fill="E7E6E6"/>
        </w:rPr>
        <w:t>GDX</w:t>
      </w:r>
      <w:r>
        <w:rPr>
          <w:highlight w:val="yellow"/>
        </w:rPr>
        <w:t>（黄金矿业）-3.12%、</w:t>
      </w:r>
      <w:r>
        <w:rPr>
          <w:highlight w:val="yellow"/>
          <w:shd w:fill="E7E6E6"/>
        </w:rPr>
        <w:t>IGV</w:t>
      </w:r>
      <w:r>
        <w:rPr>
          <w:highlight w:val="yellow"/>
        </w:rPr>
        <w:t>（软件）-3.52% 落后；这是当天价格与广度观察，不把固定公司名单预设为催化。</w:t>
      </w:r>
    </w:p>
    <w:p>
      <w:pPr>
        <w:pStyle w:val="Heading1"/>
        <w:keepNext/>
      </w:pPr>
      <w:r>
        <w:t>1. Executive Tape Snapshot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资产/指标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收盘/状态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读法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Dow Jones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52,342.56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-0.25%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-0.99%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相对最强，价值/防御托底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S&amp;P 500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7,720.39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-0.30%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+0.74%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结合广度与RSP判断内部结构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Nasdaq Composite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26,184.72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-1.38%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+0.68%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与QQQ/RSP及科技篮子比较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Russell 2000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2,859.22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+1.01%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+2.70%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小盘弱于大盘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17.20 / 98.01 / 151.03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+1.71%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以实际变动判断保护需求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/ WTI / BTC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101.83 / 102.72 / 8.17万美元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-0.36% / WTI -0.06% / BTC +0.54%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跨资产确认或反驳风险偏好叙事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2577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57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图：板块当日表现与成交相对强度。来源/口径：Yahoo Finance Chart API；日收益率，成交相对30日均量。。</w:t>
      </w:r>
    </w:p>
    <w:p>
      <w:pPr>
        <w:spacing w:after="120" w:line="276" w:lineRule="auto"/>
      </w:pPr>
      <w:r>
        <w:t xml:space="preserve">图表读法：当日相对最强为 </w:t>
      </w:r>
      <w:r>
        <w:rPr>
          <w:shd w:fill="E7E6E6"/>
        </w:rPr>
        <w:t>XHB</w:t>
      </w:r>
      <w:r>
        <w:t>（住宅建筑）+3.37%、</w:t>
      </w:r>
      <w:r>
        <w:rPr>
          <w:shd w:fill="E7E6E6"/>
        </w:rPr>
        <w:t>ITA</w:t>
      </w:r>
      <w:r>
        <w:t>（航空航天/国防）+3.16%、</w:t>
      </w:r>
      <w:r>
        <w:rPr>
          <w:shd w:fill="E7E6E6"/>
        </w:rPr>
        <w:t>XRT</w:t>
      </w:r>
      <w:r>
        <w:t xml:space="preserve">（零售）+2.62%，相对最弱为 </w:t>
      </w:r>
      <w:r>
        <w:rPr>
          <w:shd w:fill="E7E6E6"/>
        </w:rPr>
        <w:t>SKYY</w:t>
      </w:r>
      <w:r>
        <w:t>（云计算）-2.84%、</w:t>
      </w:r>
      <w:r>
        <w:rPr>
          <w:shd w:fill="E7E6E6"/>
        </w:rPr>
        <w:t>GDX</w:t>
      </w:r>
      <w:r>
        <w:t>（黄金矿业）-3.12%、</w:t>
      </w:r>
      <w:r>
        <w:rPr>
          <w:shd w:fill="E7E6E6"/>
        </w:rPr>
        <w:t>IGV</w:t>
      </w:r>
      <w:r>
        <w:t xml:space="preserve">（软件）-3.52%；上涨占比 73.0%。需要把 </w:t>
      </w:r>
      <w:r>
        <w:t>ETF</w:t>
      </w:r>
      <w:r>
        <w:t xml:space="preserve"> 表现和单股异常分开读，不能用行业平均替代个股催化。</w:t>
      </w:r>
    </w:p>
    <w:p>
      <w:pPr>
        <w:pStyle w:val="Heading1"/>
        <w:keepNext/>
      </w:pPr>
      <w:r>
        <w:t>2. Rotation &amp; Leadership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7518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ctor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8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图：Sector Rotation Map（行业指数）。来源/口径：本地 rotation_engine；1D/5D/20D，单位为百分比；括号内为行业名称。。</w:t>
      </w:r>
    </w:p>
    <w:p>
      <w:pPr>
        <w:spacing w:after="120" w:line="276" w:lineRule="auto"/>
      </w:pPr>
      <w:r>
        <w:t xml:space="preserve">资金方向判断：价格代理显示相对偏好集中在 </w:t>
      </w:r>
      <w:r>
        <w:rPr>
          <w:shd w:fill="E7E6E6"/>
        </w:rPr>
        <w:t>XHB</w:t>
      </w:r>
      <w:r>
        <w:t>（住宅建筑）+3.37%、</w:t>
      </w:r>
      <w:r>
        <w:rPr>
          <w:shd w:fill="E7E6E6"/>
        </w:rPr>
        <w:t>ITA</w:t>
      </w:r>
      <w:r>
        <w:t>（航空航天/国防）+3.16%、</w:t>
      </w:r>
      <w:r>
        <w:rPr>
          <w:shd w:fill="E7E6E6"/>
        </w:rPr>
        <w:t>XRT</w:t>
      </w:r>
      <w:r>
        <w:t xml:space="preserve">（零售）+2.62%，相对压力集中在 </w:t>
      </w:r>
      <w:r>
        <w:rPr>
          <w:shd w:fill="E7E6E6"/>
        </w:rPr>
        <w:t>SKYY</w:t>
      </w:r>
      <w:r>
        <w:t>（云计算）-2.84%、</w:t>
      </w:r>
      <w:r>
        <w:rPr>
          <w:shd w:fill="E7E6E6"/>
        </w:rPr>
        <w:t>GDX</w:t>
      </w:r>
      <w:r>
        <w:t>（黄金矿业）-3.12%、</w:t>
      </w:r>
      <w:r>
        <w:rPr>
          <w:shd w:fill="E7E6E6"/>
        </w:rPr>
        <w:t>IGV</w:t>
      </w:r>
      <w:r>
        <w:t xml:space="preserve">（软件）-3.52%；20日维度需要结合热图判断是否只是短期反转。没有直接 </w:t>
      </w:r>
      <w:r>
        <w:t>ETF</w:t>
      </w:r>
      <w:r>
        <w:t>/</w:t>
      </w:r>
      <w:r>
        <w:t>PB</w:t>
      </w:r>
      <w:r>
        <w:t xml:space="preserve"> 净流数据时，报告使用“价格偏好/轮动代理”，不把相对涨跌写成已证实的净流入或净流出。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7571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leadership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图：Leadership Heatmap（领导力轮动）。来源/口径：Rotation Engine 固定篮子等权收益；1D/5D/20D；价格相对强弱代理。。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8585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mag7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58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Heatmap（内部轮动）。来源/口径：Mag 7 单股 1D/5D/20D 与相对 SPY；不把权重股表现自动写成行业普涨。。</w:t>
      </w:r>
    </w:p>
    <w:p>
      <w:pPr>
        <w:spacing w:after="120" w:line="276" w:lineRule="auto"/>
      </w:pPr>
      <w:r>
        <w:t>领导力读法：先看热图中同一方向的横截面广度，再看 1D、5D、20D 是否一致；若只有少数大市值股票支撑指数，而等权篮子和细分行业走弱，应定义为权重挤压而不是广泛风险偏好改善。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64829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ubsector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82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图：Subsector Rotation Map（细分行业）。来源/口径：本地 rotation_engine；加入 XBI、IHI、XHE、CIBR、SKYY、XME、COPX、GDX、KRE、XRT、XHB、ITA 等行业/主题代理。。</w:t>
      </w:r>
    </w:p>
    <w:p>
      <w:pPr>
        <w:spacing w:after="120" w:line="276" w:lineRule="auto"/>
      </w:pPr>
      <w:r>
        <w:t xml:space="preserve">异常个股必须回填在行业图旁：本次先从 520 个可用单股样本中按当日绝对涨跌、相对 </w:t>
      </w:r>
      <w:r>
        <w:rPr>
          <w:shd w:fill="E7E6E6"/>
        </w:rPr>
        <w:t>SPY</w:t>
      </w:r>
      <w:r>
        <w:t>、成交量和新高/新低筛出 9 个候选：</w:t>
      </w:r>
      <w:r>
        <w:t>LMT</w:t>
      </w:r>
      <w:r>
        <w:t>（航空航天/国防）+27.69%、</w:t>
      </w:r>
      <w:r>
        <w:t>FTNT</w:t>
      </w:r>
      <w:r>
        <w:t>（S&amp;P 500成分股（行业标签待核））-27.08%、</w:t>
      </w:r>
      <w:r>
        <w:rPr>
          <w:shd w:fill="E7E6E6"/>
        </w:rPr>
        <w:t>NOW</w:t>
      </w:r>
      <w:r>
        <w:t>（单股异动（行业标签待核））-26.95%、</w:t>
      </w:r>
      <w:r>
        <w:t>CRL</w:t>
      </w:r>
      <w:r>
        <w:t>（生命科学工具）+25.78%、</w:t>
      </w:r>
      <w:r>
        <w:t>HAS</w:t>
      </w:r>
      <w:r>
        <w:t>（可选消费/玩具）+24.63%、</w:t>
      </w:r>
      <w:r>
        <w:t>PNR</w:t>
      </w:r>
      <w:r>
        <w:t>（S&amp;P 500成分股（行业标签待核））+24.30%、</w:t>
      </w:r>
      <w:r>
        <w:t>FFIV</w:t>
      </w:r>
      <w:r>
        <w:t>（网络设备/应用交付）-23.68%、</w:t>
      </w:r>
      <w:r>
        <w:t>TER</w:t>
      </w:r>
      <w:r>
        <w:t>（半导体测试）-22.10%、</w:t>
      </w:r>
      <w:r>
        <w:rPr>
          <w:shd w:fill="E7E6E6"/>
        </w:rPr>
        <w:t>GOOGL</w:t>
      </w:r>
      <w:r>
        <w:t xml:space="preserve">（单股异动（行业标签待核））-12.64%。固定 </w:t>
      </w:r>
      <w:r>
        <w:t>AI</w:t>
      </w:r>
      <w:r>
        <w:t xml:space="preserve">/光通信名单只用于覆盖扫描，未进入当日异动排序的标的不进入本节归因。若当天没有新公告、研报、公司交流或可验证传闻，只能标为结构性重定价或待验，不能把行业 </w:t>
      </w:r>
      <w:r>
        <w:t>ETF</w:t>
      </w:r>
      <w:r>
        <w:t xml:space="preserve"> 变化直接当成单股原因。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403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0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vs Software：横截面当日收益。来源/口径：本地 rotation_engine；各自12只代表性成分，等权。。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774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_spre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77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- Software Daily Spread。来源/口径：定义：Semi - Software &gt; 0 表示半导体跑赢软件；&lt; 0 表示软件跑赢半导体。。</w:t>
      </w:r>
    </w:p>
    <w:p>
      <w:pPr>
        <w:spacing w:after="120" w:line="276" w:lineRule="auto"/>
      </w:pPr>
      <w:r>
        <w:t>图表解读：半导体等权当日 -1.34%，软件等权 -4.87%，价差（Semi - Software）+3.53 个百分点；正值表示半导体相对跑赢，负值表示软件相对跑赢。两者绝对涨跌、</w:t>
      </w:r>
      <w:r>
        <w:t>ETF</w:t>
      </w:r>
      <w:r>
        <w:t xml:space="preserve"> 权重和中位数可能不同，不能只凭价差判断整个科技板块方向。</w:t>
      </w:r>
    </w:p>
    <w:p>
      <w:pPr>
        <w:pStyle w:val="Heading1"/>
        <w:keepNext/>
      </w:pPr>
      <w:r>
        <w:t>3. Rotation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33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比较组合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20D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Semi - Software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+1.97pp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+8.71pp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-10.60pp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Tech ex-Mag7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+3.08pp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-5.06pp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+7.53pp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-2.63pp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-2.01pp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-8.65pp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QQQ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-2.62pp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+0.71pp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-8.88pp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EMERGING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Growth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-3.46pp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+1.16pp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-13.78pp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Cyclical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-1.12pp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+1.12pp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-5.13pp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AI CapEx - AI Applications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+1.62pp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+9.99pp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-4.95pp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High Beta - Low Vol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-0.23pp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+5.95pp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-10.67pp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EXTENDED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Small Cap - Large Cap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+1.35pp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+1.95pp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+1.09pp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 xml:space="preserve">矩阵观察：Semi - Software 1D +1.97pp / 5D +8.71pp / 20D -10.60pp（REVERSING）；Mag7 - Tech ex-Mag7 1D +3.08pp / 5D -5.06pp / 20D +7.53pp（CONFIRMED）；Mag7 - </w:t>
      </w:r>
      <w:r>
        <w:rPr>
          <w:shd w:fill="E7E6E6"/>
        </w:rPr>
        <w:t>RSP</w:t>
      </w:r>
      <w:r>
        <w:t xml:space="preserve"> 1D -2.63pp / 5D -2.01pp / 20D -8.65pp（CONFIRMED）；</w:t>
      </w:r>
      <w:r>
        <w:rPr>
          <w:shd w:fill="E7E6E6"/>
        </w:rPr>
        <w:t>QQQ</w:t>
      </w:r>
      <w:r>
        <w:t xml:space="preserve"> - </w:t>
      </w:r>
      <w:r>
        <w:rPr>
          <w:shd w:fill="E7E6E6"/>
        </w:rPr>
        <w:t>RSP</w:t>
      </w:r>
      <w:r>
        <w:t xml:space="preserve"> 1D -2.62pp / 5D +0.71pp / 20D -8.88pp（EMERGING）；Growth - Defensive 1D -3.46pp / 5D +1.16pp / 20D -13.78pp（CONFIRMED）；Cyclical - Defensive 1D -1.12pp / 5D +1.12pp / 20D -5.13pp（CONFIRMED）；</w:t>
      </w:r>
      <w:r>
        <w:t>AI</w:t>
      </w:r>
      <w:r>
        <w:t xml:space="preserve"> CapEx - </w:t>
      </w:r>
      <w:r>
        <w:t>AI</w:t>
      </w:r>
      <w:r>
        <w:t xml:space="preserve"> Applications 1D +1.62pp / 5D +9.99pp / 20D -4.95pp（REVERSING）；High Beta - Low Vol 1D -0.23pp / 5D +5.95pp / 20D -10.67pp（EXTENDED）；Small Cap - Large Cap 1D +1.35pp / 5D +1.95pp / 20D +1.09pp（CONFIRMED）。上涨占比 73.0%，因此需把指数方向、横截面参与度和 1D/5D/20D 持续性分开判断；不能用单日价差直接替代资金流。</w:t>
      </w:r>
    </w:p>
    <w:p>
      <w:pPr>
        <w:pStyle w:val="Heading1"/>
        <w:keepNext/>
      </w:pPr>
      <w:r>
        <w:t>4. Factor, Microstructure &amp; HF Positioning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00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图：Breadth &amp; Participation。来源/口径：503 只当前 S&amp;P 500 成分；Advancing/Declining 为当日涨跌家数，New highs/lows 为252交易日极值。。</w:t>
      </w:r>
    </w:p>
    <w:p>
      <w:pPr>
        <w:spacing w:after="120" w:line="276" w:lineRule="auto"/>
      </w:pPr>
      <w:r>
        <w:t>广度：上涨 367、下跌 135、不变 1，上涨占比 73.0%，涨跌比 2.72；252日新高 54、新低 11。这不是“全市场风险关闭”，而是指数权重和主题结构在切换。</w:t>
      </w:r>
      <w:r>
        <w:rPr>
          <w:shd w:fill="E7E6E6"/>
        </w:rPr>
        <w:t>RSP</w:t>
      </w:r>
      <w:r>
        <w:t xml:space="preserve"> 当日 +1.20%，</w:t>
      </w:r>
      <w:r>
        <w:rPr>
          <w:shd w:fill="E7E6E6"/>
        </w:rPr>
        <w:t>SPY</w:t>
      </w:r>
      <w:r>
        <w:t xml:space="preserve"> -0.38%，</w:t>
      </w:r>
      <w:r>
        <w:rPr>
          <w:shd w:fill="E7E6E6"/>
        </w:rPr>
        <w:t>RSP</w:t>
      </w:r>
      <w:r>
        <w:t xml:space="preserve"> 相对 </w:t>
      </w:r>
      <w:r>
        <w:rPr>
          <w:shd w:fill="E7E6E6"/>
        </w:rPr>
        <w:t>SPY</w:t>
      </w:r>
      <w:r>
        <w:t xml:space="preserve"> 约 +1.58pp，等权参与度优于市值加权。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Proxy Dashboard。来源/口径：本地公开 ETF 代理；Momentum=MTUM，High Beta=SPHB，Low Vol=USMV，Small Cap=IWM，Quality/defensive 以行业 ETF辅助。。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694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69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Multi-Speed Detail。来源/口径：公开 ETF 价格代理；Momentum、High Beta、Low Vol、Small Cap、MEME 与 BUZZ 的横截面日收益。。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246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ada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24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图：Intraday Path。来源/口径：Yahoo 5分钟常规现金盘；09:30 归一化为 100，尾盘阴影为最后约20分钟。。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512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51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图：Closing Pressure Proxy。来源/口径：Yahoo 5分钟现金盘最后20分钟收益；不是官方 MOC 金额或买卖失衡。。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6850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atil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85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图：Volatility / Tail Protection。来源/口径：VIX、VVIX、SKEW 日变；只能作为风险保护代理，不等于做市商 Gamma。。</w:t>
      </w:r>
    </w:p>
    <w:p>
      <w:pPr>
        <w:spacing w:after="120" w:line="276" w:lineRule="auto"/>
      </w:pPr>
      <w:r>
        <w:t>因子结论：</w:t>
      </w:r>
      <w:r>
        <w:rPr>
          <w:shd w:fill="E7E6E6"/>
        </w:rPr>
        <w:t>SPHB</w:t>
      </w:r>
      <w:r>
        <w:t xml:space="preserve"> -0.01% 对比 </w:t>
      </w:r>
      <w:r>
        <w:rPr>
          <w:shd w:fill="E7E6E6"/>
        </w:rPr>
        <w:t>USMV</w:t>
      </w:r>
      <w:r>
        <w:t xml:space="preserve"> +0.21%（差 -0.23pp），</w:t>
      </w:r>
      <w:r>
        <w:rPr>
          <w:shd w:fill="E7E6E6"/>
        </w:rPr>
        <w:t>IWM</w:t>
      </w:r>
      <w:r>
        <w:t xml:space="preserve"> +0.97% 对比 </w:t>
      </w:r>
      <w:r>
        <w:rPr>
          <w:shd w:fill="E7E6E6"/>
        </w:rPr>
        <w:t>SPY</w:t>
      </w:r>
      <w:r>
        <w:t xml:space="preserve"> -0.38%（差 +1.35pp）。在宏观美元与油价同时偏强的环境下，对冲基金去杠杆是一个待验证的结构性假设，而不是已经被 </w:t>
      </w:r>
      <w:r>
        <w:t>PB</w:t>
      </w:r>
      <w:r>
        <w:t xml:space="preserve"> 数据证实的事实；其典型路径是砍掉高 Beta 多头、回补此前拥挤的空头，因此个别高空头光模块或存储名字若逆势反弹，不能直接解释为基本面反转。公开数据没有 </w:t>
      </w:r>
      <w:r>
        <w:rPr>
          <w:shd w:fill="E7E6E6"/>
        </w:rPr>
        <w:t>GS</w:t>
      </w:r>
      <w:r>
        <w:t>/</w:t>
      </w:r>
      <w:r>
        <w:t>PB</w:t>
      </w:r>
      <w:r>
        <w:t xml:space="preserve"> 净买入、总交易量或 </w:t>
      </w:r>
      <w:r>
        <w:t>CTA</w:t>
      </w:r>
      <w:r>
        <w:t xml:space="preserve"> 实时阈值，本报告不编造。</w:t>
      </w:r>
    </w:p>
    <w:p>
      <w:pPr>
        <w:pStyle w:val="Heading1"/>
        <w:keepNext/>
      </w:pPr>
      <w:r>
        <w:t>5. Today's Company Expectation Resets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2088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公司/主题</w:t>
            </w:r>
          </w:p>
        </w:tc>
        <w:tc>
          <w:tcPr>
            <w:tcW w:type="dxa" w:w="295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今日价格证据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市场含义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LMT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航空航天/国防；价格 +27.69%；相对SPY +28.07pp；成交不可得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top_gainer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待核验同日增量；先归为公司/行业/因子重定价候选，不把涨跌倒推成原因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FTNT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S&amp;P 500成分股（行业标签待核）；价格 -27.08%；相对SPY -26.70pp；成交不可得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top_decliner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待核验同日增量；先归为公司/行业/因子重定价候选，不把涨跌倒推成原因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NOW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单股异动（行业标签待核）；价格 -26.95%；相对SPY -26.57pp；成交 10.87x均量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relative_volume_outlier, top_decliner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待核验同日增量；先归为公司/行业/因子重定价候选，不把涨跌倒推成原因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CRL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生命科学工具；价格 +25.78%；相对SPY +26.16pp；成交不可得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top_gainer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待核验同日增量；先归为公司/行业/因子重定价候选，不把涨跌倒推成原因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HAS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可选消费/玩具；价格 +24.63%；相对SPY +25.01pp；成交不可得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top_gainer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待核验同日增量；先归为公司/行业/因子重定价候选，不把涨跌倒推成原因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PNR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S&amp;P 500成分股（行业标签待核）；价格 +24.30%；相对SPY +24.68pp；成交不可得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top_gainer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待核验同日增量；先归为公司/行业/因子重定价候选，不把涨跌倒推成原因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事件闸门：只有当当天有新公告、正式报告、公司交流、明确指引或可验证的市场结构证据，才升级为个股催化。旧财报只作为估值和预期背景，不重复追踪。</w:t>
      </w:r>
    </w:p>
    <w:p>
      <w:pPr>
        <w:pStyle w:val="Heading1"/>
        <w:keepNext/>
      </w:pPr>
      <w:r>
        <w:t>6. Technology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46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lad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Ladder：Tier 1 / Tier 2 / Tier 3。来源/口径：本地行情数据；Tier 1 为现金流巨头，Tier 2 为网络/存储/互联，Tier 3 为电力/数据中心基础设施。。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188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1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Tier Detail。来源/口径：固定篮子等权日收益；价格分层，不等于订单或资金流。。</w:t>
      </w:r>
    </w:p>
    <w:p>
      <w:pPr>
        <w:spacing w:after="120" w:line="276" w:lineRule="auto"/>
      </w:pPr>
      <w:r>
        <w:t>AI</w:t>
      </w:r>
      <w:r>
        <w:t xml:space="preserve"> 链条分层：Tier 1 现金流/平台代表为 </w:t>
      </w:r>
      <w:r>
        <w:rPr>
          <w:shd w:fill="E7E6E6"/>
        </w:rPr>
        <w:t>NVDA</w:t>
      </w:r>
      <w:r>
        <w:t xml:space="preserve"> -0.80%、</w:t>
      </w:r>
      <w:r>
        <w:rPr>
          <w:shd w:fill="E7E6E6"/>
        </w:rPr>
        <w:t>AVGO</w:t>
      </w:r>
      <w:r>
        <w:t xml:space="preserve"> -1.94%、</w:t>
      </w:r>
      <w:r>
        <w:rPr>
          <w:shd w:fill="E7E6E6"/>
        </w:rPr>
        <w:t>MSFT</w:t>
      </w:r>
      <w:r>
        <w:t xml:space="preserve"> -0.16%、</w:t>
      </w:r>
      <w:r>
        <w:rPr>
          <w:shd w:fill="E7E6E6"/>
        </w:rPr>
        <w:t>META</w:t>
      </w:r>
      <w:r>
        <w:t xml:space="preserve"> +1.96%；Tier 2 网络、存储和光互联代表为 </w:t>
      </w:r>
      <w:r>
        <w:rPr>
          <w:shd w:fill="E7E6E6"/>
        </w:rPr>
        <w:t>MU</w:t>
      </w:r>
      <w:r>
        <w:t xml:space="preserve"> -4.98%、</w:t>
      </w:r>
      <w:r>
        <w:rPr>
          <w:shd w:fill="E7E6E6"/>
        </w:rPr>
        <w:t>SNDK</w:t>
      </w:r>
      <w:r>
        <w:t xml:space="preserve"> -5.32%、</w:t>
      </w:r>
      <w:r>
        <w:rPr>
          <w:shd w:fill="E7E6E6"/>
        </w:rPr>
        <w:t>MRVL</w:t>
      </w:r>
      <w:r>
        <w:t xml:space="preserve"> -13.24%、</w:t>
      </w:r>
      <w:r>
        <w:rPr>
          <w:shd w:fill="E7E6E6"/>
        </w:rPr>
        <w:t>CRDO</w:t>
      </w:r>
      <w:r>
        <w:t xml:space="preserve"> -4.84%、</w:t>
      </w:r>
      <w:r>
        <w:rPr>
          <w:shd w:fill="E7E6E6"/>
        </w:rPr>
        <w:t>LITE</w:t>
      </w:r>
      <w:r>
        <w:t xml:space="preserve"> +0.61%、</w:t>
      </w:r>
      <w:r>
        <w:rPr>
          <w:shd w:fill="E7E6E6"/>
        </w:rPr>
        <w:t>COHR</w:t>
      </w:r>
      <w:r>
        <w:t xml:space="preserve"> -0.99%。这组数据只能说明当天价格速度和相对分化，不能单独证明订单、客户或资本开支发生变化；后者需要公司公告、会议或可复核产业数据。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71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图：科技与主题异动个股。来源/口径：Yahoo Finance Chart API；按当日绝对收益及成交相对30日均量筛选。。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7458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c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74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图：Optical / AI Networking Exceptions。来源/口径：光模块、互联、存储与半导体代表股；按目标日价格表现排序。。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29919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99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图：Memory and Server Chain。来源/口径：MU、SNDK、WDC、STX 与服务器/系统代表股；价格横截面，不替代供需验证。。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3017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g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01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Rotation。来源/口径：Mag 7 单股目标日收益；用于识别权重集中和内部背离。。</w:t>
      </w:r>
    </w:p>
    <w:p>
      <w:pPr>
        <w:spacing w:after="120" w:line="276" w:lineRule="auto"/>
      </w:pPr>
      <w:r>
        <w:t xml:space="preserve">异动原因必须逐个核验：按绝对涨跌筛出的候选为 </w:t>
      </w:r>
      <w:r>
        <w:t>LMT</w:t>
      </w:r>
      <w:r>
        <w:t xml:space="preserve"> +27.69%（航空航天/国防）；</w:t>
      </w:r>
      <w:r>
        <w:t>FTNT</w:t>
      </w:r>
      <w:r>
        <w:t xml:space="preserve"> -27.08%（S&amp;P 500成分股（行业标签待核））；</w:t>
      </w:r>
      <w:r>
        <w:rPr>
          <w:shd w:fill="E7E6E6"/>
        </w:rPr>
        <w:t>NOW</w:t>
      </w:r>
      <w:r>
        <w:t xml:space="preserve"> -26.95%（单股异动（行业标签待核）；成交约10.87x均量）；</w:t>
      </w:r>
      <w:r>
        <w:t>CRL</w:t>
      </w:r>
      <w:r>
        <w:t xml:space="preserve"> +25.78%（生命科学工具）；</w:t>
      </w:r>
      <w:r>
        <w:t>HAS</w:t>
      </w:r>
      <w:r>
        <w:t xml:space="preserve"> +24.63%（可选消费/玩具）；</w:t>
      </w:r>
      <w:r>
        <w:t>PNR</w:t>
      </w:r>
      <w:r>
        <w:t xml:space="preserve"> +24.30%（S&amp;P 500成分股（行业标签待核））；</w:t>
      </w:r>
      <w:r>
        <w:t>FFIV</w:t>
      </w:r>
      <w:r>
        <w:t xml:space="preserve"> -23.68%（网络设备/应用交付）；</w:t>
      </w:r>
      <w:r>
        <w:t>TER</w:t>
      </w:r>
      <w:r>
        <w:t xml:space="preserve"> -22.10%（半导体测试）；</w:t>
      </w:r>
      <w:r>
        <w:rPr>
          <w:shd w:fill="E7E6E6"/>
        </w:rPr>
        <w:t>GOOGL</w:t>
      </w:r>
      <w:r>
        <w:t xml:space="preserve"> -12.64%（单股异动（行业标签待核）；成交约14.12x均量）。这些名字先记录为价格/成交异常，随后核对同日公告、研报、公司交流、行业数据或传闻原始出处；没有证据时保留“待验”，不把涨跌倒推成原因。</w:t>
      </w:r>
    </w:p>
    <w:p>
      <w:pPr>
        <w:pStyle w:val="Heading1"/>
        <w:keepNext/>
      </w:pPr>
      <w:r>
        <w:t>7. Non-Tech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1354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13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图：11-Sector Industry Map。来源/口径：SPDR 行业 ETF；每个代码均带行业关键词。。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18558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ecto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8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图：Sub-sector Industry Detail。来源/口径：半导体、软件、生物医药、医疗器械、网络安全、云计算、矿业、银行、零售、住宅建筑与国防代理。。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92898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asse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28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图：Cross-Asset Context。来源/口径：Yahoo 公开连续合约/指数报价；跨资产涨跌用于确认或质疑单一市场叙事。。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价格方向</w:t>
            </w:r>
          </w:p>
        </w:tc>
        <w:tc>
          <w:tcPr>
            <w:tcW w:type="dxa" w:w="259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代理/行业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36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观察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能源 XLE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+0.38%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结合WTI、成交和20日趋势核验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必选消费 XLP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+1.54%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防御/现金流相对偏好候选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医疗保健 XLV / 医疗器械 IHI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+2.40% / +1.92%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IHI相对XLV -0.48pp，行业内部需拆分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通信服务 XLC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-1.87%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查看大型权重与细分通信服务是否同向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材料 XLB / 房屋 XHB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+1.29% / +3.37%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周期与利率敏感资产相对表现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生物科技 XBI / ARKG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+0.18% / +0.53%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ETF弱时仍需单独解释TWST等个股异常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TWST</w:t>
      </w:r>
      <w:r>
        <w:t xml:space="preserve"> 与 </w:t>
      </w:r>
      <w:r>
        <w:rPr>
          <w:shd w:fill="E7E6E6"/>
        </w:rPr>
        <w:t>XLV</w:t>
      </w:r>
      <w:r>
        <w:t xml:space="preserve"> 的关系：单只生物科技股的大涨/大跌可以由临床、监管、合作、融资或短 squeeze 驱动，不要求 </w:t>
      </w:r>
      <w:r>
        <w:rPr>
          <w:shd w:fill="E7E6E6"/>
        </w:rPr>
        <w:t>XLV</w:t>
      </w:r>
      <w:r>
        <w:t xml:space="preserve"> 同向。行业 </w:t>
      </w:r>
      <w:r>
        <w:t>ETF</w:t>
      </w:r>
      <w:r>
        <w:t xml:space="preserve"> 是组合篮子，个股是事件驱动；当两者背离时，报告必须把个股原因和行业资金方向分开写。</w:t>
      </w:r>
    </w:p>
    <w:p>
      <w:pPr>
        <w:pStyle w:val="Heading1"/>
        <w:keepNext/>
      </w:pPr>
      <w:r>
        <w:t>8. Decliners &amp; Kill Reasons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5468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e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54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图：Pressure Points。来源/口径：按代表性科技、光互联、存储与高 Beta 标的目标日跌幅排序。。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8252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move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82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图：Company Exceptions。来源/口径：按绝对涨跌筛选，并显示成交量相对30日均量；异常不等于催化。。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成交/状态</w:t>
            </w:r>
          </w:p>
        </w:tc>
        <w:tc>
          <w:tcPr>
            <w:tcW w:type="dxa" w:w="432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当前可验证解释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FTNT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S&amp;P 500成分股（行业标签待核） -27.08%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成交不可得；相对SPY -26.70pp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NOW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单股异动（行业标签待核） -26.95%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10.87x均量；相对SPY -26.57pp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FFIV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网络设备/应用交付 -23.68%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成交不可得；相对SPY -23.30pp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TER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半导体测试 -22.10%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成交不可得；相对SPY -21.72pp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GOOGL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单股异动（行业标签待核） -12.64%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14.12x均量；相对SPY -12.26pp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Kill reason 的写法：先写价格和成交，再写可验证事件，最后写结构性解释与待验项。没有新公告时，不把旧财报、传闻或行业图表强行包装成“今日公司事件”。</w:t>
      </w:r>
    </w:p>
    <w:p>
      <w:pPr>
        <w:pStyle w:val="Heading1"/>
        <w:keepNext/>
      </w:pPr>
      <w:r>
        <w:t>9. Where Capital Focused</w:t>
      </w:r>
    </w:p>
    <w:p>
      <w:pPr>
        <w:spacing w:after="120" w:line="276" w:lineRule="auto"/>
      </w:pPr>
      <w:r>
        <w:t xml:space="preserve">资金主线判断基于价格偏好代理：板块前列为 </w:t>
      </w:r>
      <w:r>
        <w:rPr>
          <w:shd w:fill="E7E6E6"/>
        </w:rPr>
        <w:t>XHB</w:t>
      </w:r>
      <w:r>
        <w:t>（住宅建筑）+3.37%、</w:t>
      </w:r>
      <w:r>
        <w:rPr>
          <w:shd w:fill="E7E6E6"/>
        </w:rPr>
        <w:t>ITA</w:t>
      </w:r>
      <w:r>
        <w:t>（航空航天/国防）+3.16%、</w:t>
      </w:r>
      <w:r>
        <w:rPr>
          <w:shd w:fill="E7E6E6"/>
        </w:rPr>
        <w:t>XRT</w:t>
      </w:r>
      <w:r>
        <w:t xml:space="preserve">（零售）+2.62%，后列为 </w:t>
      </w:r>
      <w:r>
        <w:rPr>
          <w:shd w:fill="E7E6E6"/>
        </w:rPr>
        <w:t>SKYY</w:t>
      </w:r>
      <w:r>
        <w:t>（云计算）-2.84%、</w:t>
      </w:r>
      <w:r>
        <w:rPr>
          <w:shd w:fill="E7E6E6"/>
        </w:rPr>
        <w:t>GDX</w:t>
      </w:r>
      <w:r>
        <w:t>（黄金矿业）-3.12%、</w:t>
      </w:r>
      <w:r>
        <w:rPr>
          <w:shd w:fill="E7E6E6"/>
        </w:rPr>
        <w:t>IGV</w:t>
      </w:r>
      <w:r>
        <w:t>（软件）-3.52%；S&amp;P 广度上涨占比 73.0%，</w:t>
      </w:r>
      <w:r>
        <w:rPr>
          <w:shd w:fill="E7E6E6"/>
        </w:rPr>
        <w:t>RSP</w:t>
      </w:r>
      <w:r>
        <w:t xml:space="preserve"> +1.20% 对比 </w:t>
      </w:r>
      <w:r>
        <w:rPr>
          <w:shd w:fill="E7E6E6"/>
        </w:rPr>
        <w:t>SPY</w:t>
      </w:r>
      <w:r>
        <w:t xml:space="preserve"> -0.38%。这能支持参与度和相对偏好的判断，但没有直接基金流、</w:t>
      </w:r>
      <w:r>
        <w:t>PB</w:t>
      </w:r>
      <w:r>
        <w:t xml:space="preserve"> 或 </w:t>
      </w:r>
      <w:r>
        <w:t>CTA</w:t>
      </w:r>
      <w:r>
        <w:t xml:space="preserve"> 数据时，不写成确认的净流入/净流出。</w:t>
      </w:r>
    </w:p>
    <w:p>
      <w:pPr>
        <w:pStyle w:val="Heading1"/>
        <w:keepNext/>
      </w:pPr>
      <w:r>
        <w:t>10. Index Inclusion &amp; Option Risk</w:t>
      </w:r>
    </w:p>
    <w:p>
      <w:pPr>
        <w:spacing w:after="120" w:line="276" w:lineRule="auto"/>
      </w:pPr>
      <w:r>
        <w:t>本次公开资料未识别出有确定纳入日期、且需要持续每日提醒的新增标的。若后续出现正式指数公司公告，将记录公告日、正式生效日、被动资金窗口和预期交易量；在正式纳入前每日提醒，纳入后结束提醒。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0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65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近月到期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Call/Put成交量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最大执行价成交占比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提示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LITE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1.55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11.0%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COHR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1.28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25.3%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CIEN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1.65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23.9%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AAOI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2.10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21.7%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MU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1.64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9.1%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SNDK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1.17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4.9%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NVDA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1.41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19.3%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AVGO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1.69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10.2%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META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2.36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10.0%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FICO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0.83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38.6%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put-heavy, put-volume/OI&gt;=2,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MRNA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1.93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14.3%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put-heavy,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TWST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2026-11-20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0.53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26.0%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CRDO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1.14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19.1%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MRVL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1.59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9.6%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GME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12.04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16.4%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6401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_aler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64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图：公开期权链异常扫描。来源/口径：Nasdaq public option-chain endpoint；检查时点 2026-10-29T20:44:49-04:00；无执行方向确认。。</w:t>
      </w:r>
    </w:p>
    <w:p>
      <w:pPr>
        <w:spacing w:after="120" w:line="276" w:lineRule="auto"/>
      </w:pPr>
      <w:r>
        <w:t xml:space="preserve">解读规则：本次触发异常阈值的标的为 </w:t>
      </w:r>
      <w:r>
        <w:rPr>
          <w:shd w:fill="E7E6E6"/>
        </w:rPr>
        <w:t>LITE</w:t>
      </w:r>
      <w:r>
        <w:t xml:space="preserve">, </w:t>
      </w:r>
      <w:r>
        <w:rPr>
          <w:shd w:fill="E7E6E6"/>
        </w:rPr>
        <w:t>COHR</w:t>
      </w:r>
      <w:r>
        <w:t xml:space="preserve">, </w:t>
      </w:r>
      <w:r>
        <w:rPr>
          <w:shd w:fill="E7E6E6"/>
        </w:rPr>
        <w:t>CIEN</w:t>
      </w:r>
      <w:r>
        <w:t xml:space="preserve">, </w:t>
      </w:r>
      <w:r>
        <w:rPr>
          <w:shd w:fill="E7E6E6"/>
        </w:rPr>
        <w:t>AAOI</w:t>
      </w:r>
      <w:r>
        <w:t xml:space="preserve">, </w:t>
      </w:r>
      <w:r>
        <w:rPr>
          <w:shd w:fill="E7E6E6"/>
        </w:rPr>
        <w:t>SNDK</w:t>
      </w:r>
      <w:r>
        <w:t xml:space="preserve">, </w:t>
      </w:r>
      <w:r>
        <w:rPr>
          <w:shd w:fill="E7E6E6"/>
        </w:rPr>
        <w:t>FICO</w:t>
      </w:r>
      <w:r>
        <w:t xml:space="preserve">, </w:t>
      </w:r>
      <w:r>
        <w:t>MRNA</w:t>
      </w:r>
      <w:r>
        <w:t xml:space="preserve">, </w:t>
      </w:r>
      <w:r>
        <w:t>TWST</w:t>
      </w:r>
      <w:r>
        <w:t xml:space="preserve">, </w:t>
      </w:r>
      <w:r>
        <w:t>GME</w:t>
      </w:r>
      <w:r>
        <w:t>。执行价集中度只能说明成交/未平仓结构围绕少数执行价聚集，可能对应事件对冲、做市商库存管理、价位 pinning 或投机性集中下注；在没有执行侧、开平仓、扫单/大宗标签时，不等于看涨、看跌、净买入或净卖出。</w:t>
      </w:r>
    </w:p>
    <w:p>
      <w:pPr>
        <w:spacing w:after="120" w:line="276" w:lineRule="auto"/>
      </w:pPr>
      <w:r>
        <w:t xml:space="preserve">期权数据限制：本次优先抓取 Nasdaq 公共链，StockWe 每笔成交方向未形成可验证数据；缺少执行侧、开平仓、IV历史与 </w:t>
      </w:r>
      <w:r>
        <w:t>GEX</w:t>
      </w:r>
      <w:r>
        <w:t>，故不编造“机构买 Call/买 Put”结论。</w:t>
      </w:r>
    </w:p>
    <w:p>
      <w:pPr>
        <w:pStyle w:val="Heading1"/>
        <w:keepNext/>
      </w:pPr>
      <w:r>
        <w:t>11. Derivatives, Gamma &amp; Flows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19906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9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图：Near-Expiry Option Structure。来源/口径：Nasdaq 公共期权链；Call/Put 成交量比不等于买卖方向。。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983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_curv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图：10Y Treasury Yield Proxy。来源/口径：^TNX 公开代理；前收与目标收盘的变化用于利率传导观察。。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16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17.20 / 98.01 / 151.03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波动率与尾部保护需求偏高，但未到恐慌级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0DTE / GEX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没有公开、可审计的全市场实时 GEX，不推断正/负 Gamma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MOC / 尾盘20分钟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5分钟接口本次返回空序列，不能判断 Imbalance Buy/Sell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GS/PB / CTA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不披露内部净买入、总交易量或实时触发线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今天可确认的是价格与横截面结构：标普 -0.30%、纳指 -1.38%，广度上涨占比 73.0%，</w:t>
      </w:r>
      <w:r>
        <w:rPr>
          <w:shd w:fill="E7E6E6"/>
        </w:rPr>
        <w:t>QQQ</w:t>
      </w:r>
      <w:r>
        <w:t xml:space="preserve"> 对 </w:t>
      </w:r>
      <w:r>
        <w:rPr>
          <w:shd w:fill="E7E6E6"/>
        </w:rPr>
        <w:t>RSP</w:t>
      </w:r>
      <w:r>
        <w:t xml:space="preserve"> 的日差为 -2.62pp，高 Beta 对低波动为 -0.23pp。因此对冲基金去杠杆仍是结构性假设，而不是已经被 </w:t>
      </w:r>
      <w:r>
        <w:t>PB</w:t>
      </w:r>
      <w:r>
        <w:t xml:space="preserve"> 数据证实的事实。</w:t>
      </w:r>
    </w:p>
    <w:p>
      <w:r>
        <w:br w:type="page"/>
      </w:r>
    </w:p>
    <w:p>
      <w:pPr>
        <w:pStyle w:val="Heading1"/>
        <w:keepNext/>
      </w:pPr>
      <w:r>
        <w:t>12. Post-Bell / Next Session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30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时间/事件</w:t>
            </w:r>
          </w:p>
        </w:tc>
        <w:tc>
          <w:tcPr>
            <w:tcW w:type="dxa" w:w="187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跟踪重点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2026-10-29 美股交易日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已完成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观察 SOXX/光通信是否出现相对止跌，及 RSP-SPY 价差是否继续扩大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JPMorgan 投资者活动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公开日程待核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若出现公司交流或指引，按新事件而非历史财报处理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宏观：油价/美元/利率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持续跟踪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美元与油价同时上行是否继续压制高 Beta 与小盘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指数纳入与期权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无当前提醒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若出现正式公告或异常执行价聚集，进入下一日报告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A-Share &amp; Hong Kong Mapping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0423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pin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04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图：US to A/H Read-through。来源/口径：基于当日价格偏好与产业链关系的情景映射；不是 A/H 盘中实际资金流。。</w:t>
      </w:r>
    </w:p>
    <w:p>
      <w:pPr>
        <w:spacing w:after="120" w:line="276" w:lineRule="auto"/>
      </w:pPr>
      <w:r>
        <w:t>映射只做产业链方向，不把美股单日跌幅机械外推到 A/H 股。</w:t>
      </w:r>
      <w:r>
        <w:t>AI</w:t>
      </w:r>
      <w:r>
        <w:t xml:space="preserve"> 硬件/光互联对应光模块、连接器、</w:t>
      </w:r>
      <w:r>
        <w:t>PCB</w:t>
      </w:r>
      <w:r>
        <w:t xml:space="preserve">、交换机、服务器和液冷；存储链对应 </w:t>
      </w:r>
      <w:r>
        <w:t>DRAM</w:t>
      </w:r>
      <w:r>
        <w:t>/</w:t>
      </w:r>
      <w:r>
        <w:t>NAND</w:t>
      </w:r>
      <w:r>
        <w:t xml:space="preserve"> 与控制器；Tier 1 平台走强而 Tier 2 硬件走弱时，应优先观察 A/H 市场是否出现高位主题分化、资金向现金流和低估值环节切换。通信服务与运营商相对强，不等于 A/H 通信设备必然上涨，需要结合人民币、北向/南向和本地估值。</w:t>
      </w:r>
    </w:p>
    <w:p>
      <w:pPr>
        <w:pStyle w:val="Heading1"/>
        <w:keepNext/>
      </w:pPr>
      <w:r>
        <w:t>14. Data Appendix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001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breadth data。来源/口径：同上；503只S&amp;P 500成分。。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factor proxies。来源/口径：同上；ETF代理，不等同于可交易因子组合收益。。</w:t>
      </w:r>
    </w:p>
    <w:p>
      <w:pPr>
        <w:spacing w:after="120" w:line="276" w:lineRule="auto"/>
      </w:pPr>
      <w:r>
        <w:t xml:space="preserve">数据完整性：核心日线若缺少目标日收盘，则由 Yahoo Chart </w:t>
      </w:r>
      <w:r>
        <w:t>API</w:t>
      </w:r>
      <w:r>
        <w:t xml:space="preserve"> 的目标交易日 5分钟常规现金盘聚合重建，并在运行日志保留该口径；S&amp;P 500 成分广度与行业代理均经过目标日校验。期权链为公开快照，</w:t>
      </w:r>
      <w:r>
        <w:t>PB</w:t>
      </w:r>
      <w:r>
        <w:t>、</w:t>
      </w:r>
      <w:r>
        <w:t>CTA</w:t>
      </w:r>
      <w:r>
        <w:t xml:space="preserve">、真实 </w:t>
      </w:r>
      <w:r>
        <w:t>GEX</w:t>
      </w:r>
      <w:r>
        <w:t>、执行方向仍不可得；所有不可得项均保留为“不可得”，没有用估计值替代。</w:t>
      </w:r>
    </w:p>
    <w:p>
      <w:pPr>
        <w:pStyle w:val="Heading1"/>
        <w:keepNext/>
      </w:pPr>
      <w:r>
        <w:t>15. Sources</w:t>
      </w:r>
    </w:p>
    <w:p>
      <w:hyperlink r:id="rId37">
        <w:r>
          <w:rPr/>
          <w:t>AP market recap（指数、板块与个股收盘摘要）</w:t>
        </w:r>
      </w:hyperlink>
    </w:p>
    <w:p>
      <w:hyperlink r:id="rId38">
        <w:r>
          <w:rPr/>
          <w:t>Meta 官方：Muse Wonder / Muse Wonder Full</w:t>
        </w:r>
      </w:hyperlink>
    </w:p>
    <w:p>
      <w:hyperlink r:id="rId39">
        <w:r>
          <w:rPr/>
          <w:t>Broadcom CEO AI 预期相关二手报道</w:t>
        </w:r>
      </w:hyperlink>
    </w:p>
    <w:p>
      <w:hyperlink r:id="rId40">
        <w:r>
          <w:rPr/>
          <w:t>Nasdaq public option chain example: LITE</w:t>
        </w:r>
      </w:hyperlink>
    </w:p>
    <w:p>
      <w:hyperlink r:id="rId41">
        <w:r>
          <w:rPr/>
          <w:t>Yahoo Finance Chart API example: SPY</w:t>
        </w:r>
      </w:hyperlink>
    </w:p>
    <w:p>
      <w:hyperlink r:id="rId42">
        <w:r>
          <w:rPr/>
          <w:t>BLS October 2026 release schedule</w:t>
        </w:r>
      </w:hyperlink>
    </w:p>
    <w:p>
      <w:pPr>
        <w:spacing w:after="60" w:line="276" w:lineRule="auto"/>
      </w:pPr>
      <w:r>
        <w:rPr>
          <w:color w:val="555555"/>
          <w:sz w:val="17"/>
        </w:rPr>
        <w:t>方法声明：本报告为收盘后复盘，不构成投资建议。公司事件优先使用官方公告；媒体和二手报道只作为待验线索。价格归因区分“已确认”“二手报道”“结构性解释”“待验”，避免把相关性写成因果性。</w:t>
      </w:r>
    </w:p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Calibri" w:hAnsi="Calibri" w:eastAsia="Microsoft YaHe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rFonts w:ascii="Calibri" w:hAnsi="Calibri" w:eastAsia="Microsoft YaHei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hyperlink" Target="https://apnews.com/article/f07713e8b2e438ac5903b50f5ce97235" TargetMode="External"/><Relationship Id="rId38" Type="http://schemas.openxmlformats.org/officeDocument/2006/relationships/hyperlink" Target="https://about.fb.com/news/2026/10/introducing-muse-wonder-models/" TargetMode="External"/><Relationship Id="rId39" Type="http://schemas.openxmlformats.org/officeDocument/2006/relationships/hyperlink" Target="https://www.investing.com/news/stock-market-news/broadcom-ceo-says-many-ai-investors-are-gamblers-4943815" TargetMode="External"/><Relationship Id="rId40" Type="http://schemas.openxmlformats.org/officeDocument/2006/relationships/hyperlink" Target="https://www.nasdaq.com/market-activity/stocks/lite/option-chain" TargetMode="External"/><Relationship Id="rId41" Type="http://schemas.openxmlformats.org/officeDocument/2006/relationships/hyperlink" Target="https://query1.finance.yahoo.com/v8/finance/chart/SPY" TargetMode="External"/><Relationship Id="rId42" Type="http://schemas.openxmlformats.org/officeDocument/2006/relationships/hyperlink" Target="https://www.bls.gov/schedule/2026/10_sched_list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