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-0.35%、标普500 -0.02%、纳指 -0.15%、Russell 2000 -0.40%；S&amp;P 500 广度为上涨 265、下跌 237，涨跌比 1.12。板块当日相对强弱由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（能源）+1.80%、</w:t>
      </w:r>
      <w:r>
        <w:rPr>
          <w:highlight w:val="yellow"/>
          <w:shd w:fill="E7E6E6"/>
        </w:rPr>
        <w:t>XLC</w:t>
      </w:r>
      <w:r>
        <w:rPr>
          <w:highlight w:val="yellow"/>
        </w:rPr>
        <w:t>（通信服务）+0.74%、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（住宅建筑）+0.62% 领跑，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（医疗保健）-1.35%、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（黄金矿业）-1.46%、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（生物医药）-3.04%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102.16 / 94.87 / 83,397.73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（住宅建筑）+0.62%，相对最弱为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（生物医药）-3.04%；上涨占比 52.7%。需要把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（住宅建筑）+0.62%，相对压力集中在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CIEN</w:t>
      </w:r>
      <w:r>
        <w:t xml:space="preserve"> -1.14%、</w:t>
      </w:r>
      <w:r>
        <w:rPr>
          <w:shd w:fill="E7E6E6"/>
        </w:rPr>
        <w:t>COHR</w:t>
      </w:r>
      <w:r>
        <w:t xml:space="preserve"> +0.68%、</w:t>
      </w:r>
      <w:r>
        <w:rPr>
          <w:shd w:fill="E7E6E6"/>
        </w:rPr>
        <w:t>AAOI</w:t>
      </w:r>
      <w:r>
        <w:t xml:space="preserve"> -2.88%、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FICO</w:t>
      </w:r>
      <w:r>
        <w:t xml:space="preserve"> -2.29%、</w:t>
      </w:r>
      <w:r>
        <w:rPr>
          <w:shd w:fill="E7E6E6"/>
        </w:rPr>
        <w:t>FIGS</w:t>
      </w:r>
      <w:r>
        <w:t xml:space="preserve"> +1.47%、</w:t>
      </w:r>
      <w:r>
        <w:rPr>
          <w:shd w:fill="E7E6E6"/>
        </w:rPr>
        <w:t>MDT</w:t>
      </w:r>
      <w:r>
        <w:t xml:space="preserve"> +1.17%。这些是价格/成交异常候选，若当天没有新公告、研报、公司交流或可验证传闻，只能标为结构性重定价或待验，不能把行业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-0.38%，软件等权 -0.18%，价差（Semi - Software）-0.20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+2.63%；固定名单不自动升级为事件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只有找到同日产品、管理层或研究增量，才升级为事件催化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+0.73%；本报告不重复历史财报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结合半导体等权、成交和期权结构判断，不把旧财报写成今日原因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LITE/CIEN/COHR/AAOI/CRDO：LITE -0.75%、CIEN -1.14%、COHR +0.68%、AAOI -2.88%、CRDO -1.26%、FICO -2.29%、FIGS +1.47%、MDT +1.17%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异常候选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若没有同日证据，暂归行业/估值/仓位重定价，FCC 不是默认解释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+4.23%；未由固定名单自动触发新事件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只在出现同日公告、研报、交流或指引变化时升级为公司催化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+0.97%、</w:t>
      </w:r>
      <w:r>
        <w:rPr>
          <w:shd w:fill="E7E6E6"/>
        </w:rPr>
        <w:t>AVGO</w:t>
      </w:r>
      <w:r>
        <w:t xml:space="preserve"> +0.73%、</w:t>
      </w:r>
      <w:r>
        <w:rPr>
          <w:shd w:fill="E7E6E6"/>
        </w:rPr>
        <w:t>MSFT</w:t>
      </w:r>
      <w:r>
        <w:t xml:space="preserve"> +0.43%、</w:t>
      </w:r>
      <w:r>
        <w:rPr>
          <w:shd w:fill="E7E6E6"/>
        </w:rPr>
        <w:t>META</w:t>
      </w:r>
      <w:r>
        <w:t xml:space="preserve"> +2.63%；Tier 2 网络、存储和光互联代表为 </w:t>
      </w:r>
      <w:r>
        <w:rPr>
          <w:shd w:fill="E7E6E6"/>
        </w:rPr>
        <w:t>MU</w:t>
      </w:r>
      <w:r>
        <w:t xml:space="preserve"> -3.62%、</w:t>
      </w:r>
      <w:r>
        <w:rPr>
          <w:shd w:fill="E7E6E6"/>
        </w:rPr>
        <w:t>SNDK</w:t>
      </w:r>
      <w:r>
        <w:t xml:space="preserve"> -0.34%、</w:t>
      </w:r>
      <w:r>
        <w:rPr>
          <w:shd w:fill="E7E6E6"/>
        </w:rPr>
        <w:t>MRVL</w:t>
      </w:r>
      <w:r>
        <w:t xml:space="preserve"> +1.08%、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COHR</w:t>
      </w:r>
      <w:r>
        <w:t xml:space="preserve"> +0.68%。这组数据只能说明当天价格速度和相对分化，不能单独证明订单、客户或资本开支发生变化；后者需要公司公告、会议或可复核产业数据。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AMAT</w:t>
      </w:r>
      <w:r>
        <w:t xml:space="preserve"> -6.69%（成交约1.52x均量）；</w:t>
      </w:r>
      <w:r>
        <w:rPr>
          <w:shd w:fill="E7E6E6"/>
        </w:rPr>
        <w:t>JNJ</w:t>
      </w:r>
      <w:r>
        <w:t xml:space="preserve"> -5.73%（成交约3.78x均量）；C -5.60%（成交约3.44x均量）；</w:t>
      </w:r>
      <w:r>
        <w:rPr>
          <w:shd w:fill="E7E6E6"/>
        </w:rPr>
        <w:t>IONQ</w:t>
      </w:r>
      <w:r>
        <w:t xml:space="preserve"> -4.25%（成交约2.91x均量）；</w:t>
      </w:r>
      <w:r>
        <w:rPr>
          <w:shd w:fill="E7E6E6"/>
        </w:rPr>
        <w:t>ORCL</w:t>
      </w:r>
      <w:r>
        <w:t xml:space="preserve"> +4.23%（成交约0.70x均量）；</w:t>
      </w:r>
      <w:r>
        <w:rPr>
          <w:shd w:fill="E7E6E6"/>
        </w:rPr>
        <w:t>MU</w:t>
      </w:r>
      <w:r>
        <w:t xml:space="preserve"> -3.62%（成交约1.38x均量）。这些名字先记录为价格/成交异常，随后核对同日公告、研报、公司交流、行业数据或传闻原始出处；没有证据时保留“待验”，不把涨跌倒推成原因。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约0.79x均量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（住宅建筑）+0.62%，后列为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>（生物医药）-3.04%；S&amp;P 广度上涨占比 52.7%，</w:t>
      </w:r>
      <w:r>
        <w:rPr>
          <w:shd w:fill="E7E6E6"/>
        </w:rPr>
        <w:t>RSP</w:t>
      </w:r>
      <w:r>
        <w:t xml:space="preserve"> +0.05% 对比 </w:t>
      </w:r>
      <w:r>
        <w:rPr>
          <w:shd w:fill="E7E6E6"/>
        </w:rPr>
        <w:t>SPY</w:t>
      </w:r>
      <w:r>
        <w:t xml:space="preserve"> -0.01%。这能支持参与度和相对偏好的判断，但没有直接基金流、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2026-10-13T20:30:22-04:00；无执行方向确认。。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