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2026-10-16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报告日期：2026-10-17（北京时间）｜覆盖交易日：2026-10-16（美国现金盘）｜数据截点：收盘及可获得的盘后公开链数据。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-0.34%、标普500 -1.09%、纳指 -2.15%、Russell 2000 -1.66%；S&amp;P 500 广度为上涨 348、下跌 154，涨跌比 2.26。板块当日相对强弱由 </w:t>
      </w:r>
      <w:r>
        <w:rPr>
          <w:highlight w:val="yellow"/>
          <w:shd w:fill="E7E6E6"/>
        </w:rPr>
        <w:t>XLE</w:t>
      </w:r>
      <w:r>
        <w:rPr>
          <w:highlight w:val="yellow"/>
        </w:rPr>
        <w:t>（能源）+2.52%、</w:t>
      </w:r>
      <w:r>
        <w:rPr>
          <w:highlight w:val="yellow"/>
          <w:shd w:fill="E7E6E6"/>
        </w:rPr>
        <w:t>XLU</w:t>
      </w:r>
      <w:r>
        <w:rPr>
          <w:highlight w:val="yellow"/>
        </w:rPr>
        <w:t>（公用事业）+1.34%、</w:t>
      </w:r>
      <w:r>
        <w:rPr>
          <w:highlight w:val="yellow"/>
          <w:shd w:fill="E7E6E6"/>
        </w:rPr>
        <w:t>XLP</w:t>
      </w:r>
      <w:r>
        <w:rPr>
          <w:highlight w:val="yellow"/>
        </w:rPr>
        <w:t>（必选消费）+1.08% 领跑，</w:t>
      </w:r>
      <w:r>
        <w:rPr>
          <w:highlight w:val="yellow"/>
          <w:shd w:fill="E7E6E6"/>
        </w:rPr>
        <w:t>ARKK</w:t>
      </w:r>
      <w:r>
        <w:rPr>
          <w:highlight w:val="yellow"/>
        </w:rPr>
        <w:t>（创新成长）-4.71%、</w:t>
      </w:r>
      <w:r>
        <w:rPr>
          <w:highlight w:val="yellow"/>
          <w:shd w:fill="E7E6E6"/>
        </w:rPr>
        <w:t>IGV</w:t>
      </w:r>
      <w:r>
        <w:rPr>
          <w:highlight w:val="yellow"/>
        </w:rPr>
        <w:t>（软件）-4.80%、</w:t>
      </w:r>
      <w:r>
        <w:rPr>
          <w:highlight w:val="yellow"/>
          <w:shd w:fill="E7E6E6"/>
        </w:rPr>
        <w:t>SKYY</w:t>
      </w:r>
      <w:r>
        <w:rPr>
          <w:highlight w:val="yellow"/>
        </w:rPr>
        <w:t>（云计算）-4.87%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52,002.41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-0.34%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+0.67%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7,659.44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-1.09%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-1.95%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26,140.03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-2.15%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-4.48%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2,721.37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-1.66%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-3.05%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19.99 / 109.91 / 168.59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+21.45%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101.78 / 99.04 / 8.15万美元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-0.22% / WTI +1.09% / BTC -0.78%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XLE</w:t>
      </w:r>
      <w:r>
        <w:t>（能源）+2.52%、</w:t>
      </w:r>
      <w:r>
        <w:rPr>
          <w:shd w:fill="E7E6E6"/>
        </w:rPr>
        <w:t>XLU</w:t>
      </w:r>
      <w:r>
        <w:t>（公用事业）+1.34%、</w:t>
      </w:r>
      <w:r>
        <w:rPr>
          <w:shd w:fill="E7E6E6"/>
        </w:rPr>
        <w:t>XLP</w:t>
      </w:r>
      <w:r>
        <w:t xml:space="preserve">（必选消费）+1.08%，相对最弱为 </w:t>
      </w:r>
      <w:r>
        <w:rPr>
          <w:shd w:fill="E7E6E6"/>
        </w:rPr>
        <w:t>ARKK</w:t>
      </w:r>
      <w:r>
        <w:t>（创新成长）-4.71%、</w:t>
      </w:r>
      <w:r>
        <w:rPr>
          <w:shd w:fill="E7E6E6"/>
        </w:rPr>
        <w:t>IGV</w:t>
      </w:r>
      <w:r>
        <w:t>（软件）-4.80%、</w:t>
      </w:r>
      <w:r>
        <w:rPr>
          <w:shd w:fill="E7E6E6"/>
        </w:rPr>
        <w:t>SKYY</w:t>
      </w:r>
      <w:r>
        <w:t xml:space="preserve">（云计算）-4.87%；上涨占比 69.2%。需要把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XLE</w:t>
      </w:r>
      <w:r>
        <w:t>（能源）+2.52%、</w:t>
      </w:r>
      <w:r>
        <w:rPr>
          <w:shd w:fill="E7E6E6"/>
        </w:rPr>
        <w:t>XLU</w:t>
      </w:r>
      <w:r>
        <w:t>（公用事业）+1.34%、</w:t>
      </w:r>
      <w:r>
        <w:rPr>
          <w:shd w:fill="E7E6E6"/>
        </w:rPr>
        <w:t>XLP</w:t>
      </w:r>
      <w:r>
        <w:t xml:space="preserve">（必选消费）+1.08%，相对压力集中在 </w:t>
      </w:r>
      <w:r>
        <w:rPr>
          <w:shd w:fill="E7E6E6"/>
        </w:rPr>
        <w:t>ARKK</w:t>
      </w:r>
      <w:r>
        <w:t>（创新成长）-4.71%、</w:t>
      </w:r>
      <w:r>
        <w:rPr>
          <w:shd w:fill="E7E6E6"/>
        </w:rPr>
        <w:t>IGV</w:t>
      </w:r>
      <w:r>
        <w:t>（软件）-4.80%、</w:t>
      </w:r>
      <w:r>
        <w:rPr>
          <w:shd w:fill="E7E6E6"/>
        </w:rPr>
        <w:t>SKYY</w:t>
      </w:r>
      <w:r>
        <w:t xml:space="preserve">（云计算）-4.87%；20日维度需要结合热图判断是否只是短期反转。没有直接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异常个股必须回填在行业图旁：本次扫描得到 </w:t>
      </w:r>
      <w:r>
        <w:rPr>
          <w:shd w:fill="E7E6E6"/>
        </w:rPr>
        <w:t>LITE</w:t>
      </w:r>
      <w:r>
        <w:t xml:space="preserve"> -5.22%、</w:t>
      </w:r>
      <w:r>
        <w:rPr>
          <w:shd w:fill="E7E6E6"/>
        </w:rPr>
        <w:t>CIEN</w:t>
      </w:r>
      <w:r>
        <w:t xml:space="preserve"> -6.67%、</w:t>
      </w:r>
      <w:r>
        <w:rPr>
          <w:shd w:fill="E7E6E6"/>
        </w:rPr>
        <w:t>COHR</w:t>
      </w:r>
      <w:r>
        <w:t xml:space="preserve"> -7.06%、</w:t>
      </w:r>
      <w:r>
        <w:rPr>
          <w:shd w:fill="E7E6E6"/>
        </w:rPr>
        <w:t>AAOI</w:t>
      </w:r>
      <w:r>
        <w:t xml:space="preserve"> -9.75%、</w:t>
      </w:r>
      <w:r>
        <w:rPr>
          <w:shd w:fill="E7E6E6"/>
        </w:rPr>
        <w:t>CRDO</w:t>
      </w:r>
      <w:r>
        <w:t xml:space="preserve"> -4.93%、</w:t>
      </w:r>
      <w:r>
        <w:rPr>
          <w:shd w:fill="E7E6E6"/>
        </w:rPr>
        <w:t>FICO</w:t>
      </w:r>
      <w:r>
        <w:t xml:space="preserve"> +0.16%、</w:t>
      </w:r>
      <w:r>
        <w:rPr>
          <w:shd w:fill="E7E6E6"/>
        </w:rPr>
        <w:t>FIGS</w:t>
      </w:r>
      <w:r>
        <w:t xml:space="preserve"> -2.15%、</w:t>
      </w:r>
      <w:r>
        <w:rPr>
          <w:shd w:fill="E7E6E6"/>
        </w:rPr>
        <w:t>MDT</w:t>
      </w:r>
      <w:r>
        <w:t xml:space="preserve"> -0.73%。这些是价格/成交异常候选，若当天没有新公告、研报、公司交流或可验证传闻，只能标为结构性重定价或待验，不能把行业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-4.18%，软件等权 -5.26%，价差（Semi - Software）+1.08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+0.66pp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-4.41pp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-7.43pp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+2.73pp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+10.63pp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+11.07pp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-1.74pp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-3.16pp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+1.23pp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-2.08pp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-6.01pp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-2.46pp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-2.83pp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-9.20pp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-6.49pp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-2.89pp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-4.00pp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+0.31pp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-7.85pp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-8.50pp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-3.19pp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-10.37pp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-8.46pp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-0.58pp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-1.08pp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-5.01pp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+0.66pp / 5D -4.41pp / 20D -7.43pp（CONFIRMED）；Mag7 - Tech ex-Mag7 1D +2.73pp / 5D +10.63pp / 20D +11.07pp（EXTENDED）；Mag7 - </w:t>
      </w:r>
      <w:r>
        <w:rPr>
          <w:shd w:fill="E7E6E6"/>
        </w:rPr>
        <w:t>RSP</w:t>
      </w:r>
      <w:r>
        <w:t xml:space="preserve"> 1D -1.74pp / 5D -3.16pp / 20D +1.23pp（REVERSING）；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-2.08pp / 5D -6.01pp / 20D -2.46pp（CONFIRMED）；Growth - Defensive 1D -2.83pp / 5D -9.20pp / 20D -6.49pp（CONFIRMED）；Cyclical - Defensive 1D -0.07pp / 5D -2.89pp / 20D -4.00pp（UNCLEAR）；</w:t>
      </w:r>
      <w:r>
        <w:t>AI</w:t>
      </w:r>
      <w:r>
        <w:t xml:space="preserve"> CapEx - </w:t>
      </w:r>
      <w:r>
        <w:t>AI</w:t>
      </w:r>
      <w:r>
        <w:t xml:space="preserve"> Applications 1D +0.31pp / 5D -7.85pp / 20D -8.50pp（UNCLEAR）；High Beta - Low Vol 1D -3.19pp / 5D -10.37pp / 20D -8.46pp（CONFIRMED）；Small Cap - Large Cap 1D -0.58pp / 5D -1.08pp / 20D -5.01pp（CONFIRMED）。上涨占比 69.2%，因此需把指数方向、横截面参与度和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348、下跌 154、不变 1，上涨占比 69.2%，涨跌比 2.26；252日新高 30、新低 3。这不是“全市场风险关闭”，而是指数权重和主题结构在切换。</w:t>
      </w:r>
      <w:r>
        <w:rPr>
          <w:shd w:fill="E7E6E6"/>
        </w:rPr>
        <w:t>RSP</w:t>
      </w:r>
      <w:r>
        <w:t xml:space="preserve"> 当日 -0.42%，</w:t>
      </w:r>
      <w:r>
        <w:rPr>
          <w:shd w:fill="E7E6E6"/>
        </w:rPr>
        <w:t>SPY</w:t>
      </w:r>
      <w:r>
        <w:t xml:space="preserve"> -1.11%，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+0.68pp，等权参与度优于市值加权。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69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69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4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12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-3.51% 对比 </w:t>
      </w:r>
      <w:r>
        <w:rPr>
          <w:shd w:fill="E7E6E6"/>
        </w:rPr>
        <w:t>USMV</w:t>
      </w:r>
      <w:r>
        <w:t xml:space="preserve"> -0.32%（差 -3.19pp），</w:t>
      </w:r>
      <w:r>
        <w:rPr>
          <w:shd w:fill="E7E6E6"/>
        </w:rPr>
        <w:t>IWM</w:t>
      </w:r>
      <w:r>
        <w:t xml:space="preserve"> -1.69% 对比 </w:t>
      </w:r>
      <w:r>
        <w:rPr>
          <w:shd w:fill="E7E6E6"/>
        </w:rPr>
        <w:t>SPY</w:t>
      </w:r>
      <w:r>
        <w:t xml:space="preserve"> -1.11%（差 -0.58pp）。在宏观美元与油价同时偏强的环境下，对冲基金去杠杆是一个待验证的结构性假设，而不是已经被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APLD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-11.48%；成交 1.66x均量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IREN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-11.19%；成交 1.61x均量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LCID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-10.57%；成交 0.96x均量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SMCI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-9.86%；成交 1.21x均量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-9.75%；成交 1.51x均量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MSTR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-9.56%；成交 1.43x均量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-1.43%、</w:t>
      </w:r>
      <w:r>
        <w:rPr>
          <w:shd w:fill="E7E6E6"/>
        </w:rPr>
        <w:t>AVGO</w:t>
      </w:r>
      <w:r>
        <w:t xml:space="preserve"> -4.52%、</w:t>
      </w:r>
      <w:r>
        <w:rPr>
          <w:shd w:fill="E7E6E6"/>
        </w:rPr>
        <w:t>MSFT</w:t>
      </w:r>
      <w:r>
        <w:t xml:space="preserve"> -1.93%、</w:t>
      </w:r>
      <w:r>
        <w:rPr>
          <w:shd w:fill="E7E6E6"/>
        </w:rPr>
        <w:t>META</w:t>
      </w:r>
      <w:r>
        <w:t xml:space="preserve"> -3.72%；Tier 2 网络、存储和光互联代表为 </w:t>
      </w:r>
      <w:r>
        <w:rPr>
          <w:shd w:fill="E7E6E6"/>
        </w:rPr>
        <w:t>MU</w:t>
      </w:r>
      <w:r>
        <w:t xml:space="preserve"> -5.63%、</w:t>
      </w:r>
      <w:r>
        <w:rPr>
          <w:shd w:fill="E7E6E6"/>
        </w:rPr>
        <w:t>SNDK</w:t>
      </w:r>
      <w:r>
        <w:t xml:space="preserve"> -6.85%、</w:t>
      </w:r>
      <w:r>
        <w:rPr>
          <w:shd w:fill="E7E6E6"/>
        </w:rPr>
        <w:t>MRVL</w:t>
      </w:r>
      <w:r>
        <w:t xml:space="preserve"> -5.56%、</w:t>
      </w:r>
      <w:r>
        <w:rPr>
          <w:shd w:fill="E7E6E6"/>
        </w:rPr>
        <w:t>CRDO</w:t>
      </w:r>
      <w:r>
        <w:t xml:space="preserve"> -4.93%、</w:t>
      </w:r>
      <w:r>
        <w:rPr>
          <w:shd w:fill="E7E6E6"/>
        </w:rPr>
        <w:t>LITE</w:t>
      </w:r>
      <w:r>
        <w:t xml:space="preserve"> -5.22%、</w:t>
      </w:r>
      <w:r>
        <w:rPr>
          <w:shd w:fill="E7E6E6"/>
        </w:rPr>
        <w:t>COHR</w:t>
      </w:r>
      <w:r>
        <w:t xml:space="preserve"> -7.06%。这组数据只能说明当天价格速度和相对分化，不能单独证明订单、客户或资本开支发生变化；后者需要公司公告、会议或可复核产业数据。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991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rPr>
          <w:shd w:fill="E7E6E6"/>
        </w:rPr>
        <w:t>APLD</w:t>
      </w:r>
      <w:r>
        <w:t xml:space="preserve"> -11.48%（成交约1.66x均量）；</w:t>
      </w:r>
      <w:r>
        <w:rPr>
          <w:shd w:fill="E7E6E6"/>
        </w:rPr>
        <w:t>IREN</w:t>
      </w:r>
      <w:r>
        <w:t xml:space="preserve"> -11.19%（成交约1.61x均量）；</w:t>
      </w:r>
      <w:r>
        <w:rPr>
          <w:shd w:fill="E7E6E6"/>
        </w:rPr>
        <w:t>LCID</w:t>
      </w:r>
      <w:r>
        <w:t xml:space="preserve"> -10.57%（成交约0.96x均量）；</w:t>
      </w:r>
      <w:r>
        <w:rPr>
          <w:shd w:fill="E7E6E6"/>
        </w:rPr>
        <w:t>SMCI</w:t>
      </w:r>
      <w:r>
        <w:t xml:space="preserve"> -9.86%（成交约1.21x均量）；</w:t>
      </w:r>
      <w:r>
        <w:rPr>
          <w:shd w:fill="E7E6E6"/>
        </w:rPr>
        <w:t>AAOI</w:t>
      </w:r>
      <w:r>
        <w:t xml:space="preserve"> -9.75%（成交约1.51x均量）；</w:t>
      </w:r>
      <w:r>
        <w:rPr>
          <w:shd w:fill="E7E6E6"/>
        </w:rPr>
        <w:t>MSTR</w:t>
      </w:r>
      <w:r>
        <w:t xml:space="preserve"> -9.56%（成交约1.43x均量）。这些名字先记录为价格/成交异常，随后核对同日公告、研报、公司交流、行业数据或传闻原始出处；没有证据时保留“待验”，不把涨跌倒推成原因。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+2.52%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+1.08%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-0.27% / -0.50%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-0.23pp，行业内部需拆分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-1.89%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+0.71% / -0.88%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-3.65% / -5.16%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31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3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04642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APLD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-11.48%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1.66x均量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IREN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-11.19%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1.61x均量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LCID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-10.57%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0.96x均量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SMCI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-9.86%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1.21x均量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-9.75%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1.51x均量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MSTR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-9.56%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1.43x均量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XLE</w:t>
      </w:r>
      <w:r>
        <w:t>（能源）+2.52%、</w:t>
      </w:r>
      <w:r>
        <w:rPr>
          <w:shd w:fill="E7E6E6"/>
        </w:rPr>
        <w:t>XLU</w:t>
      </w:r>
      <w:r>
        <w:t>（公用事业）+1.34%、</w:t>
      </w:r>
      <w:r>
        <w:rPr>
          <w:shd w:fill="E7E6E6"/>
        </w:rPr>
        <w:t>XLP</w:t>
      </w:r>
      <w:r>
        <w:t xml:space="preserve">（必选消费）+1.08%，后列为 </w:t>
      </w:r>
      <w:r>
        <w:rPr>
          <w:shd w:fill="E7E6E6"/>
        </w:rPr>
        <w:t>ARKK</w:t>
      </w:r>
      <w:r>
        <w:t>（创新成长）-4.71%、</w:t>
      </w:r>
      <w:r>
        <w:rPr>
          <w:shd w:fill="E7E6E6"/>
        </w:rPr>
        <w:t>IGV</w:t>
      </w:r>
      <w:r>
        <w:t>（软件）-4.80%、</w:t>
      </w:r>
      <w:r>
        <w:rPr>
          <w:shd w:fill="E7E6E6"/>
        </w:rPr>
        <w:t>SKYY</w:t>
      </w:r>
      <w:r>
        <w:t>（云计算）-4.87%；S&amp;P 广度上涨占比 69.2%，</w:t>
      </w:r>
      <w:r>
        <w:rPr>
          <w:shd w:fill="E7E6E6"/>
        </w:rPr>
        <w:t>RSP</w:t>
      </w:r>
      <w:r>
        <w:t xml:space="preserve"> -0.42% 对比 </w:t>
      </w:r>
      <w:r>
        <w:rPr>
          <w:shd w:fill="E7E6E6"/>
        </w:rPr>
        <w:t>SPY</w:t>
      </w:r>
      <w:r>
        <w:t xml:space="preserve"> -1.11%。这能支持参与度和相对偏好的判断，但没有直接基金流、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0.79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2.60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8.8%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2.70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MRNA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9.23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76.2%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18.2%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41785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17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2026-10-16T19:53:47-04:00；无执行方向确认。。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LITE</w:t>
      </w:r>
      <w:r>
        <w:t xml:space="preserve">, </w:t>
      </w:r>
      <w:r>
        <w:rPr>
          <w:shd w:fill="E7E6E6"/>
        </w:rPr>
        <w:t>AAOI</w:t>
      </w:r>
      <w:r>
        <w:t xml:space="preserve">, </w:t>
      </w:r>
      <w:r>
        <w:rPr>
          <w:shd w:fill="E7E6E6"/>
        </w:rPr>
        <w:t>SNDK</w:t>
      </w:r>
      <w:r>
        <w:t xml:space="preserve">, </w:t>
      </w:r>
      <w:r>
        <w:rPr>
          <w:shd w:fill="E7E6E6"/>
        </w:rPr>
        <w:t>AVGO</w:t>
      </w:r>
      <w:r>
        <w:t xml:space="preserve">, </w:t>
      </w:r>
      <w:r>
        <w:rPr>
          <w:shd w:fill="E7E6E6"/>
        </w:rPr>
        <w:t>META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MRNA</w:t>
      </w:r>
      <w:r>
        <w:t xml:space="preserve">, </w:t>
      </w:r>
      <w:r>
        <w:t>TWST</w:t>
      </w:r>
      <w:r>
        <w:t xml:space="preserve">, </w:t>
      </w:r>
      <w:r>
        <w:rPr>
          <w:shd w:fill="E7E6E6"/>
        </w:rPr>
        <w:t>CRDO</w:t>
      </w:r>
      <w:r>
        <w:t xml:space="preserve">, </w:t>
      </w:r>
      <w:r>
        <w:rPr>
          <w:shd w:fill="E7E6E6"/>
        </w:rPr>
        <w:t>MRVL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6996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69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19.99 / 109.91 / 168.59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-1.09%、纳指 -2.15%，广度上涨占比 69.2%，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-2.08pp，高 Beta 对低波动为 -3.19pp。因此对冲基金去杠杆仍是结构性假设，而不是已经被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2026-10-16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market recap（指数、板块与个股收盘摘要）</w:t>
        </w:r>
      </w:hyperlink>
    </w:p>
    <w:p>
      <w:hyperlink r:id="rId38">
        <w:r>
          <w:rPr/>
          <w:t>Meta 官方：Muse Wonder / Muse Wonder Full</w:t>
        </w:r>
      </w:hyperlink>
    </w:p>
    <w:p>
      <w:hyperlink r:id="rId39">
        <w:r>
          <w:rPr/>
          <w:t>Broadcom CEO AI 预期相关二手报道</w:t>
        </w:r>
      </w:hyperlink>
    </w:p>
    <w:p>
      <w:hyperlink r:id="rId40">
        <w:r>
          <w:rPr/>
          <w:t>Nasdaq public option chain example: LITE</w:t>
        </w:r>
      </w:hyperlink>
    </w:p>
    <w:p>
      <w:hyperlink r:id="rId41">
        <w:r>
          <w:rPr/>
          <w:t>Yahoo Finance Chart API example: SPY</w:t>
        </w:r>
      </w:hyperlink>
    </w:p>
    <w:p>
      <w:hyperlink r:id="rId42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f07713e8b2e438ac5903b50f5ce97235" TargetMode="External"/><Relationship Id="rId38" Type="http://schemas.openxmlformats.org/officeDocument/2006/relationships/hyperlink" Target="https://about.fb.com/news/2026/10/introducing-muse-wonder-models/" TargetMode="External"/><Relationship Id="rId39" Type="http://schemas.openxmlformats.org/officeDocument/2006/relationships/hyperlink" Target="https://www.investing.com/news/stock-market-news/broadcom-ceo-says-many-ai-investors-are-gamblers-4943815" TargetMode="External"/><Relationship Id="rId40" Type="http://schemas.openxmlformats.org/officeDocument/2006/relationships/hyperlink" Target="https://www.nasdaq.com/market-activity/stocks/lite/option-chain" TargetMode="External"/><Relationship Id="rId41" Type="http://schemas.openxmlformats.org/officeDocument/2006/relationships/hyperlink" Target="https://query1.finance.yahoo.com/v8/finance/chart/SPY" TargetMode="External"/><Relationship Id="rId42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