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Override PartName="/word/media/rId156.png" ContentType="image/png"/>
  <Override PartName="/word/media/rId115.png" ContentType="image/png"/>
  <Override PartName="/word/media/rId33.png" ContentType="image/png"/>
  <Override PartName="/word/media/rId57.png" ContentType="image/png"/>
  <Override PartName="/word/media/rId60.png" ContentType="image/png"/>
  <Override PartName="/word/media/rId75.png" ContentType="image/png"/>
  <Override PartName="/word/media/rId43.png" ContentType="image/png"/>
  <Override PartName="/word/media/rId206.png" ContentType="image/png"/>
  <Override PartName="/word/media/rId83.png" ContentType="image/png"/>
  <Override PartName="/word/media/rId153.png" ContentType="image/png"/>
  <Override PartName="/word/media/rId185.png" ContentType="image/png"/>
  <Override PartName="/word/media/rId68.png" ContentType="image/png"/>
  <Override PartName="/word/media/rId1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w:t>
      </w:r>
    </w:p>
    <w:p>
      <w:pPr>
        <w:pStyle w:val="Author"/>
      </w:pPr>
      <w:r>
        <w:t xml:space="preserve">Simon Dückert</w:t>
      </w:r>
    </w:p>
    <w:p>
      <w:pPr>
        <w:pStyle w:val="Date"/>
      </w:pPr>
      <w:r>
        <w:t xml:space="preserve">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0">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1"/>
    <w:bookmarkStart w:id="38" w:name="vorwort"/>
    <w:p>
      <w:pPr>
        <w:pStyle w:val="Heading1"/>
      </w:pPr>
      <w:r>
        <w:rPr>
          <w:rStyle w:val="SectionNumber"/>
        </w:rPr>
        <w:t xml:space="preserve">2</w:t>
      </w:r>
      <w:r>
        <w:tab/>
      </w:r>
      <w:r>
        <w:t xml:space="preserve">Vorwort</w:t>
      </w:r>
    </w:p>
    <w:bookmarkStart w:id="2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r>
        <w:rPr>
          <w:b/>
          <w:bCs/>
        </w:rPr>
        <w:t xml:space="preserve">Prof. Dr. Heinz Gerhäuser</w:t>
      </w:r>
      <w:r>
        <w:t xml:space="preserve">,</w:t>
      </w:r>
      <w:r>
        <w:t xml:space="preserve"> </w:t>
      </w:r>
      <w:r>
        <w:rPr>
          <w:b/>
          <w:bCs/>
        </w:rPr>
        <w:t xml:space="preserve">Dr. Hartmut Hess</w:t>
      </w:r>
      <w:r>
        <w:t xml:space="preserve">,</w:t>
      </w:r>
      <w:r>
        <w:t xml:space="preserve"> </w:t>
      </w:r>
      <w:r>
        <w:rPr>
          <w:b/>
          <w:bCs/>
        </w:rPr>
        <w:t xml:space="preserve">Dr. Heinrich Dietsch</w:t>
      </w:r>
      <w:r>
        <w:t xml:space="preserve"> </w:t>
      </w:r>
      <w:r>
        <w:t xml:space="preserve">und</w:t>
      </w:r>
      <w:r>
        <w:t xml:space="preserve"> </w:t>
      </w:r>
      <w:r>
        <w:rPr>
          <w:b/>
          <w:bCs/>
        </w:rPr>
        <w:t xml:space="preserve">Dipl. Ing. Wolfram Straus</w:t>
      </w:r>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r>
        <w:rPr>
          <w:b/>
          <w:bCs/>
        </w:rPr>
        <w:t xml:space="preserve">Norman Walsh</w:t>
      </w:r>
      <w:r>
        <w:t xml:space="preserve"> </w:t>
      </w:r>
      <w:r>
        <w:t xml:space="preserve">hat mir die Einarbeitung in das Thema XML/XSL durch das Beantworten meiner Fragen sehr einfach gemacht.</w:t>
      </w:r>
    </w:p>
    <w:p>
      <w:pPr>
        <w:pStyle w:val="BodyText"/>
      </w:pPr>
      <w:r>
        <w:rPr>
          <w:b/>
          <w:bCs/>
        </w:rPr>
        <w:t xml:space="preserve">James Clark</w:t>
      </w:r>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r>
        <w:rPr>
          <w:b/>
          <w:bCs/>
        </w:rPr>
        <w:t xml:space="preserve">Christian Forster</w:t>
      </w:r>
      <w:r>
        <w:t xml:space="preserve">, der mir in Sicherheits- und LDAP-Fragen immer hilfreich zur Seite stand.</w:t>
      </w:r>
    </w:p>
    <w:bookmarkEnd w:id="22"/>
    <w:bookmarkStart w:id="23"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 Fraunhofer Institut für Integrierte Schaltungen (IIS) in Erlangen/Tennenlohe 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“http://www-local”</w:t>
      </w:r>
      <w:r>
        <w:t xml:space="preserve">beginnen.</w:t>
      </w:r>
    </w:p>
    <w:bookmarkEnd w:id="23"/>
    <w:bookmarkStart w:id="36"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24">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 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(siehe Abbildung 1), möchte ich in einer kurzen Zusammenfassung bündeln.</w:t>
      </w:r>
    </w:p>
    <w:p>
      <w:pPr>
        <w:pStyle w:val="BodyText"/>
      </w:pPr>
      <w:r>
        <w:t xml:space="preserve">Um in XML Dokumente erstellen zu können, wird eine Vorlage benötigt, die festlegt, welche Elemente (Tags) in dem Dokument erlaubt sind. Eine solche DTD ist</w:t>
      </w:r>
      <w:r>
        <w:t xml:space="preserve"> </w:t>
      </w:r>
      <w:hyperlink r:id="rId25">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6">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27">
        <w:r>
          <w:rPr>
            <w:rStyle w:val="Hyperlink"/>
          </w:rPr>
          <w:t xml:space="preserve">DSSSL-Stylesheets</w:t>
        </w:r>
      </w:hyperlink>
      <w:r>
        <w:t xml:space="preserve"> </w:t>
      </w:r>
      <w:r>
        <w:t xml:space="preserve">als auch</w:t>
      </w:r>
      <w:r>
        <w:t xml:space="preserve"> </w:t>
      </w:r>
      <w:hyperlink r:id="rId28">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BeispielHTML) zu erzeugen. Der zu verwendende Prozessor hängt von der Wahl des Stylesheets ab.</w:t>
      </w:r>
    </w:p>
    <w:p>
      <w:pPr>
        <w:pStyle w:val="BodyText"/>
      </w:pPr>
      <w:r>
        <w:t xml:space="preserve">Kommt DSSSL zum Einsatz, so kann</w:t>
      </w:r>
      <w:r>
        <w:t xml:space="preserve"> </w:t>
      </w:r>
      <w:hyperlink r:id="rId29">
        <w:r>
          <w:rPr>
            <w:rStyle w:val="Hyperlink"/>
          </w:rPr>
          <w:t xml:space="preserve">Jade</w:t>
        </w:r>
      </w:hyperlink>
      <w:r>
        <w:t xml:space="preserve"> </w:t>
      </w:r>
      <w:r>
        <w:t xml:space="preserve">von James Clark (mailto:jjc@jclark.com) als Prozessor verwendet werden, bei XSL stellt die Kombination aus</w:t>
      </w:r>
      <w:r>
        <w:t xml:space="preserve"> </w:t>
      </w:r>
      <w:hyperlink r:id="rId30">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31">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32">
        <w:r>
          <w:rPr>
            <w:rStyle w:val="Hyperlink"/>
          </w:rPr>
          <w:t xml:space="preserve">how to set up a free SGML editing and publishing system for Windows NT</w:t>
        </w:r>
      </w:hyperlink>
      <w:r>
        <w:t xml:space="preserve">.</w:t>
      </w:r>
    </w:p>
    <w:p>
      <w:pPr>
        <w:pStyle w:val="CaptionedFigure"/>
      </w:pPr>
      <w:r>
        <w:drawing>
          <wp:inline>
            <wp:extent cx="3058193" cy="1908313"/>
            <wp:effectExtent b="0" l="0" r="0" t="0"/>
            <wp:docPr descr="Dokumentationssystem - Überblick" title="" id="34" name="Picture"/>
            <a:graphic>
              <a:graphicData uri="http://schemas.openxmlformats.org/drawingml/2006/picture">
                <pic:pic>
                  <pic:nvPicPr>
                    <pic:cNvPr descr="./img/dokumentationssystem-ueberblick.png" id="35" name="Picture"/>
                    <pic:cNvPicPr>
                      <a:picLocks noChangeArrowheads="1" noChangeAspect="1"/>
                    </pic:cNvPicPr>
                  </pic:nvPicPr>
                  <pic:blipFill>
                    <a:blip r:embed="rId33"/>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bookmarkEnd w:id="36"/>
    <w:bookmarkStart w:id="37"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 angewandt (siehe [hol00]).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37"/>
    <w:bookmarkEnd w:id="38"/>
    <w:bookmarkStart w:id="50" w:name="einleitung"/>
    <w:p>
      <w:pPr>
        <w:pStyle w:val="Heading1"/>
      </w:pPr>
      <w:r>
        <w:rPr>
          <w:rStyle w:val="SectionNumber"/>
        </w:rPr>
        <w:t xml:space="preserve">3</w:t>
      </w:r>
      <w:r>
        <w:tab/>
      </w:r>
      <w:r>
        <w:t xml:space="preserve">Einleitung</w:t>
      </w:r>
    </w:p>
    <w:bookmarkStart w:id="39"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39"/>
    <w:bookmarkStart w:id="47"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40"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BodyText"/>
      </w:pPr>
      <w:r>
        <w:t xml:space="preserve">Kommunikation lässt aus Individuen ein Kollektiv entstehen (nach [rom], Kapitel 4). Die entstehende, vernetzte, kollektive Wissensbasis ist dabei größer als die Summe des Individualwissens.</w:t>
      </w:r>
    </w:p>
    <w:p>
      <w:pPr>
        <w:pStyle w:val="BodyText"/>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w:t>
      </w:r>
    </w:p>
    <w:p>
      <w:pPr>
        <w:pStyle w:val="BodyText"/>
      </w:pPr>
      <w:r>
        <w:t xml:space="preserve">Vielmehr geht es darum, Wissenselemente genau an die Stelle zu bringen, an denen sie benötigt werden. Die Wissensbasis muss also so transparent wie nötig und gleichzeitig so übersichtlich wie möglich sein.</w:t>
      </w:r>
    </w:p>
    <w:p>
      <w:pPr>
        <w:pStyle w:val="BodyText"/>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odyText"/>
      </w:pPr>
      <w:r>
        <w:rPr>
          <w:b/>
          <w:bCs/>
        </w:rPr>
        <w:t xml:space="preserve">Wissen bezeichnet die Gesamtheit der Kenntnisse und Fähigkeiten, die Individuen und Teams zur Lösung von Problemen einsetzen können.</w:t>
      </w:r>
    </w:p>
    <w:p>
      <w:pPr>
        <w:pStyle w:val="BodyText"/>
      </w:pPr>
      <w:r>
        <w:rPr>
          <w:b/>
          <w:bCs/>
        </w:rPr>
        <w:t xml:space="preserve">Dieses Wissen ist eine Mischung aus Erfahrungen, Wertvorstellungen, Kontextinformationen und Fachkenntnissen, die in ihrer Gesamtheit einen Strukturrahmen zur Beurteilung und Eingliederung neuer Erfahrungen und Informationen bietet.</w:t>
      </w:r>
    </w:p>
    <w:bookmarkEnd w:id="40"/>
    <w:bookmarkStart w:id="41"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odyText"/>
      </w:pPr>
      <w:r>
        <w:rPr>
          <w:b/>
          <w:bCs/>
        </w:rPr>
        <w:t xml:space="preserve">Wissensmanagement umfasst alle Anstrengungen, die unternommen werden, um Mitarbeiter mit dem Wissen zu versorgen, das sie benötigen, um für das Unternehmen mit optimaler Effizienz tätig zu sein.</w:t>
      </w:r>
    </w:p>
    <w:p>
      <w:pPr>
        <w:pStyle w:val="BodyText"/>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w:t>
      </w:r>
      <w:r>
        <w:t xml:space="preserve"> </w:t>
      </w:r>
      <w:r>
        <w:rPr>
          <w:b/>
          <w:bCs/>
        </w:rPr>
        <w:t xml:space="preserve">um den Austausch</w:t>
      </w:r>
      <w:r>
        <w:t xml:space="preserve"> </w:t>
      </w:r>
      <w:r>
        <w:t xml:space="preserve">selbst</w:t>
      </w:r>
      <w:r>
        <w:t xml:space="preserve"> </w:t>
      </w:r>
      <w:r>
        <w:rPr>
          <w:b/>
          <w:bCs/>
        </w:rPr>
        <w:t xml:space="preserve">zu erleichtern</w:t>
      </w:r>
      <w:r>
        <w:t xml:space="preserve">.</w:t>
      </w:r>
    </w:p>
    <w:bookmarkEnd w:id="41"/>
    <w:bookmarkStart w:id="46"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42">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 [ver99].</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([dav98]spricht von einem Drittel),</w:t>
      </w:r>
      <w:r>
        <w:t xml:space="preserve"> </w:t>
      </w:r>
      <w:r>
        <w:rPr>
          <w:b/>
          <w:bCs/>
        </w:rPr>
        <w:t xml:space="preserve">die restlichen Bestandteile sind Unternehmenskultur, Anreizsystem, Inhalt, Mitarbeitermotivation und weitere Faktoren</w:t>
      </w:r>
      <w:r>
        <w:t xml:space="preserve"> </w:t>
      </w:r>
      <w:r>
        <w:t xml:space="preserve">(siehe Abbildung 1-1).</w:t>
      </w:r>
    </w:p>
    <w:p>
      <w:pPr>
        <w:pStyle w:val="CaptionedFigure"/>
      </w:pPr>
      <w:r>
        <w:drawing>
          <wp:inline>
            <wp:extent cx="2899167" cy="2899167"/>
            <wp:effectExtent b="0" l="0" r="0" t="0"/>
            <wp:docPr descr="Komponenten des Wissensmanagement" title="" id="44" name="Picture"/>
            <a:graphic>
              <a:graphicData uri="http://schemas.openxmlformats.org/drawingml/2006/picture">
                <pic:pic>
                  <pic:nvPicPr>
                    <pic:cNvPr descr="./img/komponenten-des-wissensmanagements.png" id="45" name="Picture"/>
                    <pic:cNvPicPr>
                      <a:picLocks noChangeArrowheads="1" noChangeAspect="1"/>
                    </pic:cNvPicPr>
                  </pic:nvPicPr>
                  <pic:blipFill>
                    <a:blip r:embed="rId43"/>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46"/>
    <w:bookmarkEnd w:id="47"/>
    <w:bookmarkStart w:id="49"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48">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 Prototyp entwickelt werden, der die Funktion eines Wissensmanagementsystems übernehmen kann und die Elemente des Konzepts in sich trägt.</w:t>
      </w:r>
    </w:p>
    <w:p>
      <w:pPr>
        <w:pStyle w:val="BodyText"/>
      </w:pPr>
      <w:r>
        <w:t xml:space="preserve">Nach Beendigung der Diplomarbeit kann durch die Institutsleitung die Entscheidung getroffen werden, ob dieser Prototyp am IIS eingesetzt werden soll.</w:t>
      </w:r>
    </w:p>
    <w:bookmarkEnd w:id="49"/>
    <w:bookmarkEnd w:id="50"/>
    <w:bookmarkStart w:id="103" w:name="vorüberlegungen"/>
    <w:p>
      <w:pPr>
        <w:pStyle w:val="Heading1"/>
      </w:pPr>
      <w:r>
        <w:rPr>
          <w:rStyle w:val="SectionNumber"/>
        </w:rPr>
        <w:t xml:space="preserve">4</w:t>
      </w:r>
      <w:r>
        <w:tab/>
      </w:r>
      <w:r>
        <w:t xml:space="preserve">Vorüberlegungen</w:t>
      </w:r>
    </w:p>
    <w:bookmarkStart w:id="55" w:name="rahmenbedingungen-am-iis"/>
    <w:p>
      <w:pPr>
        <w:pStyle w:val="Heading2"/>
      </w:pPr>
      <w:r>
        <w:rPr>
          <w:rStyle w:val="SectionNumber"/>
        </w:rPr>
        <w:t xml:space="preserve">4.1</w:t>
      </w:r>
      <w:r>
        <w:tab/>
      </w:r>
      <w:r>
        <w:t xml:space="preserve">Rahmenbedingungen am IIS</w:t>
      </w:r>
    </w:p>
    <w:bookmarkStart w:id="51"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51"/>
    <w:bookmarkStart w:id="54"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(https://www-local/private) des IIS.</w:t>
      </w:r>
    </w:p>
    <w:bookmarkStart w:id="52"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52"/>
    <w:bookmarkStart w:id="53"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(https://www-local/private/user),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 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53"/>
    <w:bookmarkEnd w:id="54"/>
    <w:bookmarkEnd w:id="55"/>
    <w:bookmarkStart w:id="9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 (Polanyi, Michael. The Tacit Dimension. London: Routledge &amp; Kegan Paul).</w:t>
      </w:r>
    </w:p>
    <w:p>
      <w:pPr>
        <w:pStyle w:val="BodyText"/>
      </w:pPr>
      <w:r>
        <w:t xml:space="preserve">Explizites Wissen (explicit knowledge) kann in Sprache ausgedrückt und zwischen Individuen transferiert werden. Als Vereinfachung ist unter explizitem Wissen das Wissen zu verstehen, das in Form von Dokumenten, Anleitungen, etc. erfasst werden kann.</w:t>
      </w:r>
    </w:p>
    <w:p>
      <w:pPr>
        <w:pStyle w:val="BodyText"/>
      </w:pPr>
      <w:r>
        <w:t xml:space="preserve">Im Gegensatz dazu ist implizites Wissen (tacit knowledge) immer an Personen gebunden und ergibt sich aus deren persönlicher Erfahrung, Perspektive und Wertvorstellungen.</w:t>
      </w:r>
    </w:p>
    <w:p>
      <w:pPr>
        <w:pStyle w:val="BodyText"/>
      </w:pPr>
      <w:r>
        <w:t xml:space="preserve">Implizites Wissen ist immer an Menschen oder Gruppen von Menschen gebunden. Der Übergang von implizitem zu explizitem Wissen kann zum Beispiel durch Dokumentation vollzogen werden.</w:t>
      </w:r>
    </w:p>
    <w:bookmarkStart w:id="82" w:name="explizit"/>
    <w:p>
      <w:pPr>
        <w:pStyle w:val="Heading3"/>
      </w:pPr>
      <w:r>
        <w:rPr>
          <w:rStyle w:val="SectionNumber"/>
        </w:rPr>
        <w:t xml:space="preserve">4.2.1</w:t>
      </w:r>
      <w:r>
        <w:tab/>
      </w:r>
      <w:r>
        <w:t xml:space="preserve">Explizit</w:t>
      </w:r>
    </w:p>
    <w:bookmarkStart w:id="56"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(https://www-local/private/iisinfo/bib),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(http://www-local/private/cgi-bin/buchneu.pl)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(http://cdserv03),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56"/>
    <w:bookmarkStart w:id="64"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 (siehe Abbildungen 2-1 und 2-2).</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CaptionedFigure"/>
      </w:pPr>
      <w:r>
        <w:drawing>
          <wp:inline>
            <wp:extent cx="3058193" cy="1467933"/>
            <wp:effectExtent b="0" l="0" r="0" t="0"/>
            <wp:docPr descr="Dokumentenverwaltung Ist-Struktur am IIS" title="" id="58" name="Picture"/>
            <a:graphic>
              <a:graphicData uri="http://schemas.openxmlformats.org/drawingml/2006/picture">
                <pic:pic>
                  <pic:nvPicPr>
                    <pic:cNvPr descr="./img/dokumentenverwaltung-ist-struktur.png" id="59" name="Picture"/>
                    <pic:cNvPicPr>
                      <a:picLocks noChangeArrowheads="1" noChangeAspect="1"/>
                    </pic:cNvPicPr>
                  </pic:nvPicPr>
                  <pic:blipFill>
                    <a:blip r:embed="rId57"/>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CaptionedFigure"/>
      </w:pPr>
      <w:r>
        <w:drawing>
          <wp:inline>
            <wp:extent cx="2779331" cy="947751"/>
            <wp:effectExtent b="0" l="0" r="0" t="0"/>
            <wp:docPr descr="Mögliche Dokumentenverwaltung Soll-Struktur am IIS" title="" id="61" name="Picture"/>
            <a:graphic>
              <a:graphicData uri="http://schemas.openxmlformats.org/drawingml/2006/picture">
                <pic:pic>
                  <pic:nvPicPr>
                    <pic:cNvPr descr="./img/dokumentenverwaltung-soll-struktur.png" id="62" name="Picture"/>
                    <pic:cNvPicPr>
                      <a:picLocks noChangeArrowheads="1" noChangeAspect="1"/>
                    </pic:cNvPicPr>
                  </pic:nvPicPr>
                  <pic:blipFill>
                    <a:blip r:embed="rId60"/>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63">
        <w:r>
          <w:rPr>
            <w:rStyle w:val="Hyperlink"/>
          </w:rPr>
          <w:t xml:space="preserve">im Intranet Design Magazine</w:t>
        </w:r>
      </w:hyperlink>
      <w:r>
        <w:t xml:space="preserve">.</w:t>
      </w:r>
    </w:p>
    <w:bookmarkEnd w:id="64"/>
    <w:bookmarkStart w:id="73" w:name="X02959ce7135e26046f58a8ba214e031eb641498"/>
    <w:p>
      <w:pPr>
        <w:pStyle w:val="Heading4"/>
      </w:pPr>
      <w:r>
        <w:rPr>
          <w:rStyle w:val="SectionNumber"/>
        </w:rPr>
        <w:t xml:space="preserve">4.2.1.3</w:t>
      </w:r>
      <w:r>
        <w:tab/>
      </w:r>
      <w:r>
        <w:t xml:space="preserve">Newsgruppen, Maillisten und Diskussionsforen</w:t>
      </w:r>
    </w:p>
    <w:p>
      <w:pPr>
        <w:pStyle w:val="FirstParagraph"/>
      </w:pPr>
      <w:r>
        <w:t xml:space="preserve">Von diesen drei Werkzeugen sind am IIS hauptsächlich Maillisten im Einsatz. Da aber alle genannten Werkzeuge sehr mächtig sind, werden sie hier im Einzelnen betrachtet.</w:t>
      </w:r>
    </w:p>
    <w:bookmarkStart w:id="66" w:name="newsgruppen-usenet"/>
    <w:p>
      <w:pPr>
        <w:pStyle w:val="Heading5"/>
      </w:pPr>
      <w:r>
        <w:rPr>
          <w:rStyle w:val="SectionNumber"/>
        </w:rPr>
        <w:t xml:space="preserve">4.2.1.3.1</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1"/>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1"/>
        </w:numPr>
      </w:pPr>
      <w:r>
        <w:rPr>
          <w:b/>
          <w:bCs/>
        </w:rPr>
        <w:t xml:space="preserve">Weltweite Vernetzung</w:t>
      </w:r>
      <w:r>
        <w:t xml:space="preserve"> </w:t>
      </w:r>
      <w:r>
        <w:t xml:space="preserve">aller Newsserver, dadurch Zugriff auf große menschliche Ressource</w:t>
      </w:r>
    </w:p>
    <w:p>
      <w:pPr>
        <w:pStyle w:val="Compact"/>
        <w:numPr>
          <w:ilvl w:val="0"/>
          <w:numId w:val="1001"/>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1"/>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1"/>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65">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w:t>
      </w:r>
      <w:r>
        <w:rPr>
          <w:i/>
          <w:iCs/>
        </w:rPr>
        <w:t xml:space="preserve">für Computer-Themen), aber auch eine</w:t>
      </w:r>
      <w:r>
        <w:rPr>
          <w:i/>
          <w:iCs/>
        </w:rPr>
        <w:t xml:space="preserve"> </w:t>
      </w:r>
      <w:r>
        <w:rPr>
          <w:b/>
          <w:bCs/>
          <w:i/>
          <w:iCs/>
        </w:rPr>
        <w:t xml:space="preserve">geographische</w:t>
      </w:r>
      <w:r>
        <w:rPr>
          <w:i/>
          <w:iCs/>
        </w:rPr>
        <w:t xml:space="preserve"> </w:t>
      </w:r>
      <w:r>
        <w:rPr>
          <w:i/>
          <w:iCs/>
        </w:rPr>
        <w:t xml:space="preserve">(zum Beispiel “de.</w:t>
      </w:r>
      <w:r>
        <w:t xml:space="preserve">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(news://comp.cad.cadence).</w:t>
      </w:r>
    </w:p>
    <w:bookmarkEnd w:id="66"/>
    <w:bookmarkStart w:id="71" w:name="maillisten"/>
    <w:p>
      <w:pPr>
        <w:pStyle w:val="Heading5"/>
      </w:pPr>
      <w:r>
        <w:rPr>
          <w:rStyle w:val="SectionNumber"/>
        </w:rPr>
        <w:t xml:space="preserve">4.2.1.3.2</w:t>
      </w:r>
      <w:r>
        <w:tab/>
      </w:r>
      <w:r>
        <w:t xml:space="preserve">Maillisten</w:t>
      </w:r>
    </w:p>
    <w:p>
      <w:pPr>
        <w:pStyle w:val="FirstParagraph"/>
      </w:pPr>
      <w:r>
        <w:t xml:space="preserve">Wie erwähnt, werden Maillisten am IIS seit einiger Zeit verwendet (Eine Übersicht der existierenden Gruppen findet sich im Intranet (http://www-local/private/sysadmin/mail/listen.html)). Als</w:t>
      </w:r>
      <w:r>
        <w:t xml:space="preserve"> </w:t>
      </w:r>
      <w:r>
        <w:rPr>
          <w:b/>
          <w:bCs/>
        </w:rPr>
        <w:t xml:space="preserve">Listserver</w:t>
      </w:r>
      <w:r>
        <w:t xml:space="preserve"> </w:t>
      </w:r>
      <w:r>
        <w:t xml:space="preserve">ist das Paket</w:t>
      </w:r>
      <w:r>
        <w:t xml:space="preserve"> </w:t>
      </w:r>
      <w:hyperlink r:id="rId67">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(mailto:iis-all@iis.fhg.de))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(siehe Abbildung 2-3).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69" name="Picture"/>
            <a:graphic>
              <a:graphicData uri="http://schemas.openxmlformats.org/drawingml/2006/picture">
                <pic:pic>
                  <pic:nvPicPr>
                    <pic:cNvPr descr="./img/vergleich-maillisten-diskussionsforen.png" id="70" name="Picture"/>
                    <pic:cNvPicPr>
                      <a:picLocks noChangeArrowheads="1" noChangeAspect="1"/>
                    </pic:cNvPicPr>
                  </pic:nvPicPr>
                  <pic:blipFill>
                    <a:blip r:embed="rId68"/>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71"/>
    <w:bookmarkStart w:id="72" w:name="diskussionsforen"/>
    <w:p>
      <w:pPr>
        <w:pStyle w:val="Heading5"/>
      </w:pPr>
      <w:r>
        <w:rPr>
          <w:rStyle w:val="SectionNumber"/>
        </w:rPr>
        <w:t xml:space="preserve">4.2.1.3.3</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72"/>
    <w:bookmarkEnd w:id="73"/>
    <w:bookmarkStart w:id="74" w:name="zeitschriften-zeitungen"/>
    <w:p>
      <w:pPr>
        <w:pStyle w:val="Heading4"/>
      </w:pPr>
      <w:r>
        <w:rPr>
          <w:rStyle w:val="SectionNumber"/>
        </w:rPr>
        <w:t xml:space="preserve">4.2.1.4</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74"/>
    <w:bookmarkStart w:id="78" w:name="cdrom"/>
    <w:p>
      <w:pPr>
        <w:pStyle w:val="Heading4"/>
      </w:pPr>
      <w:r>
        <w:rPr>
          <w:rStyle w:val="SectionNumber"/>
        </w:rPr>
        <w:t xml:space="preserve">4.2.1.5</w:t>
      </w:r>
      <w:r>
        <w:tab/>
      </w:r>
      <w:r>
        <w:t xml:space="preserve">CDROM</w:t>
      </w:r>
    </w:p>
    <w:p>
      <w:pPr>
        <w:pStyle w:val="FirstParagraph"/>
      </w:pPr>
      <w:r>
        <w:t xml:space="preserve">Viele Informationen liegen mittlerweile multimedial auf CDROM vor. Eine gute Möglichkeit, diese zu veröffentlichen, stellen sogenannte CD-Server dar (siehe Abbildung 2-4),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76" name="Picture"/>
            <a:graphic>
              <a:graphicData uri="http://schemas.openxmlformats.org/drawingml/2006/picture">
                <pic:pic>
                  <pic:nvPicPr>
                    <pic:cNvPr descr="./img/einsatz-von-cd-servern.png" id="77" name="Picture"/>
                    <pic:cNvPicPr>
                      <a:picLocks noChangeArrowheads="1" noChangeAspect="1"/>
                    </pic:cNvPicPr>
                  </pic:nvPicPr>
                  <pic:blipFill>
                    <a:blip r:embed="rId7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78"/>
    <w:bookmarkStart w:id="80" w:name="software-code"/>
    <w:p>
      <w:pPr>
        <w:pStyle w:val="Heading4"/>
      </w:pPr>
      <w:r>
        <w:rPr>
          <w:rStyle w:val="SectionNumber"/>
        </w:rPr>
        <w:t xml:space="preserve">4.2.1.6</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7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80"/>
    <w:bookmarkStart w:id="81" w:name="briefe-email"/>
    <w:p>
      <w:pPr>
        <w:pStyle w:val="Heading4"/>
      </w:pPr>
      <w:r>
        <w:rPr>
          <w:rStyle w:val="SectionNumber"/>
        </w:rPr>
        <w:t xml:space="preserve">4.2.1.7</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81"/>
    <w:bookmarkEnd w:id="82"/>
    <w:bookmarkStart w:id="92" w:name="implizit"/>
    <w:p>
      <w:pPr>
        <w:pStyle w:val="Heading3"/>
      </w:pPr>
      <w:r>
        <w:rPr>
          <w:rStyle w:val="SectionNumber"/>
        </w:rPr>
        <w:t xml:space="preserve">4.2.2</w:t>
      </w:r>
      <w:r>
        <w:tab/>
      </w:r>
      <w:r>
        <w:t xml:space="preserve">Implizit</w:t>
      </w:r>
    </w:p>
    <w:bookmarkStart w:id="8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(siehe Abbildung 2-5).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84" name="Picture"/>
            <a:graphic>
              <a:graphicData uri="http://schemas.openxmlformats.org/drawingml/2006/picture">
                <pic:pic>
                  <pic:nvPicPr>
                    <pic:cNvPr descr="./img/projektstart-und-ende-aus-wm-sicht.png" id="85" name="Picture"/>
                    <pic:cNvPicPr>
                      <a:picLocks noChangeArrowheads="1" noChangeAspect="1"/>
                    </pic:cNvPicPr>
                  </pic:nvPicPr>
                  <pic:blipFill>
                    <a:blip r:embed="rId8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86"/>
    <w:bookmarkStart w:id="8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8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88">
        <w:r>
          <w:rPr>
            <w:rStyle w:val="Hyperlink"/>
          </w:rPr>
          <w:t xml:space="preserve">Kaizen Institut</w:t>
        </w:r>
      </w:hyperlink>
      <w:r>
        <w:t xml:space="preserve"> </w:t>
      </w:r>
      <w:r>
        <w:t xml:space="preserve">abgefragt werden.</w:t>
      </w:r>
    </w:p>
    <w:bookmarkEnd w:id="89"/>
    <w:bookmarkStart w:id="9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9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stellt einen Standard zum Definieren von Wissenslandkarten dar, der mittlerweile ISO-genormt ([iso13250])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p>
      <w:pPr>
        <w:pStyle w:val="Compact"/>
        <w:numPr>
          <w:ilvl w:val="0"/>
          <w:numId w:val="1002"/>
        </w:numPr>
      </w:pPr>
      <w:r>
        <w:t xml:space="preserve">TITLE: Der vom Autor gewählte</w:t>
      </w:r>
      <w:r>
        <w:t xml:space="preserve"> </w:t>
      </w:r>
      <w:r>
        <w:rPr>
          <w:b/>
          <w:bCs/>
        </w:rPr>
        <w:t xml:space="preserve">Titel</w:t>
      </w:r>
    </w:p>
    <w:p>
      <w:pPr>
        <w:pStyle w:val="Compact"/>
        <w:numPr>
          <w:ilvl w:val="0"/>
          <w:numId w:val="1002"/>
        </w:numPr>
      </w:pPr>
      <w:r>
        <w:t xml:space="preserve">AUTHOR or CREATOR:</w:t>
      </w:r>
      <w:r>
        <w:t xml:space="preserve"> </w:t>
      </w:r>
      <w:r>
        <w:rPr>
          <w:b/>
          <w:bCs/>
        </w:rPr>
        <w:t xml:space="preserve">Person</w:t>
      </w:r>
      <w:r>
        <w:t xml:space="preserve"> </w:t>
      </w:r>
      <w:r>
        <w:t xml:space="preserve">oder</w:t>
      </w:r>
      <w:r>
        <w:t xml:space="preserve"> </w:t>
      </w:r>
      <w:r>
        <w:rPr>
          <w:b/>
          <w:bCs/>
        </w:rPr>
        <w:t xml:space="preserve">Organisation</w:t>
      </w:r>
      <w:r>
        <w:t xml:space="preserve">, die für den intellektuellen Inhalt der Ressource verantwortlich ist.</w:t>
      </w:r>
    </w:p>
    <w:p>
      <w:pPr>
        <w:pStyle w:val="Compact"/>
        <w:numPr>
          <w:ilvl w:val="0"/>
          <w:numId w:val="1002"/>
        </w:numPr>
      </w:pPr>
      <w:r>
        <w:t xml:space="preserve">SUBJECT or KEYWORDS:</w:t>
      </w:r>
      <w:r>
        <w:t xml:space="preserve"> </w:t>
      </w:r>
      <w:r>
        <w:rPr>
          <w:b/>
          <w:bCs/>
        </w:rPr>
        <w:t xml:space="preserve">Schlüsselwörter</w:t>
      </w:r>
      <w:r>
        <w:t xml:space="preserve"> </w:t>
      </w:r>
      <w:r>
        <w:t xml:space="preserve">oder andere Arten der Klassifizierung. An dieser Stelle kann zum Beispiel die duale Dezimalklassifikation (DDC) zum Einsatz kommen.</w:t>
      </w:r>
    </w:p>
    <w:p>
      <w:pPr>
        <w:pStyle w:val="Compact"/>
        <w:numPr>
          <w:ilvl w:val="0"/>
          <w:numId w:val="1002"/>
        </w:numPr>
      </w:pPr>
      <w:r>
        <w:t xml:space="preserve">DESCRIPTION: Bei Textressourcen erscheint hier die</w:t>
      </w:r>
      <w:r>
        <w:t xml:space="preserve"> </w:t>
      </w:r>
      <w:r>
        <w:rPr>
          <w:b/>
          <w:bCs/>
        </w:rPr>
        <w:t xml:space="preserve">Zusammenfassung</w:t>
      </w:r>
      <w:r>
        <w:t xml:space="preserve">, bei anderen (zum Beispiel Bildern) eine</w:t>
      </w:r>
      <w:r>
        <w:t xml:space="preserve"> </w:t>
      </w:r>
      <w:r>
        <w:rPr>
          <w:b/>
          <w:bCs/>
        </w:rPr>
        <w:t xml:space="preserve">Beschreibung des Inhalts</w:t>
      </w:r>
      <w:r>
        <w:t xml:space="preserve">.</w:t>
      </w:r>
    </w:p>
    <w:p>
      <w:pPr>
        <w:pStyle w:val="Compact"/>
        <w:numPr>
          <w:ilvl w:val="0"/>
          <w:numId w:val="1002"/>
        </w:numPr>
      </w:pPr>
      <w:r>
        <w:t xml:space="preserve">PUBLISHER:</w:t>
      </w:r>
      <w:r>
        <w:t xml:space="preserve"> </w:t>
      </w:r>
      <w:r>
        <w:rPr>
          <w:b/>
          <w:bCs/>
        </w:rPr>
        <w:t xml:space="preserve">Organisation</w:t>
      </w:r>
      <w:r>
        <w:t xml:space="preserve"> </w:t>
      </w:r>
      <w:r>
        <w:t xml:space="preserve">oder</w:t>
      </w:r>
      <w:r>
        <w:t xml:space="preserve"> </w:t>
      </w:r>
      <w:r>
        <w:rPr>
          <w:b/>
          <w:bCs/>
        </w:rPr>
        <w:t xml:space="preserve">Person</w:t>
      </w:r>
      <w:r>
        <w:t xml:space="preserve">, die die Ressource veröffentlicht hat.</w:t>
      </w:r>
    </w:p>
    <w:p>
      <w:pPr>
        <w:pStyle w:val="Compact"/>
        <w:numPr>
          <w:ilvl w:val="0"/>
          <w:numId w:val="1002"/>
        </w:numPr>
      </w:pPr>
      <w:r>
        <w:t xml:space="preserve">OTHER CONTRIBUTORS: Koautoren, etc.</w:t>
      </w:r>
    </w:p>
    <w:p>
      <w:pPr>
        <w:pStyle w:val="Compact"/>
        <w:numPr>
          <w:ilvl w:val="0"/>
          <w:numId w:val="1002"/>
        </w:numPr>
      </w:pPr>
      <w:r>
        <w:t xml:space="preserve">DATE:</w:t>
      </w:r>
      <w:r>
        <w:t xml:space="preserve"> </w:t>
      </w:r>
      <w:r>
        <w:rPr>
          <w:b/>
          <w:bCs/>
        </w:rPr>
        <w:t xml:space="preserve">Erscheindatum</w:t>
      </w:r>
    </w:p>
    <w:p>
      <w:pPr>
        <w:pStyle w:val="Compact"/>
        <w:numPr>
          <w:ilvl w:val="0"/>
          <w:numId w:val="1002"/>
        </w:numPr>
      </w:pPr>
      <w:r>
        <w:t xml:space="preserve">RESOURCE TYPE: Die</w:t>
      </w:r>
      <w:r>
        <w:t xml:space="preserve"> </w:t>
      </w:r>
      <w:r>
        <w:rPr>
          <w:b/>
          <w:bCs/>
        </w:rPr>
        <w:t xml:space="preserve">Art der Ressource</w:t>
      </w:r>
      <w:r>
        <w:t xml:space="preserve">. An dieser Stelle stehen vordefinierte Ressourcen.</w:t>
      </w:r>
    </w:p>
    <w:p>
      <w:pPr>
        <w:pStyle w:val="Compact"/>
        <w:numPr>
          <w:ilvl w:val="0"/>
          <w:numId w:val="1002"/>
        </w:numPr>
      </w:pPr>
      <w:r>
        <w:t xml:space="preserve">FORMAT: Das</w:t>
      </w:r>
      <w:r>
        <w:t xml:space="preserve"> </w:t>
      </w:r>
      <w:r>
        <w:rPr>
          <w:b/>
          <w:bCs/>
        </w:rPr>
        <w:t xml:space="preserve">Format der Ressource</w:t>
      </w:r>
      <w:r>
        <w:t xml:space="preserve">. Ein Standard, der mögliche Formate beschreibt heisst</w:t>
      </w:r>
      <w:r>
        <w:t xml:space="preserve"> </w:t>
      </w:r>
      <w:r>
        <w:rPr>
          <w:b/>
          <w:bCs/>
        </w:rPr>
        <w:t xml:space="preserve">Mime Types</w:t>
      </w:r>
      <w:r>
        <w:t xml:space="preserve">. Diese sind im RFC2046 definiert.</w:t>
      </w:r>
    </w:p>
    <w:p>
      <w:pPr>
        <w:pStyle w:val="Compact"/>
        <w:numPr>
          <w:ilvl w:val="0"/>
          <w:numId w:val="1002"/>
        </w:numPr>
      </w:pPr>
      <w:r>
        <w:t xml:space="preserve">RESOURCE IDENTIFIER:</w:t>
      </w:r>
      <w:r>
        <w:t xml:space="preserve"> </w:t>
      </w:r>
      <w:r>
        <w:rPr>
          <w:b/>
          <w:bCs/>
        </w:rPr>
        <w:t xml:space="preserve">String</w:t>
      </w:r>
      <w:r>
        <w:t xml:space="preserve"> </w:t>
      </w:r>
      <w:r>
        <w:t xml:space="preserve">oder</w:t>
      </w:r>
      <w:r>
        <w:t xml:space="preserve"> </w:t>
      </w:r>
      <w:r>
        <w:rPr>
          <w:b/>
          <w:bCs/>
        </w:rPr>
        <w:t xml:space="preserve">Nummer</w:t>
      </w:r>
      <w:r>
        <w:t xml:space="preserve">, die die Ressource eindeutig beschreibt. Im Fall von Onlinedokumenten steht hier die URL, bei Büchern die ISBN-Nummer.</w:t>
      </w:r>
    </w:p>
    <w:p>
      <w:pPr>
        <w:pStyle w:val="Compact"/>
        <w:numPr>
          <w:ilvl w:val="0"/>
          <w:numId w:val="1002"/>
        </w:numPr>
      </w:pPr>
      <w:r>
        <w:t xml:space="preserve">SOURCE:</w:t>
      </w:r>
      <w:r>
        <w:t xml:space="preserve"> </w:t>
      </w:r>
      <w:r>
        <w:rPr>
          <w:b/>
          <w:bCs/>
        </w:rPr>
        <w:t xml:space="preserve">Bezugsquelle</w:t>
      </w:r>
    </w:p>
    <w:p>
      <w:pPr>
        <w:pStyle w:val="Compact"/>
        <w:numPr>
          <w:ilvl w:val="0"/>
          <w:numId w:val="1002"/>
        </w:numPr>
      </w:pPr>
      <w:r>
        <w:t xml:space="preserve">LANGUAGE: Verwendete</w:t>
      </w:r>
      <w:r>
        <w:t xml:space="preserve"> </w:t>
      </w:r>
      <w:r>
        <w:rPr>
          <w:b/>
          <w:bCs/>
        </w:rPr>
        <w:t xml:space="preserve">Sprache</w:t>
      </w:r>
    </w:p>
    <w:p>
      <w:pPr>
        <w:pStyle w:val="Compact"/>
        <w:numPr>
          <w:ilvl w:val="0"/>
          <w:numId w:val="1002"/>
        </w:numPr>
      </w:pPr>
      <w:r>
        <w:t xml:space="preserve">RELATION: Beziehungen zu anderen Elementen. Die Art der Beziehungen sind im DC Standard noch nicht definiert. In diesem Konzept ist vorgesehen, Topic Maps als Standard einzusetzen, um Beziehungen zu definieren.</w:t>
      </w:r>
    </w:p>
    <w:p>
      <w:pPr>
        <w:pStyle w:val="Compact"/>
        <w:numPr>
          <w:ilvl w:val="0"/>
          <w:numId w:val="1002"/>
        </w:numPr>
      </w:pPr>
      <w:r>
        <w:t xml:space="preserve">COVERAGE: Dieser Parameter befindet sich momentan noch in der Spezifikation. Er soll temporäre Zugehörigkeiten, wie beispielsweise zu Projekten, beschreiben.</w:t>
      </w:r>
    </w:p>
    <w:p>
      <w:pPr>
        <w:pStyle w:val="Compact"/>
        <w:numPr>
          <w:ilvl w:val="0"/>
          <w:numId w:val="1002"/>
        </w:numPr>
      </w:pPr>
      <w:r>
        <w:t xml:space="preserve">RIGHTS MANAGEMENT: Angedacht ist einen kurzen Text oder eine URL zu erfassen, die Auskunft über die Rechte an der Ressource gibt.</w:t>
      </w:r>
    </w:p>
    <w:bookmarkEnd w:id="91"/>
    <w:bookmarkEnd w:id="92"/>
    <w:bookmarkEnd w:id="93"/>
    <w:bookmarkStart w:id="10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9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94"/>
    <w:bookmarkStart w:id="9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95"/>
    <w:bookmarkStart w:id="9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96"/>
    <w:bookmarkStart w:id="9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97"/>
    <w:bookmarkStart w:id="9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w:t>
      </w:r>
      <w:r>
        <w:t xml:space="preserve"> </w:t>
      </w:r>
      <w:r>
        <w:t xml:space="preserve">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98"/>
    <w:bookmarkStart w:id="9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99"/>
    <w:bookmarkStart w:id="10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00"/>
    <w:bookmarkStart w:id="10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01"/>
    <w:bookmarkEnd w:id="102"/>
    <w:bookmarkEnd w:id="103"/>
    <w:bookmarkStart w:id="201" w:name="konzeption"/>
    <w:p>
      <w:pPr>
        <w:pStyle w:val="Heading1"/>
      </w:pPr>
      <w:r>
        <w:rPr>
          <w:rStyle w:val="SectionNumber"/>
        </w:rPr>
        <w:t xml:space="preserve">5</w:t>
      </w:r>
      <w:r>
        <w:tab/>
      </w:r>
      <w:r>
        <w:t xml:space="preserve">Konzeption</w:t>
      </w:r>
    </w:p>
    <w:bookmarkStart w:id="11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0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 [dav98]).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04"/>
    <w:bookmarkStart w:id="10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5"/>
    <w:bookmarkStart w:id="106" w:name="plattformunabhängigkeit-1"/>
    <w:p>
      <w:pPr>
        <w:pStyle w:val="Heading3"/>
      </w:pPr>
      <w:r>
        <w:rPr>
          <w:rStyle w:val="SectionNumber"/>
        </w:rPr>
        <w:t xml:space="preserve">5.1.3</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 Webbrowser sind auf jeder Plattform standardmäßig verfügbar.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6"/>
    <w:bookmarkStart w:id="107" w:name="einfache-intuitive-bedienbarkeit"/>
    <w:p>
      <w:pPr>
        <w:pStyle w:val="Heading3"/>
      </w:pPr>
      <w:r>
        <w:rPr>
          <w:rStyle w:val="SectionNumber"/>
        </w:rPr>
        <w:t xml:space="preserve">5.1.4</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07"/>
    <w:bookmarkStart w:id="108" w:name="erweiterbarkeit-flexibilität"/>
    <w:p>
      <w:pPr>
        <w:pStyle w:val="Heading3"/>
      </w:pPr>
      <w:r>
        <w:rPr>
          <w:rStyle w:val="SectionNumber"/>
        </w:rPr>
        <w:t xml:space="preserve">5.1.5</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08"/>
    <w:bookmarkStart w:id="109" w:name="logisch-strukturiert"/>
    <w:p>
      <w:pPr>
        <w:pStyle w:val="Heading3"/>
      </w:pPr>
      <w:r>
        <w:rPr>
          <w:rStyle w:val="SectionNumber"/>
        </w:rPr>
        <w:t xml:space="preserve">5.1.6</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r>
        <w:rPr>
          <w:b/>
          <w:bCs/>
        </w:rPr>
        <w:t xml:space="preserve">Dezimalklassifikation</w:t>
      </w:r>
      <w:r>
        <w:t xml:space="preserve"> </w:t>
      </w:r>
      <w:r>
        <w:t xml:space="preserve">[Dewey]](https://www.oclc.org/en/dewey.html) 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09"/>
    <w:bookmarkStart w:id="110" w:name="verwendung-von-standards"/>
    <w:p>
      <w:pPr>
        <w:pStyle w:val="Heading3"/>
      </w:pPr>
      <w:r>
        <w:rPr>
          <w:rStyle w:val="SectionNumber"/>
        </w:rPr>
        <w:t xml:space="preserve">5.1.7</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10"/>
    <w:bookmarkStart w:id="111" w:name="mit-standardsoftware-bedienbar"/>
    <w:p>
      <w:pPr>
        <w:pStyle w:val="Heading3"/>
      </w:pPr>
      <w:r>
        <w:rPr>
          <w:rStyle w:val="SectionNumber"/>
        </w:rPr>
        <w:t xml:space="preserve">5.1.8</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11"/>
    <w:bookmarkEnd w:id="112"/>
    <w:bookmarkStart w:id="128"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1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 [rfc2218])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13"/>
    <w:bookmarkStart w:id="11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14"/>
    <w:bookmarkStart w:id="11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(siehe Abbildung 3-1).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16" name="Picture"/>
            <a:graphic>
              <a:graphicData uri="http://schemas.openxmlformats.org/drawingml/2006/picture">
                <pic:pic>
                  <pic:nvPicPr>
                    <pic:cNvPr descr="./img/dezentrale-verwaltung-von-teilbereichen.png" id="117" name="Picture"/>
                    <pic:cNvPicPr>
                      <a:picLocks noChangeArrowheads="1" noChangeAspect="1"/>
                    </pic:cNvPicPr>
                  </pic:nvPicPr>
                  <pic:blipFill>
                    <a:blip r:embed="rId11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18"/>
    <w:bookmarkStart w:id="11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19"/>
    <w:bookmarkStart w:id="120" w:name="newssektion-1"/>
    <w:p>
      <w:pPr>
        <w:pStyle w:val="Heading3"/>
      </w:pPr>
      <w:r>
        <w:rPr>
          <w:rStyle w:val="SectionNumber"/>
        </w:rPr>
        <w:t xml:space="preserve">5.2.5</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 direkt veröffentlichen können (zum Beispiel Leitungskreisprotokolle), während andere Beiträge zuerst geprüft werden müssen, um Missbrauch zu vermeiden. Alle Mitteilungen sollen in einem übersichtlichen Format auf der Einstiegsseite präsentiert werden.</w:t>
      </w:r>
    </w:p>
    <w:p>
      <w:pPr>
        <w:pStyle w:val="BodyText"/>
      </w:pPr>
      <w:r>
        <w:t xml:space="preserve">Pro Tag sollten maximal 5-10 neue Beiträge erscheinen. Beiträge, die älter als ein zu definierender Zeitraum sind, werden aus der Newssektion gelöscht, stehen aber weiterhin über eine Suchmaske zur Verfügung.</w:t>
      </w:r>
    </w:p>
    <w:bookmarkEnd w:id="120"/>
    <w:bookmarkStart w:id="121" w:name="privater-bereich"/>
    <w:p>
      <w:pPr>
        <w:pStyle w:val="Heading3"/>
      </w:pPr>
      <w:r>
        <w:rPr>
          <w:rStyle w:val="SectionNumber"/>
        </w:rPr>
        <w:t xml:space="preserve">5.2.6</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21"/>
    <w:bookmarkStart w:id="122" w:name="privater-bereich-1"/>
    <w:p>
      <w:pPr>
        <w:pStyle w:val="Heading3"/>
      </w:pPr>
      <w:r>
        <w:rPr>
          <w:rStyle w:val="SectionNumber"/>
        </w:rPr>
        <w:t xml:space="preserve">5.2.7</w:t>
      </w:r>
      <w:r>
        <w:tab/>
      </w:r>
      <w:r>
        <w:t xml:space="preserve">Privater Bereich</w:t>
      </w:r>
    </w:p>
    <w:p>
      <w:pPr>
        <w:pStyle w:val="FirstParagraph"/>
      </w:pPr>
      <w:r>
        <w:t xml:space="preserve">Jeder Mitarbeiter hat einen eigenen Bereich, in dem er eigene Inhalte ablegen und zusätzliche Einstellungen für sein Profil vornehmen kann.</w:t>
      </w:r>
    </w:p>
    <w:p>
      <w:pPr>
        <w:pStyle w:val="BodyText"/>
      </w:pPr>
      <w:r>
        <w:t xml:space="preserve">Dieser private Bereich dient zum Einen als Visitenkarte des Mitarbeiters im Institut, stellt auf der anderen Seite aber auch eine Arbeitsumgebung für den Mitarbeiter dar, die er sich nach seinen Wünschen einrichten kann.</w:t>
      </w:r>
    </w:p>
    <w:bookmarkEnd w:id="122"/>
    <w:bookmarkStart w:id="126" w:name="Xf119875eefb6177c90407338db89d2ab35e3c55"/>
    <w:p>
      <w:pPr>
        <w:pStyle w:val="Heading3"/>
      </w:pPr>
      <w:r>
        <w:rPr>
          <w:rStyle w:val="SectionNumber"/>
        </w:rPr>
        <w:t xml:space="preserve">5.2.8</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24" name="Picture"/>
            <a:graphic>
              <a:graphicData uri="http://schemas.openxmlformats.org/drawingml/2006/picture">
                <pic:pic>
                  <pic:nvPicPr>
                    <pic:cNvPr descr="./img/applikationsuebergreifende-datenbank.png" id="125" name="Picture"/>
                    <pic:cNvPicPr>
                      <a:picLocks noChangeArrowheads="1" noChangeAspect="1"/>
                    </pic:cNvPicPr>
                  </pic:nvPicPr>
                  <pic:blipFill>
                    <a:blip r:embed="rId123"/>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(siehe Abbildung 3-2).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26"/>
    <w:bookmarkStart w:id="127" w:name="suchfunktionen"/>
    <w:p>
      <w:pPr>
        <w:pStyle w:val="Heading3"/>
      </w:pPr>
      <w:r>
        <w:rPr>
          <w:rStyle w:val="SectionNumber"/>
        </w:rPr>
        <w:t xml:space="preserve">5.2.9</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27"/>
    <w:bookmarkEnd w:id="128"/>
    <w:bookmarkStart w:id="151" w:name="systemauswahl"/>
    <w:p>
      <w:pPr>
        <w:pStyle w:val="Heading2"/>
      </w:pPr>
      <w:r>
        <w:rPr>
          <w:rStyle w:val="SectionNumber"/>
        </w:rPr>
        <w:t xml:space="preserve">5.3</w:t>
      </w:r>
      <w:r>
        <w:tab/>
      </w:r>
      <w:r>
        <w:t xml:space="preserve">Systemauswahl</w:t>
      </w:r>
    </w:p>
    <w:bookmarkStart w:id="131" w:name="kommerzielle-systeme"/>
    <w:p>
      <w:pPr>
        <w:pStyle w:val="Heading3"/>
      </w:pPr>
      <w:r>
        <w:rPr>
          <w:rStyle w:val="SectionNumber"/>
        </w:rPr>
        <w:t xml:space="preserve">5.3.1</w:t>
      </w:r>
      <w:r>
        <w:tab/>
      </w:r>
      <w:r>
        <w:t xml:space="preserve">Kommerzielle Systeme</w:t>
      </w:r>
    </w:p>
    <w:bookmarkStart w:id="129"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t xml:space="preserve">Fazit: Das System Lotus Notes/Domino ist prinzipiell gut für die Funktion eines Wissensmanagementsystems geeignet. Es gibt allerdings einige Nachteile, die gegen eine Verwendung am IIS sprechen.</w:t>
      </w:r>
    </w:p>
    <w:p>
      <w:pPr>
        <w:pStyle w:val="Compact"/>
        <w:numPr>
          <w:ilvl w:val="0"/>
          <w:numId w:val="1003"/>
        </w:numPr>
      </w:pPr>
      <w:r>
        <w:t xml:space="preserve">Mangelnde Verbreitung von Clients: Die Zahl der Clients ist sehr gering. Das bedeutet, dass mit einem Notes-System nur ein kleiner Teil der Mitarbeiter abgedeckt wird.</w:t>
      </w:r>
    </w:p>
    <w:p>
      <w:pPr>
        <w:pStyle w:val="Compact"/>
        <w:numPr>
          <w:ilvl w:val="0"/>
          <w:numId w:val="1003"/>
        </w:numPr>
      </w:pPr>
      <w:r>
        <w:t xml:space="preserve">Mangelnder Support: 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3"/>
        </w:numPr>
      </w:pPr>
      <w:r>
        <w:t xml:space="preserve">Aufwendige Einarbeitung für Endnutzer: 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3"/>
        </w:numPr>
      </w:pPr>
      <w:r>
        <w:t xml:space="preserve">Fehlende Strategie für die Einführung: 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3"/>
        </w:numPr>
      </w:pPr>
      <w:r>
        <w:t xml:space="preserve">Aspekt der Plattformunabhängigkeit geht verloren: 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29"/>
    <w:bookmarkStart w:id="130"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0"/>
    <w:bookmarkEnd w:id="131"/>
    <w:bookmarkStart w:id="149" w:name="open-sourcefreie-systeme"/>
    <w:p>
      <w:pPr>
        <w:pStyle w:val="Heading3"/>
      </w:pPr>
      <w:r>
        <w:rPr>
          <w:rStyle w:val="SectionNumber"/>
        </w:rPr>
        <w:t xml:space="preserve">5.3.2</w:t>
      </w:r>
      <w:r>
        <w:tab/>
      </w:r>
      <w:r>
        <w:t xml:space="preserve">Open Source/Freie Systeme</w:t>
      </w:r>
    </w:p>
    <w:bookmarkStart w:id="133"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32">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4"/>
        </w:numPr>
      </w:pPr>
      <w:r>
        <w:t xml:space="preserve">Email (über IMAP)</w:t>
      </w:r>
    </w:p>
    <w:p>
      <w:pPr>
        <w:pStyle w:val="Compact"/>
        <w:numPr>
          <w:ilvl w:val="0"/>
          <w:numId w:val="1004"/>
        </w:numPr>
      </w:pPr>
      <w:r>
        <w:t xml:space="preserve">Kontakte (in Form eines Adressbuchs)</w:t>
      </w:r>
    </w:p>
    <w:p>
      <w:pPr>
        <w:pStyle w:val="Compact"/>
        <w:numPr>
          <w:ilvl w:val="0"/>
          <w:numId w:val="1004"/>
        </w:numPr>
      </w:pPr>
      <w:r>
        <w:t xml:space="preserve">Termine</w:t>
      </w:r>
    </w:p>
    <w:p>
      <w:pPr>
        <w:pStyle w:val="Compact"/>
        <w:numPr>
          <w:ilvl w:val="0"/>
          <w:numId w:val="1004"/>
        </w:numPr>
      </w:pPr>
      <w:r>
        <w:t xml:space="preserve">Usenet Newsgruppen (NNTP)</w:t>
      </w:r>
    </w:p>
    <w:p>
      <w:pPr>
        <w:pStyle w:val="Compact"/>
        <w:numPr>
          <w:ilvl w:val="0"/>
          <w:numId w:val="1004"/>
        </w:numPr>
      </w:pPr>
      <w:r>
        <w:t xml:space="preserve">ToDo Listen</w:t>
      </w:r>
    </w:p>
    <w:p>
      <w:pPr>
        <w:pStyle w:val="Compact"/>
        <w:numPr>
          <w:ilvl w:val="0"/>
          <w:numId w:val="1004"/>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33"/>
    <w:bookmarkStart w:id="136" w:name="zope---z-object-publishing-environment"/>
    <w:p>
      <w:pPr>
        <w:pStyle w:val="Heading4"/>
      </w:pPr>
      <w:r>
        <w:rPr>
          <w:rStyle w:val="SectionNumber"/>
        </w:rPr>
        <w:t xml:space="preserve">5.3.2.2</w:t>
      </w:r>
      <w:r>
        <w:tab/>
      </w:r>
      <w:r>
        <w:t xml:space="preserve">ZOPE - Z Object Publishing Environment</w:t>
      </w:r>
    </w:p>
    <w:p>
      <w:pPr>
        <w:pStyle w:val="FirstParagraph"/>
      </w:pPr>
      <w:hyperlink r:id="rId134">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35">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36"/>
    <w:bookmarkStart w:id="138"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37">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5"/>
        </w:numPr>
      </w:pPr>
      <w:r>
        <w:t xml:space="preserve">XML</w:t>
      </w:r>
    </w:p>
    <w:p>
      <w:pPr>
        <w:pStyle w:val="Compact"/>
        <w:numPr>
          <w:ilvl w:val="0"/>
          <w:numId w:val="1005"/>
        </w:numPr>
      </w:pPr>
      <w:r>
        <w:t xml:space="preserve">Datenbank Benutzerautentifizierung (leider nicht über LDAP oder NT Domäne)</w:t>
      </w:r>
    </w:p>
    <w:p>
      <w:pPr>
        <w:pStyle w:val="Compact"/>
        <w:numPr>
          <w:ilvl w:val="0"/>
          <w:numId w:val="1005"/>
        </w:numPr>
      </w:pPr>
      <w:r>
        <w:t xml:space="preserve">Rich Site Summary (RSS)</w:t>
      </w:r>
    </w:p>
    <w:p>
      <w:pPr>
        <w:pStyle w:val="Compact"/>
        <w:numPr>
          <w:ilvl w:val="0"/>
          <w:numId w:val="1005"/>
        </w:numPr>
      </w:pPr>
      <w:r>
        <w:t xml:space="preserve">XML/XSL Inhalt durch Integration von Cocoon</w:t>
      </w:r>
    </w:p>
    <w:p>
      <w:pPr>
        <w:pStyle w:val="Compact"/>
        <w:numPr>
          <w:ilvl w:val="0"/>
          <w:numId w:val="1005"/>
        </w:numPr>
      </w:pPr>
      <w:r>
        <w:t xml:space="preserve">XML basierte Konfiguration</w:t>
      </w:r>
    </w:p>
    <w:p>
      <w:pPr>
        <w:pStyle w:val="Compact"/>
        <w:numPr>
          <w:ilvl w:val="0"/>
          <w:numId w:val="1005"/>
        </w:numPr>
      </w:pPr>
      <w:r>
        <w:t xml:space="preserve">Plattformunabhängig (einzige Bedingung JDK 1.1 und Servlet 2.0)</w:t>
      </w:r>
    </w:p>
    <w:p>
      <w:pPr>
        <w:pStyle w:val="Compact"/>
        <w:numPr>
          <w:ilvl w:val="0"/>
          <w:numId w:val="1005"/>
        </w:numPr>
      </w:pPr>
      <w:r>
        <w:t xml:space="preserve">Synchronisation mit Avantgo</w:t>
      </w:r>
    </w:p>
    <w:bookmarkEnd w:id="138"/>
    <w:bookmarkStart w:id="140"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39">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0"/>
    <w:bookmarkStart w:id="142" w:name="enhydra"/>
    <w:p>
      <w:pPr>
        <w:pStyle w:val="Heading4"/>
      </w:pPr>
      <w:r>
        <w:rPr>
          <w:rStyle w:val="SectionNumber"/>
        </w:rPr>
        <w:t xml:space="preserve">5.3.2.5</w:t>
      </w:r>
      <w:r>
        <w:tab/>
      </w:r>
      <w:r>
        <w:t xml:space="preserve">Enhydra</w:t>
      </w:r>
    </w:p>
    <w:p>
      <w:pPr>
        <w:pStyle w:val="FirstParagraph"/>
      </w:pPr>
      <w:hyperlink r:id="rId141">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42"/>
    <w:bookmarkStart w:id="144" w:name="opencms"/>
    <w:p>
      <w:pPr>
        <w:pStyle w:val="Heading4"/>
      </w:pPr>
      <w:r>
        <w:rPr>
          <w:rStyle w:val="SectionNumber"/>
        </w:rPr>
        <w:t xml:space="preserve">5.3.2.6</w:t>
      </w:r>
      <w:r>
        <w:tab/>
      </w:r>
      <w:r>
        <w:t xml:space="preserve">OpenCMS</w:t>
      </w:r>
    </w:p>
    <w:p>
      <w:pPr>
        <w:pStyle w:val="FirstParagraph"/>
      </w:pPr>
      <w:hyperlink r:id="rId143">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44"/>
    <w:bookmarkStart w:id="146"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45">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6"/>
        </w:numPr>
      </w:pPr>
      <w:r>
        <w:t xml:space="preserve">XML</w:t>
      </w:r>
    </w:p>
    <w:p>
      <w:pPr>
        <w:pStyle w:val="Compact"/>
        <w:numPr>
          <w:ilvl w:val="0"/>
          <w:numId w:val="1006"/>
        </w:numPr>
      </w:pPr>
      <w:r>
        <w:t xml:space="preserve">CORBA, DCOM</w:t>
      </w:r>
    </w:p>
    <w:p>
      <w:pPr>
        <w:pStyle w:val="Compact"/>
        <w:numPr>
          <w:ilvl w:val="0"/>
          <w:numId w:val="1006"/>
        </w:numPr>
      </w:pPr>
      <w:r>
        <w:t xml:space="preserve">Enterprise Java Beans</w:t>
      </w:r>
    </w:p>
    <w:p>
      <w:pPr>
        <w:pStyle w:val="Compact"/>
        <w:numPr>
          <w:ilvl w:val="0"/>
          <w:numId w:val="1006"/>
        </w:numPr>
      </w:pPr>
      <w:r>
        <w:t xml:space="preserve">Datenbank Backends (RDBMS, OODBMS, Directory Server)</w:t>
      </w:r>
    </w:p>
    <w:p>
      <w:pPr>
        <w:pStyle w:val="Compact"/>
        <w:numPr>
          <w:ilvl w:val="0"/>
          <w:numId w:val="1006"/>
        </w:numPr>
      </w:pPr>
      <w:r>
        <w:t xml:space="preserve">Sicherheit (OpenSSL, OpenCA, S/WAN)</w:t>
      </w:r>
    </w:p>
    <w:p>
      <w:pPr>
        <w:pStyle w:val="Compact"/>
        <w:numPr>
          <w:ilvl w:val="0"/>
          <w:numId w:val="1006"/>
        </w:numPr>
      </w:pPr>
      <w:r>
        <w:t xml:space="preserve">Standard APIs (JDBC, ODMG, JNDI)</w:t>
      </w:r>
    </w:p>
    <w:p>
      <w:pPr>
        <w:pStyle w:val="Compact"/>
        <w:numPr>
          <w:ilvl w:val="0"/>
          <w:numId w:val="1006"/>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46"/>
    <w:bookmarkStart w:id="147" w:name="locomotive"/>
    <w:p>
      <w:pPr>
        <w:pStyle w:val="Heading4"/>
      </w:pPr>
      <w:r>
        <w:rPr>
          <w:rStyle w:val="SectionNumber"/>
        </w:rPr>
        <w:t xml:space="preserve">5.3.2.8</w:t>
      </w:r>
      <w:r>
        <w:tab/>
      </w:r>
      <w:r>
        <w:t xml:space="preserve">Locomotive</w:t>
      </w:r>
    </w:p>
    <w:p>
      <w:pPr>
        <w:pStyle w:val="FirstParagraph"/>
      </w:pPr>
      <w:r>
        <w:t xml:space="preserve">Bei Locomotive (locomotive.org,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47"/>
    <w:bookmarkStart w:id="148"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48"/>
    <w:bookmarkEnd w:id="149"/>
    <w:bookmarkStart w:id="150"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0"/>
    <w:bookmarkEnd w:id="151"/>
    <w:bookmarkStart w:id="152"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7"/>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7"/>
        </w:numPr>
      </w:pPr>
      <w:r>
        <w:t xml:space="preserve">Einige der in Erwägung gezogenen Produkte haben sich erst im Verlauf der Arbeit in eine Richtung entwickelt, die ihren Einsatz rechtfertigen.</w:t>
      </w:r>
    </w:p>
    <w:p>
      <w:pPr>
        <w:pStyle w:val="Compact"/>
        <w:numPr>
          <w:ilvl w:val="0"/>
          <w:numId w:val="1007"/>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52"/>
    <w:bookmarkStart w:id="184" w:name="systemx-i"/>
    <w:p>
      <w:pPr>
        <w:pStyle w:val="Heading2"/>
      </w:pPr>
      <w:r>
        <w:rPr>
          <w:rStyle w:val="SectionNumber"/>
        </w:rPr>
        <w:t xml:space="preserve">5.5</w:t>
      </w:r>
      <w:r>
        <w:tab/>
      </w:r>
      <w:r>
        <w:t xml:space="preserve">systemX I</w:t>
      </w:r>
    </w:p>
    <w:bookmarkStart w:id="159"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(siehe Abbildung 3-3).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54" name="Picture"/>
            <a:graphic>
              <a:graphicData uri="http://schemas.openxmlformats.org/drawingml/2006/picture">
                <pic:pic>
                  <pic:nvPicPr>
                    <pic:cNvPr descr="./img/systemx-i-ueberblick.png" id="155" name="Picture"/>
                    <pic:cNvPicPr>
                      <a:picLocks noChangeArrowheads="1" noChangeAspect="1"/>
                    </pic:cNvPicPr>
                  </pic:nvPicPr>
                  <pic:blipFill>
                    <a:blip r:embed="rId153"/>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(siehe Abbildung 3-4).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57" name="Picture"/>
            <a:graphic>
              <a:graphicData uri="http://schemas.openxmlformats.org/drawingml/2006/picture">
                <pic:pic>
                  <pic:nvPicPr>
                    <pic:cNvPr descr="./img/cgi-funktionsweise.png" id="158" name="Picture"/>
                    <pic:cNvPicPr>
                      <a:picLocks noChangeArrowheads="1" noChangeAspect="1"/>
                    </pic:cNvPicPr>
                  </pic:nvPicPr>
                  <pic:blipFill>
                    <a:blip r:embed="rId156"/>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8"/>
        </w:numPr>
      </w:pPr>
      <w:r>
        <w:t xml:space="preserve">Zugriff auf die meisten verfügbaren Datenbanken</w:t>
      </w:r>
    </w:p>
    <w:p>
      <w:pPr>
        <w:pStyle w:val="Compact"/>
        <w:numPr>
          <w:ilvl w:val="0"/>
          <w:numId w:val="1008"/>
        </w:numPr>
      </w:pPr>
      <w:r>
        <w:t xml:space="preserve">LDAP</w:t>
      </w:r>
    </w:p>
    <w:p>
      <w:pPr>
        <w:pStyle w:val="Compact"/>
        <w:numPr>
          <w:ilvl w:val="0"/>
          <w:numId w:val="1008"/>
        </w:numPr>
      </w:pPr>
      <w:r>
        <w:t xml:space="preserve">SMTP</w:t>
      </w:r>
    </w:p>
    <w:p>
      <w:pPr>
        <w:pStyle w:val="Compact"/>
        <w:numPr>
          <w:ilvl w:val="0"/>
          <w:numId w:val="1008"/>
        </w:numPr>
      </w:pPr>
      <w:r>
        <w:t xml:space="preserve">NNTP</w:t>
      </w:r>
    </w:p>
    <w:p>
      <w:pPr>
        <w:pStyle w:val="Compact"/>
        <w:numPr>
          <w:ilvl w:val="0"/>
          <w:numId w:val="1008"/>
        </w:numPr>
      </w:pPr>
      <w:r>
        <w:t xml:space="preserve">Session Management</w:t>
      </w:r>
    </w:p>
    <w:p>
      <w:pPr>
        <w:pStyle w:val="Compact"/>
        <w:numPr>
          <w:ilvl w:val="0"/>
          <w:numId w:val="1008"/>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 [see99]</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59"/>
    <w:bookmarkStart w:id="174" w:name="implementierung-der-definierten-methoden"/>
    <w:p>
      <w:pPr>
        <w:pStyle w:val="Heading3"/>
      </w:pPr>
      <w:r>
        <w:rPr>
          <w:rStyle w:val="SectionNumber"/>
        </w:rPr>
        <w:t xml:space="preserve">5.5.2</w:t>
      </w:r>
      <w:r>
        <w:tab/>
      </w:r>
      <w:r>
        <w:t xml:space="preserve">Implementierung der definierten Methoden</w:t>
      </w:r>
    </w:p>
    <w:bookmarkStart w:id="163"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 (siehe Abbildung 3-5).</w:t>
      </w:r>
    </w:p>
    <w:p>
      <w:pPr>
        <w:pStyle w:val="CaptionedFigure"/>
      </w:pPr>
      <w:r>
        <w:drawing>
          <wp:inline>
            <wp:extent cx="5334000" cy="2597658"/>
            <wp:effectExtent b="0" l="0" r="0" t="0"/>
            <wp:docPr descr="Vermeidung redundanter Datenhaltung" title="" id="161" name="Picture"/>
            <a:graphic>
              <a:graphicData uri="http://schemas.openxmlformats.org/drawingml/2006/picture">
                <pic:pic>
                  <pic:nvPicPr>
                    <pic:cNvPr descr="./img/vermeidung-reduntanter-datenhaltung.png" id="162" name="Picture"/>
                    <pic:cNvPicPr>
                      <a:picLocks noChangeArrowheads="1" noChangeAspect="1"/>
                    </pic:cNvPicPr>
                  </pic:nvPicPr>
                  <pic:blipFill>
                    <a:blip r:embed="rId160"/>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09"/>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09"/>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09"/>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09"/>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63"/>
    <w:bookmarkStart w:id="165"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64">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abgelegt(MySQL oder PostgreSQL). Es besteht die Möglichkeit, sich von Antworten auf eingestellte Beiträge per Mail informieren zu lassen.</w:t>
      </w:r>
    </w:p>
    <w:bookmarkEnd w:id="165"/>
    <w:bookmarkStart w:id="167" w:name="newssektion-2"/>
    <w:p>
      <w:pPr>
        <w:pStyle w:val="Heading4"/>
      </w:pPr>
      <w:r>
        <w:rPr>
          <w:rStyle w:val="SectionNumber"/>
        </w:rPr>
        <w:t xml:space="preserve">5.5.2.3</w:t>
      </w:r>
      <w:r>
        <w:tab/>
      </w:r>
      <w:r>
        <w:t xml:space="preserve">Newssektion</w:t>
      </w:r>
    </w:p>
    <w:p>
      <w:pPr>
        <w:pStyle w:val="FirstParagraph"/>
      </w:pPr>
      <w:r>
        <w:t xml:space="preserve">(*) Die Newssektion wurde im systemX I nicht realisiert. Es war geplant, das Produkt</w:t>
      </w:r>
      <w:r>
        <w:t xml:space="preserve"> </w:t>
      </w:r>
      <w:hyperlink r:id="rId166">
        <w:r>
          <w:rPr>
            <w:rStyle w:val="Hyperlink"/>
          </w:rPr>
          <w:t xml:space="preserve">PHP3 News Skript</w:t>
        </w:r>
      </w:hyperlink>
      <w:r>
        <w:t xml:space="preserve"> </w:t>
      </w:r>
      <w:r>
        <w:t xml:space="preserve">einzusetzen, das auf PHP3 basiert und alle Beiträge in einer MySQL-Datenbank ablegt.</w:t>
      </w:r>
    </w:p>
    <w:bookmarkEnd w:id="167"/>
    <w:bookmarkStart w:id="168" w:name="privater-bereich-2"/>
    <w:p>
      <w:pPr>
        <w:pStyle w:val="Heading4"/>
      </w:pPr>
      <w:r>
        <w:rPr>
          <w:rStyle w:val="SectionNumber"/>
        </w:rPr>
        <w:t xml:space="preserve">5.5.2.4</w:t>
      </w:r>
      <w:r>
        <w:tab/>
      </w:r>
      <w:r>
        <w:t xml:space="preserve">Privater Bereich</w:t>
      </w:r>
    </w:p>
    <w:p>
      <w:pPr>
        <w:pStyle w:val="FirstParagraph"/>
      </w:pPr>
      <w:r>
        <w:t xml:space="preserve">(*) Der private Bereich unterscheidet sich vom öffentlichen nur dadurch, dass der Besitzer als Administrator fungiert und somit über die Rechtevergabe entscheiden kann.</w:t>
      </w:r>
    </w:p>
    <w:bookmarkEnd w:id="168"/>
    <w:bookmarkStart w:id="169"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69"/>
    <w:bookmarkStart w:id="170"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0"/>
    <w:bookmarkStart w:id="173"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1">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72">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73"/>
    <w:bookmarkEnd w:id="174"/>
    <w:bookmarkStart w:id="183"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0"/>
        </w:numPr>
      </w:pPr>
      <w:hyperlink r:id="rId175">
        <w:r>
          <w:rPr>
            <w:rStyle w:val="Hyperlink"/>
          </w:rPr>
          <w:t xml:space="preserve">Apache</w:t>
        </w:r>
      </w:hyperlink>
      <w:r>
        <w:t xml:space="preserve"> </w:t>
      </w:r>
      <w:r>
        <w:t xml:space="preserve">dient als HTTP-Server</w:t>
      </w:r>
    </w:p>
    <w:p>
      <w:pPr>
        <w:pStyle w:val="Compact"/>
        <w:numPr>
          <w:ilvl w:val="0"/>
          <w:numId w:val="1010"/>
        </w:numPr>
      </w:pPr>
      <w:hyperlink r:id="rId176">
        <w:r>
          <w:rPr>
            <w:rStyle w:val="Hyperlink"/>
          </w:rPr>
          <w:t xml:space="preserve">JServ</w:t>
        </w:r>
      </w:hyperlink>
      <w:r>
        <w:t xml:space="preserve"> </w:t>
      </w:r>
      <w:r>
        <w:t xml:space="preserve">ermöglicht den Einsatz von Java Servlets unter Apache</w:t>
      </w:r>
    </w:p>
    <w:p>
      <w:pPr>
        <w:pStyle w:val="Compact"/>
        <w:numPr>
          <w:ilvl w:val="0"/>
          <w:numId w:val="1010"/>
        </w:numPr>
      </w:pPr>
      <w:hyperlink r:id="rId177">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0"/>
        </w:numPr>
      </w:pPr>
      <w:hyperlink r:id="rId178">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79">
        <w:r>
          <w:rPr>
            <w:rStyle w:val="Hyperlink"/>
          </w:rPr>
          <w:t xml:space="preserve">ODBC-Treiber</w:t>
        </w:r>
      </w:hyperlink>
      <w:r>
        <w:t xml:space="preserve">, Webinterface)</w:t>
      </w:r>
    </w:p>
    <w:p>
      <w:pPr>
        <w:pStyle w:val="Compact"/>
        <w:numPr>
          <w:ilvl w:val="0"/>
          <w:numId w:val="1010"/>
        </w:numPr>
      </w:pPr>
      <w:hyperlink r:id="rId180">
        <w:r>
          <w:rPr>
            <w:rStyle w:val="Hyperlink"/>
          </w:rPr>
          <w:t xml:space="preserve">phpMyAdmin</w:t>
        </w:r>
      </w:hyperlink>
      <w:r>
        <w:t xml:space="preserve"> </w:t>
      </w:r>
      <w:r>
        <w:t xml:space="preserve">als Weboberfläche für den Datenbankserver MySQL</w:t>
      </w:r>
    </w:p>
    <w:p>
      <w:pPr>
        <w:pStyle w:val="Compact"/>
        <w:numPr>
          <w:ilvl w:val="0"/>
          <w:numId w:val="1010"/>
        </w:numPr>
      </w:pPr>
      <w:hyperlink r:id="rId171">
        <w:r>
          <w:rPr>
            <w:rStyle w:val="Hyperlink"/>
          </w:rPr>
          <w:t xml:space="preserve">UDMsearch</w:t>
        </w:r>
      </w:hyperlink>
      <w:r>
        <w:t xml:space="preserve"> </w:t>
      </w:r>
      <w:r>
        <w:t xml:space="preserve">ein Indizierer für Webseiten, der seine Metadaten in einer Datenbank ablegt</w:t>
      </w:r>
    </w:p>
    <w:p>
      <w:pPr>
        <w:pStyle w:val="Compact"/>
        <w:numPr>
          <w:ilvl w:val="0"/>
          <w:numId w:val="1010"/>
        </w:numPr>
      </w:pPr>
      <w:hyperlink r:id="rId181">
        <w:r>
          <w:rPr>
            <w:rStyle w:val="Hyperlink"/>
          </w:rPr>
          <w:t xml:space="preserve">OpenLDAP</w:t>
        </w:r>
      </w:hyperlink>
      <w:r>
        <w:t xml:space="preserve"> </w:t>
      </w:r>
      <w:r>
        <w:t xml:space="preserve">ein frei verfügbarer LDAP Directory Server</w:t>
      </w:r>
    </w:p>
    <w:p>
      <w:pPr>
        <w:pStyle w:val="Compact"/>
        <w:numPr>
          <w:ilvl w:val="0"/>
          <w:numId w:val="1010"/>
        </w:numPr>
      </w:pPr>
      <w:hyperlink r:id="rId182">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0"/>
        </w:numPr>
      </w:pPr>
      <w:hyperlink r:id="rId164">
        <w:r>
          <w:rPr>
            <w:rStyle w:val="Hyperlink"/>
          </w:rPr>
          <w:t xml:space="preserve">Phorum</w:t>
        </w:r>
      </w:hyperlink>
      <w:r>
        <w:t xml:space="preserve"> </w:t>
      </w:r>
      <w:r>
        <w:t xml:space="preserve">Diskussionsforum auf PHP-Basis, das alle Beiträge in einer MySQL Datenbank ablegt</w:t>
      </w:r>
    </w:p>
    <w:bookmarkEnd w:id="183"/>
    <w:bookmarkEnd w:id="184"/>
    <w:bookmarkStart w:id="200" w:name="systemx-ii"/>
    <w:p>
      <w:pPr>
        <w:pStyle w:val="Heading2"/>
      </w:pPr>
      <w:r>
        <w:rPr>
          <w:rStyle w:val="SectionNumber"/>
        </w:rPr>
        <w:t xml:space="preserve">5.6</w:t>
      </w:r>
      <w:r>
        <w:tab/>
      </w:r>
      <w:r>
        <w:t xml:space="preserve">systemX II</w:t>
      </w:r>
    </w:p>
    <w:bookmarkStart w:id="188"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BodyText"/>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BodyText"/>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BodyText"/>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 (siehe Abbildung 3-6).</w:t>
      </w:r>
    </w:p>
    <w:p>
      <w:pPr>
        <w:pStyle w:val="CaptionedFigure"/>
      </w:pPr>
      <w:r>
        <w:drawing>
          <wp:inline>
            <wp:extent cx="5334000" cy="3269742"/>
            <wp:effectExtent b="0" l="0" r="0" t="0"/>
            <wp:docPr descr="systemX II - Überblick" title="" id="186" name="Picture"/>
            <a:graphic>
              <a:graphicData uri="http://schemas.openxmlformats.org/drawingml/2006/picture">
                <pic:pic>
                  <pic:nvPicPr>
                    <pic:cNvPr descr="./img/systemx-ii-ueberblick.png" id="187" name="Picture"/>
                    <pic:cNvPicPr>
                      <a:picLocks noChangeArrowheads="1" noChangeAspect="1"/>
                    </pic:cNvPicPr>
                  </pic:nvPicPr>
                  <pic:blipFill>
                    <a:blip r:embed="rId185"/>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88"/>
    <w:bookmarkStart w:id="198" w:name="X83a4113bfcf10cfddaf04477cfeda825aed53c0"/>
    <w:p>
      <w:pPr>
        <w:pStyle w:val="Heading3"/>
      </w:pPr>
      <w:r>
        <w:rPr>
          <w:rStyle w:val="SectionNumber"/>
        </w:rPr>
        <w:t xml:space="preserve">5.6.2</w:t>
      </w:r>
      <w:r>
        <w:tab/>
      </w:r>
      <w:r>
        <w:t xml:space="preserve">Implementierung der definierten Methoden</w:t>
      </w:r>
    </w:p>
    <w:bookmarkStart w:id="189"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89"/>
    <w:bookmarkStart w:id="192" w:name="newssektion-3"/>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0">
        <w:r>
          <w:rPr>
            <w:rStyle w:val="Hyperlink"/>
          </w:rPr>
          <w:t xml:space="preserve">Squishdot</w:t>
        </w:r>
      </w:hyperlink>
      <w:r>
        <w:t xml:space="preserve"> </w:t>
      </w:r>
      <w:r>
        <w:t xml:space="preserve">realisiert. Squishdot bietet ähnliche Funktionen wie</w:t>
      </w:r>
      <w:r>
        <w:t xml:space="preserve"> </w:t>
      </w:r>
      <w:hyperlink r:id="rId191">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192"/>
    <w:bookmarkStart w:id="193" w:name="privater-bereich-3"/>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193"/>
    <w:bookmarkStart w:id="195"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 verwendet werden.</w:t>
      </w:r>
    </w:p>
    <w:p>
      <w:pPr>
        <w:pStyle w:val="BodyText"/>
      </w:pPr>
      <w:hyperlink r:id="rId194">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195"/>
    <w:bookmarkStart w:id="196"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196"/>
    <w:bookmarkStart w:id="197"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197"/>
    <w:bookmarkEnd w:id="198"/>
    <w:bookmarkStart w:id="199"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1"/>
        </w:numPr>
      </w:pPr>
      <w:r>
        <w:t xml:space="preserve">Knowledge Kit</w:t>
      </w:r>
    </w:p>
    <w:p>
      <w:pPr>
        <w:pStyle w:val="Compact"/>
        <w:numPr>
          <w:ilvl w:val="0"/>
          <w:numId w:val="1011"/>
        </w:numPr>
      </w:pPr>
      <w:r>
        <w:t xml:space="preserve">LocalFS</w:t>
      </w:r>
    </w:p>
    <w:p>
      <w:pPr>
        <w:pStyle w:val="Compact"/>
        <w:numPr>
          <w:ilvl w:val="0"/>
          <w:numId w:val="1011"/>
        </w:numPr>
      </w:pPr>
      <w:r>
        <w:t xml:space="preserve">PSQInput Wizard/ZMySQLDA</w:t>
      </w:r>
    </w:p>
    <w:p>
      <w:pPr>
        <w:pStyle w:val="Compact"/>
        <w:numPr>
          <w:ilvl w:val="0"/>
          <w:numId w:val="1011"/>
        </w:numPr>
      </w:pPr>
      <w:r>
        <w:t xml:space="preserve">SiteSummary</w:t>
      </w:r>
    </w:p>
    <w:p>
      <w:pPr>
        <w:pStyle w:val="Compact"/>
        <w:numPr>
          <w:ilvl w:val="0"/>
          <w:numId w:val="1011"/>
        </w:numPr>
      </w:pPr>
      <w:r>
        <w:t xml:space="preserve">Squishdot</w:t>
      </w:r>
    </w:p>
    <w:p>
      <w:pPr>
        <w:pStyle w:val="Compact"/>
        <w:numPr>
          <w:ilvl w:val="0"/>
          <w:numId w:val="1011"/>
        </w:numPr>
      </w:pPr>
      <w:r>
        <w:t xml:space="preserve">TinyTable</w:t>
      </w:r>
    </w:p>
    <w:p>
      <w:pPr>
        <w:pStyle w:val="Compact"/>
        <w:numPr>
          <w:ilvl w:val="0"/>
          <w:numId w:val="1011"/>
        </w:numPr>
      </w:pPr>
      <w:r>
        <w:t xml:space="preserve">ZDConfera</w:t>
      </w:r>
    </w:p>
    <w:bookmarkEnd w:id="199"/>
    <w:bookmarkEnd w:id="200"/>
    <w:bookmarkEnd w:id="201"/>
    <w:bookmarkStart w:id="210" w:name="durchgeführte-projekteverifikation"/>
    <w:p>
      <w:pPr>
        <w:pStyle w:val="Heading1"/>
      </w:pPr>
      <w:r>
        <w:rPr>
          <w:rStyle w:val="SectionNumber"/>
        </w:rPr>
        <w:t xml:space="preserve">6</w:t>
      </w:r>
      <w:r>
        <w:tab/>
      </w:r>
      <w:r>
        <w:t xml:space="preserve">Durchgeführte Projekte/Verifikation</w:t>
      </w:r>
    </w:p>
    <w:bookmarkStart w:id="202"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02"/>
    <w:bookmarkStart w:id="203"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03"/>
    <w:bookmarkStart w:id="204"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04"/>
    <w:bookmarkStart w:id="209"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05">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(siehe Abbildung 4-1).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07" name="Picture"/>
            <a:graphic>
              <a:graphicData uri="http://schemas.openxmlformats.org/drawingml/2006/picture">
                <pic:pic>
                  <pic:nvPicPr>
                    <pic:cNvPr descr="./img/konzept-abschlussarbeiten-boerse.png" id="208" name="Picture"/>
                    <pic:cNvPicPr>
                      <a:picLocks noChangeArrowheads="1" noChangeAspect="1"/>
                    </pic:cNvPicPr>
                  </pic:nvPicPr>
                  <pic:blipFill>
                    <a:blip r:embed="rId206"/>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09"/>
    <w:bookmarkEnd w:id="210"/>
    <w:bookmarkStart w:id="211"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1"/>
    <w:bookmarkStart w:id="212" w:name="glossar"/>
    <w:p>
      <w:pPr>
        <w:pStyle w:val="Heading1"/>
      </w:pPr>
      <w:r>
        <w:rPr>
          <w:rStyle w:val="SectionNumber"/>
        </w:rPr>
        <w:t xml:space="preserve">8</w:t>
      </w:r>
      <w:r>
        <w:tab/>
      </w:r>
      <w:r>
        <w:t xml:space="preserve">Glossar</w:t>
      </w:r>
    </w:p>
    <w:p>
      <w:pPr>
        <w:pStyle w:val="Compact"/>
        <w:numPr>
          <w:ilvl w:val="0"/>
          <w:numId w:val="1012"/>
        </w:numPr>
      </w:pPr>
      <w:r>
        <w:t xml:space="preserve">ASCII (American Standard Code for Information Interchange): ASCII beschreibt die Darstellung von Zeichen innerhalb eines Betriebssystems.</w:t>
      </w:r>
    </w:p>
    <w:p>
      <w:pPr>
        <w:pStyle w:val="Compact"/>
        <w:numPr>
          <w:ilvl w:val="0"/>
          <w:numId w:val="1012"/>
        </w:numPr>
      </w:pPr>
      <w:r>
        <w:t xml:space="preserve">DSSSL (Document Style Semantics and Specification Language): Sprache um XML für Druck- oder Onlineversionen zu rendern. Standardisiert in ISO/IEC 10179:1996.</w:t>
      </w:r>
    </w:p>
    <w:p>
      <w:pPr>
        <w:pStyle w:val="Compact"/>
        <w:numPr>
          <w:ilvl w:val="0"/>
          <w:numId w:val="1012"/>
        </w:numPr>
      </w:pPr>
      <w:r>
        <w:t xml:space="preserve">DTD (Document Type Definition): Definition der Tags und Attribute für eine XML Datei.</w:t>
      </w:r>
    </w:p>
    <w:p>
      <w:pPr>
        <w:pStyle w:val="Compact"/>
        <w:numPr>
          <w:ilvl w:val="0"/>
          <w:numId w:val="1012"/>
        </w:numPr>
      </w:pPr>
      <w:r>
        <w:t xml:space="preserve">HTML (Hypertext Markup Language): Hypertextformat zum Austausch von Dokumenten über das World Wide Web. Wird vom W3C standardisiert.</w:t>
      </w:r>
    </w:p>
    <w:p>
      <w:pPr>
        <w:pStyle w:val="Compact"/>
        <w:numPr>
          <w:ilvl w:val="0"/>
          <w:numId w:val="1012"/>
        </w:numPr>
      </w:pPr>
      <w:r>
        <w:t xml:space="preserve">JDBC (Java Database Connectivity): Eine plattformunabhängige Schnittstelle (API) für den Zugriff von Java-Programmen auf eine Datenbank.</w:t>
      </w:r>
    </w:p>
    <w:p>
      <w:pPr>
        <w:pStyle w:val="Compact"/>
        <w:numPr>
          <w:ilvl w:val="0"/>
          <w:numId w:val="1012"/>
        </w:numPr>
      </w:pPr>
      <w:r>
        <w:t xml:space="preserve">LDAP (Leightweight Directory Access Protocoll): Protokoll, mit dem über TCP/IP auf Directory Server zugegriffen werden kann.</w:t>
      </w:r>
    </w:p>
    <w:p>
      <w:pPr>
        <w:pStyle w:val="Compact"/>
        <w:numPr>
          <w:ilvl w:val="0"/>
          <w:numId w:val="1012"/>
        </w:numPr>
      </w:pPr>
      <w:r>
        <w:t xml:space="preserve">ODBC (Open Database Connectivity): Eine von der Firma Microsoft geschaffene, plattformabhängige Schnittstelle (API) für den Zugriff auf Datenbanken.</w:t>
      </w:r>
    </w:p>
    <w:p>
      <w:pPr>
        <w:pStyle w:val="Compact"/>
        <w:numPr>
          <w:ilvl w:val="0"/>
          <w:numId w:val="1012"/>
        </w:numPr>
      </w:pPr>
      <w:r>
        <w:t xml:space="preserve">OLE (Object Linking and Embedding): Eine Methode, um Daten von anderen Anwendungen einzubinden (zum Beispiel Excel Tabellen in Word Dokumenten).</w:t>
      </w:r>
    </w:p>
    <w:p>
      <w:pPr>
        <w:pStyle w:val="Compact"/>
        <w:numPr>
          <w:ilvl w:val="0"/>
          <w:numId w:val="1012"/>
        </w:numPr>
      </w:pPr>
      <w:r>
        <w:t xml:space="preserve">SGML (Standard Generalised Markup Language): Ein sehr komplexer Standard für die Beschreibung von Textformaten und den elektronischen Dokumentenaustausch.</w:t>
      </w:r>
    </w:p>
    <w:p>
      <w:pPr>
        <w:pStyle w:val="Compact"/>
        <w:numPr>
          <w:ilvl w:val="0"/>
          <w:numId w:val="1012"/>
        </w:numPr>
      </w:pPr>
      <w:r>
        <w:t xml:space="preserve">SQL (Structured Query Language): Abfragesprache für relationale Datenbanken.</w:t>
      </w:r>
    </w:p>
    <w:p>
      <w:pPr>
        <w:pStyle w:val="Compact"/>
        <w:numPr>
          <w:ilvl w:val="0"/>
          <w:numId w:val="1012"/>
        </w:numPr>
      </w:pPr>
      <w:r>
        <w:t xml:space="preserve">WebDAV (Web Distributed Authoring and Versioning): Die Weiterentwicklung des HTTP 1.1. Protokoll, das benutzt wird, um Webseiten abzufragen. WebDAV erweitert HTTP 1.1. um Funktionen der Dokument- und Versionsverwaltung.</w:t>
      </w:r>
    </w:p>
    <w:p>
      <w:pPr>
        <w:pStyle w:val="Compact"/>
        <w:numPr>
          <w:ilvl w:val="0"/>
          <w:numId w:val="1012"/>
        </w:numPr>
      </w:pPr>
      <w:r>
        <w:t xml:space="preserve">WAP (Wireless Application Protocol): Ein Protokoll um die Übertragung von WML-Inhalten an mobile Endgeräte zu ermöglichen. WAP ist vergleichbar mit HTTP, aber binär.</w:t>
      </w:r>
    </w:p>
    <w:p>
      <w:pPr>
        <w:pStyle w:val="Compact"/>
        <w:numPr>
          <w:ilvl w:val="0"/>
          <w:numId w:val="1012"/>
        </w:numPr>
      </w:pPr>
      <w:r>
        <w:t xml:space="preserve">WML (Wireless Markup Language): Eine Untermenge von XML, die das Erstellen von Inhalt für mobile Endgeräte ermöglicht.</w:t>
      </w:r>
    </w:p>
    <w:p>
      <w:pPr>
        <w:pStyle w:val="Compact"/>
        <w:numPr>
          <w:ilvl w:val="0"/>
          <w:numId w:val="1012"/>
        </w:numPr>
      </w:pPr>
      <w:r>
        <w:t xml:space="preserve">XML (Extensible Markup Language): Meta-Beschreibungssprache, über die eigene Tags definiert werden können. XML wurde 1998 durch das W3C standardisiert.</w:t>
      </w:r>
    </w:p>
    <w:p>
      <w:pPr>
        <w:pStyle w:val="Compact"/>
        <w:numPr>
          <w:ilvl w:val="0"/>
          <w:numId w:val="1012"/>
        </w:numPr>
      </w:pPr>
      <w:r>
        <w:t xml:space="preserve">XSL (Extensible Stylesheet Language): Hierüber werden XML Dokumente ausgegeben und angezeigt.</w:t>
      </w:r>
    </w:p>
    <w:bookmarkEnd w:id="212"/>
    <w:bookmarkStart w:id="216"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13" w:name="wissensmanagement-1"/>
    <w:p>
      <w:pPr>
        <w:pStyle w:val="Heading2"/>
      </w:pPr>
      <w:r>
        <w:rPr>
          <w:rStyle w:val="SectionNumber"/>
        </w:rPr>
        <w:t xml:space="preserve">9.1</w:t>
      </w:r>
      <w:r>
        <w:tab/>
      </w:r>
      <w:r>
        <w:t xml:space="preserve">Wissensmanagement</w:t>
      </w:r>
    </w:p>
    <w:p>
      <w:pPr>
        <w:pStyle w:val="Compact"/>
        <w:numPr>
          <w:ilvl w:val="0"/>
          <w:numId w:val="1013"/>
        </w:numPr>
      </w:pPr>
      <w:r>
        <w:t xml:space="preserve">[ger00] Topic Maps: Der neue Standard für intelligentes Knowledge Retrieval, Thomas Gerick, wissensmanagement 2/2000, 8-12.</w:t>
      </w:r>
    </w:p>
    <w:p>
      <w:pPr>
        <w:pStyle w:val="Compact"/>
        <w:numPr>
          <w:ilvl w:val="0"/>
          <w:numId w:val="1013"/>
        </w:numPr>
      </w:pPr>
      <w:r>
        <w:t xml:space="preserve">[hol00] Information Mapping: Vorteile durch effizientes Strukturieren, Martin Holzmann, wissensmanagement 1/2000, 20-23.</w:t>
      </w:r>
    </w:p>
    <w:p>
      <w:pPr>
        <w:pStyle w:val="Compact"/>
        <w:numPr>
          <w:ilvl w:val="0"/>
          <w:numId w:val="1013"/>
        </w:numPr>
      </w:pPr>
      <w:r>
        <w:t xml:space="preserve">[dav98] Wenn Ihr Unternehmen wüsste, was es weiss…: Das Praxisbuch zum Wissensmanagement, Thomas H. Davenport und Laurence Prusak, 1998.</w:t>
      </w:r>
    </w:p>
    <w:p>
      <w:pPr>
        <w:pStyle w:val="Compact"/>
        <w:numPr>
          <w:ilvl w:val="0"/>
          <w:numId w:val="1013"/>
        </w:numPr>
      </w:pPr>
      <w:r>
        <w:t xml:space="preserve">[ver99] Idealvorstellungen: Architektur für das Firmenwissen, Gerhard Versteegen, ix 3/1999, 113-119.</w:t>
      </w:r>
    </w:p>
    <w:p>
      <w:pPr>
        <w:pStyle w:val="Compact"/>
        <w:numPr>
          <w:ilvl w:val="0"/>
          <w:numId w:val="1013"/>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3"/>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3"/>
        </w:numPr>
      </w:pPr>
      <w:r>
        <w:t xml:space="preserve">[wil99] Knowledge Management and IT: How are they related?, Larry Todd Wilson und Charles A. Snyder, IT Pro, April 1999, 73-77.</w:t>
      </w:r>
    </w:p>
    <w:p>
      <w:pPr>
        <w:pStyle w:val="Compact"/>
        <w:numPr>
          <w:ilvl w:val="0"/>
          <w:numId w:val="1013"/>
        </w:numPr>
      </w:pPr>
      <w:r>
        <w:t xml:space="preserve">[mor98] Knowledge Management Architecture, Daryl Morey, CRC Press LLC (https://www.brint.com/members/online/120205/kmarch/kmarch.html).</w:t>
      </w:r>
    </w:p>
    <w:p>
      <w:pPr>
        <w:pStyle w:val="Compact"/>
        <w:numPr>
          <w:ilvl w:val="0"/>
          <w:numId w:val="1013"/>
        </w:numPr>
      </w:pPr>
      <w:r>
        <w:t xml:space="preserve">[kpmg98] Knowledge Management: Research Report 1998, KPMG.</w:t>
      </w:r>
    </w:p>
    <w:p>
      <w:pPr>
        <w:pStyle w:val="Compact"/>
        <w:numPr>
          <w:ilvl w:val="0"/>
          <w:numId w:val="1013"/>
        </w:numPr>
      </w:pPr>
      <w:r>
        <w:t xml:space="preserve">[dat] Knowledge Management: Linking People To Knowledge For Bottom Line Results, Dataware Technologies.</w:t>
      </w:r>
    </w:p>
    <w:p>
      <w:pPr>
        <w:pStyle w:val="Compact"/>
        <w:numPr>
          <w:ilvl w:val="0"/>
          <w:numId w:val="1013"/>
        </w:numPr>
      </w:pPr>
      <w:r>
        <w:t xml:space="preserve">[sch98] Die semantische Ebene von Daten beim Knowledge Warehouse, Manfred Schumacher, ntz, 8/1998, 18-20.</w:t>
      </w:r>
    </w:p>
    <w:bookmarkEnd w:id="213"/>
    <w:bookmarkStart w:id="214" w:name="standards"/>
    <w:p>
      <w:pPr>
        <w:pStyle w:val="Heading2"/>
      </w:pPr>
      <w:r>
        <w:rPr>
          <w:rStyle w:val="SectionNumber"/>
        </w:rPr>
        <w:t xml:space="preserve">9.2</w:t>
      </w:r>
      <w:r>
        <w:tab/>
      </w:r>
      <w:r>
        <w:t xml:space="preserve">Standards</w:t>
      </w:r>
    </w:p>
    <w:p>
      <w:pPr>
        <w:pStyle w:val="Compact"/>
        <w:numPr>
          <w:ilvl w:val="0"/>
          <w:numId w:val="1014"/>
        </w:numPr>
      </w:pPr>
      <w:r>
        <w:t xml:space="preserve">[rfc2218] rfc2218 - A common schema for the Internet White Pages Service, (http://www.faqs.org/rfcs/rfc2218.html).</w:t>
      </w:r>
    </w:p>
    <w:p>
      <w:pPr>
        <w:pStyle w:val="Compact"/>
        <w:numPr>
          <w:ilvl w:val="0"/>
          <w:numId w:val="1014"/>
        </w:numPr>
      </w:pPr>
      <w:r>
        <w:t xml:space="preserve">[iso13250] Topic Navigation Maps, ISO/IEC (https://web.archive.org/web/20000823044924/http://www.ornl.gov/sgml/sc34/document/8/draft27.htm).</w:t>
      </w:r>
    </w:p>
    <w:p>
      <w:pPr>
        <w:pStyle w:val="Compact"/>
        <w:numPr>
          <w:ilvl w:val="0"/>
          <w:numId w:val="1014"/>
        </w:numPr>
      </w:pPr>
      <w:r>
        <w:t xml:space="preserve">[xml] XML, W3C (https://www.w3.org/XML/).</w:t>
      </w:r>
    </w:p>
    <w:p>
      <w:pPr>
        <w:pStyle w:val="Compact"/>
        <w:numPr>
          <w:ilvl w:val="0"/>
          <w:numId w:val="1014"/>
        </w:numPr>
      </w:pPr>
      <w:r>
        <w:t xml:space="preserve">[see99] XML - Das Einsteigerseminar, Michael Seeboerger-Weichselbaum, bhv Verlag, Kaarst, ISBN 3-8287-1018-2.</w:t>
      </w:r>
    </w:p>
    <w:p>
      <w:pPr>
        <w:pStyle w:val="Compact"/>
        <w:numPr>
          <w:ilvl w:val="0"/>
          <w:numId w:val="1014"/>
        </w:numPr>
      </w:pPr>
      <w:r>
        <w:t xml:space="preserve">[rfc2518] HTTP Extensions for Distributed Authoring - WEBDAV, IETF (www.ietf.org).</w:t>
      </w:r>
    </w:p>
    <w:bookmarkEnd w:id="214"/>
    <w:bookmarkStart w:id="215" w:name="technik"/>
    <w:p>
      <w:pPr>
        <w:pStyle w:val="Heading2"/>
      </w:pPr>
      <w:r>
        <w:rPr>
          <w:rStyle w:val="SectionNumber"/>
        </w:rPr>
        <w:t xml:space="preserve">9.3</w:t>
      </w:r>
      <w:r>
        <w:tab/>
      </w:r>
      <w:r>
        <w:t xml:space="preserve">Technik</w:t>
      </w:r>
    </w:p>
    <w:p>
      <w:pPr>
        <w:pStyle w:val="Compact"/>
        <w:numPr>
          <w:ilvl w:val="0"/>
          <w:numId w:val="1015"/>
        </w:numPr>
      </w:pPr>
      <w:r>
        <w:t xml:space="preserve">Harvest: Effective Use Of Internet Information, Darren R. Hardy, University of Colorado at Boulder.</w:t>
      </w:r>
    </w:p>
    <w:p>
      <w:pPr>
        <w:pStyle w:val="Compact"/>
        <w:numPr>
          <w:ilvl w:val="0"/>
          <w:numId w:val="1015"/>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5"/>
        </w:numPr>
      </w:pPr>
      <w:r>
        <w:t xml:space="preserve">[lea99] The Directory Enabled Enterprise, Anne C. Lear, IT pro, August 1999, 14-17.</w:t>
      </w:r>
    </w:p>
    <w:p>
      <w:pPr>
        <w:pStyle w:val="Compact"/>
        <w:numPr>
          <w:ilvl w:val="0"/>
          <w:numId w:val="1015"/>
        </w:numPr>
      </w:pPr>
      <w:r>
        <w:t xml:space="preserve">XPath: XML Path Language, Norman Walsh, Arbortext (https://www.ptc.com/en/products/arbortext).</w:t>
      </w:r>
    </w:p>
    <w:p>
      <w:pPr>
        <w:pStyle w:val="Compact"/>
        <w:numPr>
          <w:ilvl w:val="0"/>
          <w:numId w:val="1015"/>
        </w:numPr>
      </w:pPr>
      <w:r>
        <w:t xml:space="preserve">Introduction to XML, Jay Greenspan, Webmonkey (https://tecfa.unige.ch/guides/te/files/xml-intro-edit.pdf).</w:t>
      </w:r>
    </w:p>
    <w:p>
      <w:pPr>
        <w:pStyle w:val="Compact"/>
        <w:numPr>
          <w:ilvl w:val="0"/>
          <w:numId w:val="1015"/>
        </w:numPr>
      </w:pPr>
      <w:r>
        <w:t xml:space="preserve">Understanding XSLT, Jay Greenspan, Webmonkey (https://web.archive.org/web/20000510150547/https://hotwired.lycos.com/webmonkey/98/43/index2a.html?tw=authoring).</w:t>
      </w:r>
    </w:p>
    <w:p>
      <w:pPr>
        <w:pStyle w:val="Compact"/>
        <w:numPr>
          <w:ilvl w:val="0"/>
          <w:numId w:val="1015"/>
        </w:numPr>
      </w:pPr>
      <w:r>
        <w:t xml:space="preserve">Practical XML with Linux, Uche Ogbuji, Linuxworld (https://www.computerworld.com/article/1444845/practical-xml-with-linux-part-3-xml-database-tools-for-linux.html).</w:t>
      </w:r>
    </w:p>
    <w:p>
      <w:pPr>
        <w:pStyle w:val="Compact"/>
        <w:numPr>
          <w:ilvl w:val="0"/>
          <w:numId w:val="1015"/>
        </w:numPr>
      </w:pPr>
      <w:r>
        <w:t xml:space="preserve">Linux, Java and XML, Eoin Lane, Linux Gazette (https://linuxgazette.net/issue48/lane.html).</w:t>
      </w:r>
    </w:p>
    <w:bookmarkEnd w:id="215"/>
    <w:bookmarkEnd w:id="2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image" Id="rId156" Target="media/rId156.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43" Target="media/rId43.png" /><Relationship Type="http://schemas.openxmlformats.org/officeDocument/2006/relationships/image" Id="rId206" Target="media/rId206.png" /><Relationship Type="http://schemas.openxmlformats.org/officeDocument/2006/relationships/image" Id="rId83" Target="media/rId83.png" /><Relationship Type="http://schemas.openxmlformats.org/officeDocument/2006/relationships/image" Id="rId153" Target="media/rId153.png" /><Relationship Type="http://schemas.openxmlformats.org/officeDocument/2006/relationships/image" Id="rId185" Target="media/rId185.png" /><Relationship Type="http://schemas.openxmlformats.org/officeDocument/2006/relationships/image" Id="rId68" Target="media/rId68.png" /><Relationship Type="http://schemas.openxmlformats.org/officeDocument/2006/relationships/image" Id="rId160" Target="media/rId160.png" /><Relationship Type="http://schemas.openxmlformats.org/officeDocument/2006/relationships/hyperlink" Id="rId139"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3" Target="http://www.opencms.org" TargetMode="External" /><Relationship Type="http://schemas.openxmlformats.org/officeDocument/2006/relationships/hyperlink" Id="rId87" Target="http://www.suchfibel.de" TargetMode="External" /><Relationship Type="http://schemas.openxmlformats.org/officeDocument/2006/relationships/hyperlink" Id="rId194" Target="http://www.webdav.org" TargetMode="External" /><Relationship Type="http://schemas.openxmlformats.org/officeDocument/2006/relationships/hyperlink" Id="rId175" Target="https://apache.org/" TargetMode="External" /><Relationship Type="http://schemas.openxmlformats.org/officeDocument/2006/relationships/hyperlink" Id="rId177" Target="https://cocoon.apache.org" TargetMode="External" /><Relationship Type="http://schemas.openxmlformats.org/officeDocument/2006/relationships/hyperlink" Id="rId176"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2" Target="https://de.wikipedia.org/wiki/PHP#PHP_3" TargetMode="External" /><Relationship Type="http://schemas.openxmlformats.org/officeDocument/2006/relationships/hyperlink" Id="rId179"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2"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7" Target="https://portals.apache.org/jetspeed-2" TargetMode="External" /><Relationship Type="http://schemas.openxmlformats.org/officeDocument/2006/relationships/hyperlink" Id="rId191" Target="https://slashdot.org/" TargetMode="External" /><Relationship Type="http://schemas.openxmlformats.org/officeDocument/2006/relationships/hyperlink" Id="rId171" Target="https://web.archive.org/web/20000105124849/http://mysearch.udm.net" TargetMode="External" /><Relationship Type="http://schemas.openxmlformats.org/officeDocument/2006/relationships/hyperlink" Id="rId205" Target="https://web.archive.org/web/20000301004622/http://www.iis.fhg.de/kfa/seneca/index.html" TargetMode="External" /><Relationship Type="http://schemas.openxmlformats.org/officeDocument/2006/relationships/hyperlink" Id="rId145" Target="https://web.archive.org/web/20000301151011/http://www.exoffice.com/intalio.xml" TargetMode="External" /><Relationship Type="http://schemas.openxmlformats.org/officeDocument/2006/relationships/hyperlink" Id="rId190" Target="https://web.archive.org/web/20000815054006/http://www.squishdot.org/" TargetMode="External" /><Relationship Type="http://schemas.openxmlformats.org/officeDocument/2006/relationships/hyperlink" Id="rId166"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2"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1"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8" Target="https://www.mysql.com" TargetMode="External" /><Relationship Type="http://schemas.openxmlformats.org/officeDocument/2006/relationships/hyperlink" Id="rId181" Target="https://www.openldap.org/" TargetMode="External" /><Relationship Type="http://schemas.openxmlformats.org/officeDocument/2006/relationships/hyperlink" Id="rId164" Target="https://www.phorum.org" TargetMode="External" /><Relationship Type="http://schemas.openxmlformats.org/officeDocument/2006/relationships/hyperlink" Id="rId180" Target="https://www.phpmyadmin.net/" TargetMode="External" /><Relationship Type="http://schemas.openxmlformats.org/officeDocument/2006/relationships/hyperlink" Id="rId135" Target="https://www.python.org/" TargetMode="External" /><Relationship Type="http://schemas.openxmlformats.org/officeDocument/2006/relationships/hyperlink" Id="rId90" Target="https://www.w3.org/RDF" TargetMode="External" /><Relationship Type="http://schemas.openxmlformats.org/officeDocument/2006/relationships/hyperlink" Id="rId134"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39"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3" Target="http://www.opencms.org" TargetMode="External" /><Relationship Type="http://schemas.openxmlformats.org/officeDocument/2006/relationships/hyperlink" Id="rId87" Target="http://www.suchfibel.de" TargetMode="External" /><Relationship Type="http://schemas.openxmlformats.org/officeDocument/2006/relationships/hyperlink" Id="rId194" Target="http://www.webdav.org" TargetMode="External" /><Relationship Type="http://schemas.openxmlformats.org/officeDocument/2006/relationships/hyperlink" Id="rId175" Target="https://apache.org/" TargetMode="External" /><Relationship Type="http://schemas.openxmlformats.org/officeDocument/2006/relationships/hyperlink" Id="rId177" Target="https://cocoon.apache.org" TargetMode="External" /><Relationship Type="http://schemas.openxmlformats.org/officeDocument/2006/relationships/hyperlink" Id="rId176"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2" Target="https://de.wikipedia.org/wiki/PHP#PHP_3" TargetMode="External" /><Relationship Type="http://schemas.openxmlformats.org/officeDocument/2006/relationships/hyperlink" Id="rId179"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2"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7" Target="https://portals.apache.org/jetspeed-2" TargetMode="External" /><Relationship Type="http://schemas.openxmlformats.org/officeDocument/2006/relationships/hyperlink" Id="rId191" Target="https://slashdot.org/" TargetMode="External" /><Relationship Type="http://schemas.openxmlformats.org/officeDocument/2006/relationships/hyperlink" Id="rId171" Target="https://web.archive.org/web/20000105124849/http://mysearch.udm.net" TargetMode="External" /><Relationship Type="http://schemas.openxmlformats.org/officeDocument/2006/relationships/hyperlink" Id="rId205" Target="https://web.archive.org/web/20000301004622/http://www.iis.fhg.de/kfa/seneca/index.html" TargetMode="External" /><Relationship Type="http://schemas.openxmlformats.org/officeDocument/2006/relationships/hyperlink" Id="rId145" Target="https://web.archive.org/web/20000301151011/http://www.exoffice.com/intalio.xml" TargetMode="External" /><Relationship Type="http://schemas.openxmlformats.org/officeDocument/2006/relationships/hyperlink" Id="rId190" Target="https://web.archive.org/web/20000815054006/http://www.squishdot.org/" TargetMode="External" /><Relationship Type="http://schemas.openxmlformats.org/officeDocument/2006/relationships/hyperlink" Id="rId166"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2"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1"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8" Target="https://www.mysql.com" TargetMode="External" /><Relationship Type="http://schemas.openxmlformats.org/officeDocument/2006/relationships/hyperlink" Id="rId181" Target="https://www.openldap.org/" TargetMode="External" /><Relationship Type="http://schemas.openxmlformats.org/officeDocument/2006/relationships/hyperlink" Id="rId164" Target="https://www.phorum.org" TargetMode="External" /><Relationship Type="http://schemas.openxmlformats.org/officeDocument/2006/relationships/hyperlink" Id="rId180" Target="https://www.phpmyadmin.net/" TargetMode="External" /><Relationship Type="http://schemas.openxmlformats.org/officeDocument/2006/relationships/hyperlink" Id="rId135" Target="https://www.python.org/" TargetMode="External" /><Relationship Type="http://schemas.openxmlformats.org/officeDocument/2006/relationships/hyperlink" Id="rId90" Target="https://www.w3.org/RDF" TargetMode="External" /><Relationship Type="http://schemas.openxmlformats.org/officeDocument/2006/relationships/hyperlink" Id="rId134"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Simon Dückert</dc:creator>
  <cp:keywords/>
  <dcterms:created xsi:type="dcterms:W3CDTF">2024-07-27T22:38:59Z</dcterms:created>
  <dcterms:modified xsi:type="dcterms:W3CDTF">2024-07-27T22:38:59Z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