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rFonts w:ascii="Calibri" w:cs="Calibri" w:eastAsia="Calibri" w:hAnsi="Calibri"/>
          <w:b/>
          <w:bCs/>
          <w:color w:val="0B5CAD"/>
          <w:spacing w:val="60"/>
          <w:sz w:val="20"/>
          <w:szCs w:val="20"/>
        </w:rPr>
        <w:t xml:space="preserve">OPTIMIZELY</w:t>
      </w:r>
    </w:p>
    <w:p>
      <w:pPr>
        <w:pBdr>
          <w:bottom w:val="single" w:color="0B5CAD" w:sz="18" w:space="10"/>
        </w:pBdr>
        <w:spacing w:after="80" w:before="200"/>
      </w:pPr>
      <w:r>
        <w:rPr>
          <w:rFonts w:ascii="Calibri" w:cs="Calibri" w:eastAsia="Calibri" w:hAnsi="Calibri"/>
          <w:b/>
          <w:bCs/>
          <w:color w:val="11142A"/>
          <w:sz w:val="52"/>
          <w:szCs w:val="52"/>
        </w:rPr>
        <w:t xml:space="preserve">Behavioral Targeting and Intelligence: what it is</w:t>
      </w:r>
    </w:p>
    <w:p>
      <w:pPr>
        <w:spacing w:after="700" w:before="200"/>
      </w:pPr>
      <w:r>
        <w:rPr>
          <w:rFonts w:ascii="Calibri" w:cs="Calibri" w:eastAsia="Calibri" w:hAnsi="Calibri"/>
          <w:color w:val="5A6472"/>
          <w:sz w:val="26"/>
          <w:szCs w:val="26"/>
        </w:rPr>
        <w:t xml:space="preserve">For marketing · Engine facts as of commit 8b4f74c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A6472"/>
                <w:sz w:val="20"/>
                <w:szCs w:val="20"/>
              </w:rPr>
              <w:t xml:space="preserve">Prepared for</w:t>
            </w:r>
          </w:p>
        </w:tc>
        <w:tc>
          <w:tcPr>
            <w:tcW w:type="dxa" w:w="69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Marketing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A6472"/>
                <w:sz w:val="20"/>
                <w:szCs w:val="20"/>
              </w:rPr>
              <w:t xml:space="preserve">Prepared by</w:t>
            </w:r>
          </w:p>
        </w:tc>
        <w:tc>
          <w:tcPr>
            <w:tcW w:type="dxa" w:w="69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Optimizely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A6472"/>
                <w:sz w:val="20"/>
                <w:szCs w:val="20"/>
              </w:rPr>
              <w:t xml:space="preserve">Version</w:t>
            </w:r>
          </w:p>
        </w:tc>
        <w:tc>
          <w:tcPr>
            <w:tcW w:type="dxa" w:w="69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A6472"/>
                <w:sz w:val="20"/>
                <w:szCs w:val="20"/>
              </w:rPr>
              <w:t xml:space="preserve">Date</w:t>
            </w:r>
          </w:p>
        </w:tc>
        <w:tc>
          <w:tcPr>
            <w:tcW w:type="dxa" w:w="69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October 2, 2026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A6472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69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Internal: Optimizely only</w:t>
            </w:r>
          </w:p>
        </w:tc>
      </w:tr>
    </w:tbl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1142A"/>
          <w:sz w:val="30"/>
          <w:szCs w:val="30"/>
        </w:rPr>
        <w:t xml:space="preserve">Contents</w:t>
      </w:r>
    </w:p>
    <w:sdt>
      <w:sdtPr>
        <w:alias w:val="Contents"/>
      </w:sdtPr>
      <w:sdtContent>
        <w:p>
          <w:pPr>
            <w:pStyle w:val="TOC2"/>
            <w:tabs>
              <w:tab w:val="clear" w:pos="8786"/>
              <w:tab w:val="right" w:pos="9025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sec1">
            <w:r>
              <w:rPr>
                <w:rStyle w:val="IndexLink"/>
              </w:rPr>
              <w:t xml:space="default">What it is not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sec2">
            <w:r>
              <w:rPr>
                <w:rStyle w:val="IndexLink"/>
              </w:rPr>
              <w:t xml:space="default">How it works, in five steps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sec3">
            <w:r>
              <w:rPr>
                <w:rStyle w:val="IndexLink"/>
              </w:rPr>
              <w:t xml:space="default">Where the AI is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sec4">
            <w:r>
              <w:rPr>
                <w:rStyle w:val="IndexLink"/>
              </w:rPr>
              <w:t xml:space="default">What is true today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sec5">
            <w:r>
              <w:rPr>
                <w:rStyle w:val="IndexLink"/>
              </w:rPr>
              <w:t xml:space="default">Sentences to say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sec6">
            <w:r>
              <w:rPr>
                <w:rStyle w:val="IndexLink"/>
              </w:rPr>
              <w:t xml:space="default">Sentences never to say, and what to say instead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sec7">
            <w:r>
              <w:rPr>
                <w:rStyle w:val="IndexLink"/>
              </w:rPr>
              <w:t xml:space="default">Questions marketing will be asked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sec8">
            <w:r>
              <w:rPr>
                <w:rStyle w:val="IndexLink"/>
              </w:rPr>
              <w:t xml:space="default">See also</w:t>
              <w:tab/>
              <w:t xml:space="default"/>
            </w:r>
          </w:hyperlink>
          <w:r>
            <w:fldChar w:fldCharType="end"/>
          </w:r>
        </w:p>
      </w:sdtContent>
    </w:sdt>
    <w:p>
      <w:r>
        <w:br w:type="page"/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For marketing, writing about the engine for customers and the market.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With consent, the engine remembers what each visitor is interested in, not who they are, and ranks your content by the rules your team publishes.</w:t>
      </w:r>
    </w:p>
    <w:p>
      <w:pPr>
        <w:pStyle w:val="Heading2"/>
        <w:spacing w:after="160" w:before="320"/>
      </w:pPr>
      <w:bookmarkStart w:name="sec1" w:id="1"/>
      <w:r>
        <w:rPr>
          <w:rFonts w:ascii="Calibri" w:cs="Calibri" w:eastAsia="Calibri" w:hAnsi="Calibri"/>
          <w:b/>
          <w:bCs/>
          <w:color w:val="0B5CAD"/>
          <w:sz w:val="25"/>
          <w:szCs w:val="25"/>
        </w:rPr>
        <w:t xml:space="preserve">What it is not</w:t>
      </w:r>
      <w:bookmarkEnd w:id="1"/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Three contrasts place it, each with a kind of system, never a product.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It is not a recommendations engine that scores products from purchase history. It needs no purchase history: with consent, it starts from the first thing a visitor does, even as a stranger, and ranks the brand's own content for each place on a page.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It is not a tool that sorts visitors into segments by rule. For each visitor, it keeps a graded interest in each thing they engage with, rising with what they do and fading with time. Even an audience follows from it: a visitor joins at one line and leaves only below a lower one, so no one flickers in and out. The brand's rules govern the page, not the person.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It is not an AI model deciding in the moment. It calls no AI model to decide: each decision is arithmetic on the visitor's interests, their context and the brand's published settings, with a receipt that writes the arithmetic out. Generative AI has a place, outside the decision; see </w:t>
      </w:r>
      <w:hyperlink w:history="1" w:anchor="sec3">
        <w:r>
          <w:rPr>
            <w:rFonts w:ascii="Calibri" w:cs="Calibri" w:eastAsia="Calibri" w:hAnsi="Calibri"/>
            <w:color w:val="0B5CAD"/>
            <w:sz w:val="21"/>
            <w:szCs w:val="21"/>
            <w:u w:val="single"/>
          </w:rPr>
          <w:t xml:space="preserve">Where the AI is</w:t>
        </w:r>
      </w:hyperlink>
      <w:r>
        <w:rPr>
          <w:rFonts w:ascii="Calibri" w:cs="Calibri" w:eastAsia="Calibri" w:hAnsi="Calibri"/>
          <w:color w:val="1A1A1A"/>
          <w:sz w:val="21"/>
          <w:szCs w:val="21"/>
        </w:rPr>
        <w:t xml:space="preserve">.</w:t>
      </w:r>
    </w:p>
    <w:p>
      <w:pPr>
        <w:pStyle w:val="Heading2"/>
        <w:spacing w:after="160" w:before="320"/>
      </w:pPr>
      <w:bookmarkStart w:name="sec2" w:id="2"/>
      <w:r>
        <w:rPr>
          <w:rFonts w:ascii="Calibri" w:cs="Calibri" w:eastAsia="Calibri" w:hAnsi="Calibri"/>
          <w:b/>
          <w:bCs/>
          <w:color w:val="0B5CAD"/>
          <w:sz w:val="25"/>
          <w:szCs w:val="25"/>
        </w:rPr>
        <w:t xml:space="preserve">How it works, in five steps</w:t>
      </w:r>
      <w:bookmarkEnd w:id="2"/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Follow one visitor through one session: before they arrive, as they browse, when they leave, and afterwards. A dimension is something the brand scores on, such as category, color or price band; a dimension value is one entry on it, such as black.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1. What is watched: nothing, until the visitor agrees.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Before they arrive, the brand has published its content and its rules for each slot, a place on a page that the engine decides. When they arrive, nothing is watched until the site passes on their explicit consent choice; a missing or expired one counts as no. With consent, the engine notes what they view, save, buy or add to their bag.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2. What is remembered: a graded interest in each value the visitor touches.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When they view a black wool coat, their interests in coats, black and wool all grow, by as much as the brand says a view counts. Decisions read these interests, not a list of their clicks.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3. How a decision is made: the brand's rules first, then the visitor's interests.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Each time a page asks, the brand's rules come first: which pieces of content may show, by date, stock and region, and which a merchandiser has pinned. The rest are ranked by how well each piece's tags match the visitor's interests, weighted per slot: a piece tagged coats and black rises for this visitor. For a new visitor, the engine's cold start can use how they arrived, such as the campaign they clicked, and the regional prior: what visitors in the same region are interested in. The brand's own page renders the answer, and every decision gets a receipt.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4. What fades, and when: every interest, at its own pace.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When the visitor leaves, nothing more is added and their interests keep fading. Each dimension can have its own memory, from minutes to weeks. Time only lowers an interest; only what they do can raise it. For a live site, the memory is chosen with each customer.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5. How it learns: it counts, and a person decides.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From the first day, the engine counts what each piece earned, such as a click or a purchase, credited to the decision that showed it. Those counts move a slot's ranking only as far as its learning dial allows; only a person turns the dial, and it starts at zero. The learning is counting, not an AI model.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Each step carries a verdict in one legend: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Built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in the code and exercised;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Designed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in an architecture document, not yet in the code;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Open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no decision yet.</w:t>
      </w:r>
    </w:p>
    <w:tbl>
      <w:tblPr>
        <w:tblW w:type="dxa" w:w="9360"/>
        <w:tblBorders>
          <w:top w:val="single" w:color="C9D1DC" w:sz="4"/>
          <w:left w:val="single" w:color="C9D1DC" w:sz="4"/>
          <w:bottom w:val="single" w:color="C9D1DC" w:sz="4"/>
          <w:right w:val="single" w:color="C9D1DC" w:sz="4"/>
          <w:insideH w:val="single" w:color="C9D1DC" w:sz="2"/>
          <w:insideV w:val="single" w:color="C9D1DC" w:sz="2"/>
        </w:tblBorders>
      </w:tblPr>
      <w:tblGrid>
        <w:gridCol w:w="2404"/>
        <w:gridCol w:w="2343"/>
        <w:gridCol w:w="4613"/>
      </w:tblGrid>
      <w:tr>
        <w:trPr>
          <w:tblHeader/>
        </w:trPr>
        <w:tc>
          <w:tcPr>
            <w:tcW w:type="dxa" w:w="2404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Step</w:t>
            </w:r>
          </w:p>
        </w:tc>
        <w:tc>
          <w:tcPr>
            <w:tcW w:type="dxa" w:w="2343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When</w:t>
            </w:r>
          </w:p>
        </w:tc>
        <w:tc>
          <w:tcPr>
            <w:tcW w:type="dxa" w:w="4613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Verdict</w:t>
            </w:r>
          </w:p>
        </w:tc>
      </w:tr>
      <w:tr>
        <w:tc>
          <w:tcPr>
            <w:tcW w:type="dxa" w:w="240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1. What is watched</w:t>
            </w:r>
          </w:p>
        </w:tc>
        <w:tc>
          <w:tcPr>
            <w:tcW w:type="dxa" w:w="234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Before and on arrival</w:t>
            </w:r>
          </w:p>
        </w:tc>
        <w:tc>
          <w:tcPr>
            <w:tcW w:type="dxa" w:w="461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Built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: nothing, until the visitor makes an explicit choice</w:t>
            </w:r>
          </w:p>
        </w:tc>
      </w:tr>
      <w:tr>
        <w:tc>
          <w:tcPr>
            <w:tcW w:type="dxa" w:w="2404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2. What is remembered</w:t>
            </w:r>
          </w:p>
        </w:tc>
        <w:tc>
          <w:tcPr>
            <w:tcW w:type="dxa" w:w="2343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As the visitor browses</w:t>
            </w:r>
          </w:p>
        </w:tc>
        <w:tc>
          <w:tcPr>
            <w:tcW w:type="dxa" w:w="4613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Built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: a graded interest per dimension value</w:t>
            </w:r>
          </w:p>
        </w:tc>
      </w:tr>
      <w:tr>
        <w:tc>
          <w:tcPr>
            <w:tcW w:type="dxa" w:w="240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3. How a decision is made</w:t>
            </w:r>
          </w:p>
        </w:tc>
        <w:tc>
          <w:tcPr>
            <w:tcW w:type="dxa" w:w="234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Each time a page asks</w:t>
            </w:r>
          </w:p>
        </w:tc>
        <w:tc>
          <w:tcPr>
            <w:tcW w:type="dxa" w:w="461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Built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: the brand's rules first, then the visitor's interests, with a receipt</w:t>
            </w:r>
          </w:p>
        </w:tc>
      </w:tr>
      <w:tr>
        <w:tc>
          <w:tcPr>
            <w:tcW w:type="dxa" w:w="2404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4. What fades, and when</w:t>
            </w:r>
          </w:p>
        </w:tc>
        <w:tc>
          <w:tcPr>
            <w:tcW w:type="dxa" w:w="2343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When the visitor leaves</w:t>
            </w:r>
          </w:p>
        </w:tc>
        <w:tc>
          <w:tcPr>
            <w:tcW w:type="dxa" w:w="4613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Built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: every interest, on a memory set per dimension</w:t>
            </w:r>
          </w:p>
        </w:tc>
      </w:tr>
      <w:tr>
        <w:tc>
          <w:tcPr>
            <w:tcW w:type="dxa" w:w="240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5. How it learns</w:t>
            </w:r>
          </w:p>
        </w:tc>
        <w:tc>
          <w:tcPr>
            <w:tcW w:type="dxa" w:w="234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Afterwards</w:t>
            </w:r>
          </w:p>
        </w:tc>
        <w:tc>
          <w:tcPr>
            <w:tcW w:type="dxa" w:w="461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Built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, with the one exception below: it counts, and moves nothing until the dial turns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one exception: on a customer's site, recording receipts and outcomes through the SDK, the engine's browser library, waits on a setting that needs retention periods the customer has approved, an open decision. The hosted demos record today.</w:t>
      </w:r>
    </w:p>
    <w:p>
      <w:pPr>
        <w:pStyle w:val="Heading2"/>
        <w:spacing w:after="160" w:before="320"/>
      </w:pPr>
      <w:bookmarkStart w:name="sec3" w:id="3"/>
      <w:r>
        <w:rPr>
          <w:rFonts w:ascii="Calibri" w:cs="Calibri" w:eastAsia="Calibri" w:hAnsi="Calibri"/>
          <w:b/>
          <w:bCs/>
          <w:color w:val="0B5CAD"/>
          <w:sz w:val="25"/>
          <w:szCs w:val="25"/>
        </w:rPr>
        <w:t xml:space="preserve">Where the AI is</w:t>
      </w:r>
      <w:bookmarkEnd w:id="3"/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engine calls no AI model to decide, and even its receipts are written as data. Generative AI belongs to Opal, where a person asks or AI creates: an audience, a test, an analysis, or tags for content that a person approves. That is where AI credits apply, and credits follow the team's activity, never the site's traffic. AI features a visitor uses directly, such as typed search, are separate and off by default. Opal is not connected to the engine today, and how AI-proposed tags are billed is still open. The whole boundary is on the credits page,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Where Opal and AI Credits Fit, and Where They Never Do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</w:t>
      </w:r>
    </w:p>
    <w:p>
      <w:pPr>
        <w:pStyle w:val="Heading2"/>
        <w:spacing w:after="160" w:before="320"/>
      </w:pPr>
      <w:bookmarkStart w:name="sec4" w:id="4"/>
      <w:r>
        <w:rPr>
          <w:rFonts w:ascii="Calibri" w:cs="Calibri" w:eastAsia="Calibri" w:hAnsi="Calibri"/>
          <w:b/>
          <w:bCs/>
          <w:color w:val="0B5CAD"/>
          <w:sz w:val="25"/>
          <w:szCs w:val="25"/>
        </w:rPr>
        <w:t xml:space="preserve">What is true today</w:t>
      </w:r>
      <w:bookmarkEnd w:id="4"/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engine's core is built and runs today; the path onto a customer's own site is where the open decisions sit. Two hosted demos run on today's engine, </w:t>
      </w:r>
      <w:hyperlink w:history="1" r:id="rIdwptqlzhdmngnihywvdic-">
        <w:r>
          <w:rPr>
            <w:rFonts w:ascii="Calibri" w:cs="Calibri" w:eastAsia="Calibri" w:hAnsi="Calibri"/>
            <w:color w:val="0B5CAD"/>
            <w:sz w:val="21"/>
            <w:szCs w:val="21"/>
            <w:u w:val="single"/>
          </w:rPr>
          <w:t xml:space="preserve">Vantage</w:t>
        </w:r>
      </w:hyperlink>
      <w:r>
        <w:rPr>
          <w:rFonts w:ascii="Calibri" w:cs="Calibri" w:eastAsia="Calibri" w:hAnsi="Calibri"/>
          <w:color w:val="1A1A1A"/>
          <w:sz w:val="21"/>
          <w:szCs w:val="21"/>
        </w:rPr>
        <w:t xml:space="preserve"> and </w:t>
      </w:r>
      <w:hyperlink w:history="1" r:id="rId9f0m--gfwia5lszcn9dwv">
        <w:r>
          <w:rPr>
            <w:rFonts w:ascii="Calibri" w:cs="Calibri" w:eastAsia="Calibri" w:hAnsi="Calibri"/>
            <w:color w:val="0B5CAD"/>
            <w:sz w:val="21"/>
            <w:szCs w:val="21"/>
            <w:u w:val="single"/>
          </w:rPr>
          <w:t xml:space="preserve">Top Offers</w:t>
        </w:r>
      </w:hyperlink>
      <w:r>
        <w:rPr>
          <w:rFonts w:ascii="Calibri" w:cs="Calibri" w:eastAsia="Calibri" w:hAnsi="Calibri"/>
          <w:color w:val="1A1A1A"/>
          <w:sz w:val="21"/>
          <w:szCs w:val="21"/>
        </w:rPr>
        <w:t xml:space="preserve">, and their regional data is synthetic and labeled. For each visitor, the engine orders whatever sits in a slot, including a stack of page modules, and shows why. Where each slot sits on the page stays the site's own template, and changing the layout by context is a designed next step. Describe what is built, call designed items designed, and promise nothing that is open. Two more limits: there is no native mobile app kit, and no speed, lift or revenue figure may be quoted, since none has been measured in a quotable way.</w:t>
      </w:r>
    </w:p>
    <w:tbl>
      <w:tblPr>
        <w:tblW w:type="dxa" w:w="9360"/>
        <w:tblBorders>
          <w:top w:val="single" w:color="C9D1DC" w:sz="4"/>
          <w:left w:val="single" w:color="C9D1DC" w:sz="4"/>
          <w:bottom w:val="single" w:color="C9D1DC" w:sz="4"/>
          <w:right w:val="single" w:color="C9D1DC" w:sz="4"/>
          <w:insideH w:val="single" w:color="C9D1DC" w:sz="2"/>
          <w:insideV w:val="single" w:color="C9D1DC" w:sz="2"/>
        </w:tblBorders>
      </w:tblPr>
      <w:tblGrid>
        <w:gridCol w:w="1236"/>
        <w:gridCol w:w="8124"/>
      </w:tblGrid>
      <w:tr>
        <w:trPr>
          <w:tblHeader/>
        </w:trPr>
        <w:tc>
          <w:tcPr>
            <w:tcW w:type="dxa" w:w="1236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Verdict</w:t>
            </w:r>
          </w:p>
        </w:tc>
        <w:tc>
          <w:tcPr>
            <w:tcW w:type="dxa" w:w="8124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What it covers</w:t>
            </w:r>
          </w:p>
        </w:tc>
      </w:tr>
      <w:tr>
        <w:tc>
          <w:tcPr>
            <w:tcW w:type="dxa" w:w="123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Built</w:t>
            </w:r>
          </w:p>
        </w:tc>
        <w:tc>
          <w:tcPr>
            <w:tcW w:type="dxa" w:w="812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Consent gating; graded, fading interests, with entry and exit lines for audiences; the cold start, from how a visitor arrived and the regional prior; date, stock and region rules, pins, exclusions and the other merchandising controls; receipts; versioned settings changed without a software release, most of them in the operator console; product re-ranking, which reorders a product list that a commerce platform supplies; outcome counting and the day report; the learning dial; holdout groups that see the site's own defaults, for comparison; the sign-in merge of a visitor's interests</w:t>
            </w:r>
          </w:p>
        </w:tc>
      </w:tr>
      <w:tr>
        <w:tc>
          <w:tcPr>
            <w:tcW w:type="dxa" w:w="1236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Designed</w:t>
            </w:r>
          </w:p>
        </w:tc>
        <w:tc>
          <w:tcPr>
            <w:tcW w:type="dxa" w:w="8124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Ordering a page's modules, its blocks such as a hero or a row of products, for each context; correcting what it learns for where on the page a piece was shown; matching content by meaning as well as by tags</w:t>
            </w:r>
          </w:p>
        </w:tc>
      </w:tr>
      <w:tr>
        <w:tc>
          <w:tcPr>
            <w:tcW w:type="dxa" w:w="123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Open</w:t>
            </w:r>
          </w:p>
        </w:tc>
        <w:tc>
          <w:tcPr>
            <w:tcW w:type="dxa" w:w="812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 customer deployment path, from a customer's first settings to going live; connections to Opal, ODP and Feature Experimentation; measurement on a customer's site, including recording through the SDK, retention periods and the experiment design; the commercial meter and its rates</w:t>
            </w:r>
          </w:p>
        </w:tc>
      </w:tr>
    </w:tbl>
    <w:p>
      <w:pPr>
        <w:spacing w:after="160"/>
      </w:pPr>
    </w:p>
    <w:p>
      <w:pPr>
        <w:pStyle w:val="Heading2"/>
        <w:spacing w:after="160" w:before="320"/>
      </w:pPr>
      <w:bookmarkStart w:name="sec5" w:id="5"/>
      <w:r>
        <w:rPr>
          <w:rFonts w:ascii="Calibri" w:cs="Calibri" w:eastAsia="Calibri" w:hAnsi="Calibri"/>
          <w:b/>
          <w:bCs/>
          <w:color w:val="0B5CAD"/>
          <w:sz w:val="25"/>
          <w:szCs w:val="25"/>
        </w:rPr>
        <w:t xml:space="preserve">Sentences to say</w:t>
      </w:r>
      <w:bookmarkEnd w:id="5"/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"Nothing is personalized or recorded until the visitor explicitly agrees."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"The engine calls no AI model to decide; every decision is arithmetic, with a receipt that shows it."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"Interest builds with what a visitor does and fades with time, at a pace your team sets."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"Your rules decide what may show and what must; the engine ranks the rest for each visitor."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"Learning moves nothing until your team turns the dial."</w:t>
      </w:r>
    </w:p>
    <w:p>
      <w:pPr>
        <w:spacing w:after="60"/>
      </w:pPr>
    </w:p>
    <w:p>
      <w:pPr>
        <w:pStyle w:val="Heading2"/>
        <w:spacing w:after="160" w:before="320"/>
      </w:pPr>
      <w:bookmarkStart w:name="sec6" w:id="6"/>
      <w:r>
        <w:rPr>
          <w:rFonts w:ascii="Calibri" w:cs="Calibri" w:eastAsia="Calibri" w:hAnsi="Calibri"/>
          <w:b/>
          <w:bCs/>
          <w:color w:val="0B5CAD"/>
          <w:sz w:val="25"/>
          <w:szCs w:val="25"/>
        </w:rPr>
        <w:t xml:space="preserve">Sentences never to say, and what to say instead</w:t>
      </w:r>
      <w:bookmarkEnd w:id="6"/>
    </w:p>
    <w:tbl>
      <w:tblPr>
        <w:tblW w:type="dxa" w:w="9360"/>
        <w:tblBorders>
          <w:top w:val="single" w:color="C9D1DC" w:sz="4"/>
          <w:left w:val="single" w:color="C9D1DC" w:sz="4"/>
          <w:bottom w:val="single" w:color="C9D1DC" w:sz="4"/>
          <w:right w:val="single" w:color="C9D1DC" w:sz="4"/>
          <w:insideH w:val="single" w:color="C9D1DC" w:sz="2"/>
          <w:insideV w:val="single" w:color="C9D1DC" w:sz="2"/>
        </w:tblBorders>
      </w:tblPr>
      <w:tblGrid>
        <w:gridCol w:w="4071"/>
        <w:gridCol w:w="5289"/>
      </w:tblGrid>
      <w:tr>
        <w:trPr>
          <w:tblHeader/>
        </w:trPr>
        <w:tc>
          <w:tcPr>
            <w:tcW w:type="dxa" w:w="4071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Never say</w:t>
            </w:r>
          </w:p>
        </w:tc>
        <w:tc>
          <w:tcPr>
            <w:tcW w:type="dxa" w:w="5289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Say instead</w:t>
            </w:r>
          </w:p>
        </w:tc>
      </w:tr>
      <w:tr>
        <w:tc>
          <w:tcPr>
            <w:tcW w:type="dxa" w:w="407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"It uses AI to personalize."</w:t>
            </w:r>
          </w:p>
        </w:tc>
        <w:tc>
          <w:tcPr>
            <w:tcW w:type="dxa" w:w="528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"It personalizes by arithmetic on what each visitor does, by rules your team publishes."</w:t>
            </w:r>
          </w:p>
        </w:tc>
      </w:tr>
      <w:tr>
        <w:tc>
          <w:tcPr>
            <w:tcW w:type="dxa" w:w="4071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"It knows who the visitor is."</w:t>
            </w:r>
          </w:p>
        </w:tc>
        <w:tc>
          <w:tcPr>
            <w:tcW w:type="dxa" w:w="5289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"It knows what a visitor is interested in, not who they are."</w:t>
            </w:r>
          </w:p>
        </w:tc>
      </w:tr>
      <w:tr>
        <w:tc>
          <w:tcPr>
            <w:tcW w:type="dxa" w:w="407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Any speed figure, such as a decision time in milliseconds. None has been measured in a way that can be quoted.</w:t>
            </w:r>
          </w:p>
        </w:tc>
        <w:tc>
          <w:tcPr>
            <w:tcW w:type="dxa" w:w="528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"It runs on Cloudflare's network, in the data center nearest each visitor."</w:t>
            </w:r>
          </w:p>
        </w:tc>
      </w:tr>
      <w:tr>
        <w:tc>
          <w:tcPr>
            <w:tcW w:type="dxa" w:w="4071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"It learns automatically."</w:t>
            </w:r>
          </w:p>
        </w:tc>
        <w:tc>
          <w:tcPr>
            <w:tcW w:type="dxa" w:w="5289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"It learns only as far as your team allows: results move a ranking only when someone turns up the learning dial."</w:t>
            </w:r>
          </w:p>
        </w:tc>
      </w:tr>
      <w:tr>
        <w:tc>
          <w:tcPr>
            <w:tcW w:type="dxa" w:w="407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"We don't use a model."</w:t>
            </w:r>
          </w:p>
        </w:tc>
        <w:tc>
          <w:tcPr>
            <w:tcW w:type="dxa" w:w="528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"It calls no AI model to decide."</w:t>
            </w:r>
          </w:p>
        </w:tc>
      </w:tr>
    </w:tbl>
    <w:p>
      <w:pPr>
        <w:spacing w:after="160"/>
      </w:pPr>
    </w:p>
    <w:p>
      <w:pPr>
        <w:pStyle w:val="Heading2"/>
        <w:spacing w:after="160" w:before="320"/>
      </w:pPr>
      <w:bookmarkStart w:name="sec7" w:id="7"/>
      <w:r>
        <w:rPr>
          <w:rFonts w:ascii="Calibri" w:cs="Calibri" w:eastAsia="Calibri" w:hAnsi="Calibri"/>
          <w:b/>
          <w:bCs/>
          <w:color w:val="0B5CAD"/>
          <w:sz w:val="25"/>
          <w:szCs w:val="25"/>
        </w:rPr>
        <w:t xml:space="preserve">Questions marketing will be asked</w:t>
      </w:r>
      <w:bookmarkEnd w:id="7"/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Is it private, and how does consent work?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Nothing is personalized or recorded without the visitor's explicit choice, and a missing or expired one counts as no. With consent, the engine keeps their interests under a random id, keeps no device detail beyond iOS or Android, and does no fingerprinting.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Does it need to know who the visitor is?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No: it works under a random id. At sign-in, the site's own systems sign a proof, and the engine joins the visitor's interests to their account under a one-way code, never the account id itself. Recognizing a returning stranger without sign-in is built, but off until the customer turns it on.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Is it a black box?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No. Every decision has a receipt showing what was served and why. The settings that shape an answer are published, versioned documents the brand can read, change and roll back without a software release.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Does it need our data warehouse?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No. It decides from the site's own events, which must carry each product's details, and keeps its own records, which a warehouse can collect.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Does it replace our recommendations?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No. It ranks the brand's own content for each place on a page and can reorder a product list that a commerce platform supplies, but it picks no products from a catalog of its own.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Does it depend on other Optimizely products?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No. ODP, Feature Experimentation and Opal are not in its decision path, and none is connected to it today.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What does the customer have to provide?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Its content, tagged in the words the engine scores on; a map of its page slots, each with a default; site events that carry each product's details and each purchase; the visitor's consent choice; a signed proof at sign-in; and how long each kind of data is kept.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How is it priced?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See the credits page and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Selling it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the account executive piece. The engine's own meter and rates are an open decision, so neither belongs in marketing copy yet.</w:t>
      </w:r>
    </w:p>
    <w:p>
      <w:pPr>
        <w:pStyle w:val="Heading2"/>
        <w:spacing w:after="160" w:before="320"/>
      </w:pPr>
      <w:bookmarkStart w:name="sec8" w:id="8"/>
      <w:r>
        <w:rPr>
          <w:rFonts w:ascii="Calibri" w:cs="Calibri" w:eastAsia="Calibri" w:hAnsi="Calibri"/>
          <w:b/>
          <w:bCs/>
          <w:color w:val="0B5CAD"/>
          <w:sz w:val="25"/>
          <w:szCs w:val="25"/>
        </w:rPr>
        <w:t xml:space="preserve">See also</w:t>
      </w:r>
      <w:bookmarkEnd w:id="8"/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Selling it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the piece for account executives.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How it works and where it runs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the piece for solutions engineers.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Where Opal and AI Credits Fit, and Where They Never Do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the standalone credits page.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The glossary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the package's terms.</w:t>
      </w:r>
    </w:p>
    <w:p>
      <w:pPr>
        <w:spacing w:after="60"/>
      </w:pPr>
    </w:p>
    <w:p>
      <w:pPr>
        <w:pBdr>
          <w:bottom w:val="single" w:color="C9D1DC" w:sz="6" w:space="1"/>
        </w:pBdr>
        <w:spacing w:after="160" w:before="80"/>
      </w:pPr>
      <w:r>
        <w:t xml:space="preserve"/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With consent, the engine remembers what each visitor is interested in, not who they are, and ranks your content by the rules your team publishes.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Calibri" w:cs="Calibri" w:eastAsia="Calibri" w:hAnsi="Calibri"/>
        <w:color w:val="5A6472"/>
        <w:sz w:val="17"/>
        <w:szCs w:val="17"/>
      </w:rPr>
      <w:t xml:space="preserve">Marketing  ·  1.0</w:t>
    </w:r>
    <w:r>
      <w:rPr>
        <w:rFonts w:ascii="Calibri" w:cs="Calibri" w:eastAsia="Calibri" w:hAnsi="Calibri"/>
        <w:sz w:val="17"/>
        <w:szCs w:val="17"/>
      </w:rPr>
      <w:t xml:space="preserve">	</w:t>
    </w:r>
    <w:r>
      <w:rPr>
        <w:rFonts w:ascii="Calibri" w:cs="Calibri" w:eastAsia="Calibri" w:hAnsi="Calibri"/>
        <w:color w:val="5A6472"/>
        <w:sz w:val="17"/>
        <w:szCs w:val="17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1DC" w:sz="4" w:space="4"/>
      </w:pBdr>
      <w:tabs>
        <w:tab w:val="right" w:pos="9360"/>
      </w:tabs>
    </w:pPr>
    <w:r>
      <w:rPr>
        <w:rFonts w:ascii="Calibri" w:cs="Calibri" w:eastAsia="Calibri" w:hAnsi="Calibri"/>
        <w:color w:val="5A6472"/>
        <w:sz w:val="17"/>
        <w:szCs w:val="17"/>
      </w:rPr>
      <w:t xml:space="preserve">Behavioral Targeting and Intelligence: what it is</w:t>
    </w:r>
    <w:r>
      <w:rPr>
        <w:rFonts w:ascii="Calibri" w:cs="Calibri" w:eastAsia="Calibri" w:hAnsi="Calibri"/>
        <w:color w:val="5A6472"/>
        <w:sz w:val="17"/>
        <w:szCs w:val="17"/>
      </w:rPr>
      <w:t xml:space="preserve">	Internal: Optimizely only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60" w:hanging="240"/>
      </w:pPr>
      <w:rPr>
        <w:color w:val="0B5CAD"/>
      </w:rPr>
    </w:lvl>
    <w:lvl w:ilvl="1" w15:tentative="1">
      <w:start w:val="1"/>
      <w:numFmt w:val="bullet"/>
      <w:lvlText w:val="–"/>
      <w:lvlJc w:val="left"/>
      <w:pPr>
        <w:ind w:left="720" w:hanging="240"/>
      </w:pPr>
      <w:rPr>
        <w:color w:val="5A6472"/>
      </w:rPr>
    </w:lvl>
    <w:lvl w:ilvl="2" w15:tentative="1">
      <w:start w:val="1"/>
      <w:numFmt w:val="bullet"/>
      <w:lvlText w:val="·"/>
      <w:lvlJc w:val="left"/>
      <w:pPr>
        <w:ind w:left="1080" w:hanging="240"/>
      </w:pPr>
      <w:rPr>
        <w:color w:val="5A6472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400"/>
      </w:pPr>
      <w:rPr>
        <w:b/>
        <w:bCs/>
        <w:color w:val="11142A"/>
      </w:rPr>
    </w:lvl>
    <w:lvl w:ilvl="1" w15:tentative="1">
      <w:start w:val="1"/>
      <w:numFmt w:val="lowerLetter"/>
      <w:lvlText w:val="%2."/>
      <w:lvlJc w:val="left"/>
      <w:pPr>
        <w:ind w:left="880" w:hanging="400"/>
      </w:pPr>
      <w:rPr>
        <w:b w:val="false"/>
        <w:bCs w:val="false"/>
        <w:color w:val="11142A"/>
      </w:rPr>
    </w:lvl>
    <w:lvl w:ilvl="2" w15:tentative="1">
      <w:start w:val="1"/>
      <w:numFmt w:val="decimal"/>
      <w:lvlText w:val="%3."/>
      <w:lvlJc w:val="left"/>
      <w:pPr>
        <w:ind w:left="1240" w:hanging="400"/>
      </w:pPr>
      <w:rPr>
        <w:b w:val="false"/>
        <w:bCs w:val="false"/>
        <w:color w:val="11142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pPr>
      <w:spacing w:after="40" w:before="140"/>
    </w:pPr>
    <w:rPr>
      <w:rFonts w:ascii="Calibri" w:cs="Calibri" w:eastAsia="Calibri" w:hAnsi="Calibri"/>
      <w:b/>
      <w:bCs/>
      <w:color w:val="11142A"/>
      <w:sz w:val="22"/>
      <w:szCs w:val="22"/>
    </w:rPr>
  </w:style>
  <w:style w:type="paragraph" w:styleId="TOC2">
    <w:name w:val="toc 2"/>
    <w:basedOn w:val="Normal"/>
    <w:next w:val="Normal"/>
    <w:pPr>
      <w:spacing w:after="30" w:before="0"/>
      <w:ind w:left="360"/>
    </w:pPr>
    <w:rPr>
      <w:rFonts w:ascii="Calibri" w:cs="Calibri" w:eastAsia="Calibri" w:hAnsi="Calibri"/>
      <w:color w:val="1A1A1A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wptqlzhdmngnihywvdic-" Type="http://schemas.openxmlformats.org/officeDocument/2006/relationships/hyperlink" Target="https://edge-platform-vantage.expedge.workers.dev/vantage" TargetMode="External"/><Relationship Id="rId9f0m--gfwia5lszcn9dwv" Type="http://schemas.openxmlformats.org/officeDocument/2006/relationships/hyperlink" Target="https://edge-platform-top-offers.expedge.workers.dev/top-offers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Behavioral Targeting and Intelligence: what it is</dc:title>
  <dc:creator>Optimizely</dc:creator>
  <dc:description>For marketing · Engine facts as of commit 8b4f74c</dc:description>
  <cp:lastModifiedBy>Un-named</cp:lastModifiedBy>
  <cp:revision>1</cp:revision>
  <dcterms:created xsi:type="dcterms:W3CDTF">2026-10-02T18:17:49.536Z</dcterms:created>
  <dcterms:modified xsi:type="dcterms:W3CDTF">2026-10-02T18:17:49.536Z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