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</w:pPr>
      <w:r>
        <w:rPr>
          <w:rFonts w:ascii="Calibri" w:cs="Calibri" w:eastAsia="Calibri" w:hAnsi="Calibri"/>
          <w:b/>
          <w:bCs/>
          <w:color w:val="0B5CAD"/>
          <w:spacing w:val="60"/>
          <w:sz w:val="20"/>
          <w:szCs w:val="20"/>
        </w:rPr>
        <w:t xml:space="preserve">OPTIMIZELY</w:t>
      </w:r>
    </w:p>
    <w:p>
      <w:pPr>
        <w:pBdr>
          <w:bottom w:val="single" w:color="0B5CAD" w:sz="18" w:space="10"/>
        </w:pBdr>
        <w:spacing w:after="80" w:before="200"/>
      </w:pPr>
      <w:r>
        <w:rPr>
          <w:rFonts w:ascii="Calibri" w:cs="Calibri" w:eastAsia="Calibri" w:hAnsi="Calibri"/>
          <w:b/>
          <w:bCs/>
          <w:color w:val="11142A"/>
          <w:sz w:val="52"/>
          <w:szCs w:val="52"/>
        </w:rPr>
        <w:t xml:space="preserve">Behavioral Targeting and Intelligence: battlecard</w:t>
      </w:r>
    </w:p>
    <w:p>
      <w:pPr>
        <w:spacing w:after="700" w:before="200"/>
      </w:pPr>
      <w:r>
        <w:rPr>
          <w:rFonts w:ascii="Calibri" w:cs="Calibri" w:eastAsia="Calibri" w:hAnsi="Calibri"/>
          <w:color w:val="5A6472"/>
          <w:sz w:val="26"/>
          <w:szCs w:val="26"/>
        </w:rPr>
        <w:t xml:space="preserve">For account executives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bottom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5A6472"/>
                <w:sz w:val="20"/>
                <w:szCs w:val="20"/>
              </w:rPr>
              <w:t xml:space="preserve">Prepared for</w:t>
            </w:r>
          </w:p>
        </w:tc>
        <w:tc>
          <w:tcPr>
            <w:tcW w:type="dxa" w:w="696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bottom w:type="dxa" w:w="6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Account executives</w:t>
            </w:r>
          </w:p>
        </w:tc>
      </w:tr>
      <w:tr>
        <w:tc>
          <w:tcPr>
            <w:tcW w:type="dxa" w:w="240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bottom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5A6472"/>
                <w:sz w:val="20"/>
                <w:szCs w:val="20"/>
              </w:rPr>
              <w:t xml:space="preserve">Prepared by</w:t>
            </w:r>
          </w:p>
        </w:tc>
        <w:tc>
          <w:tcPr>
            <w:tcW w:type="dxa" w:w="696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bottom w:type="dxa" w:w="6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Optimizely</w:t>
            </w:r>
          </w:p>
        </w:tc>
      </w:tr>
      <w:tr>
        <w:tc>
          <w:tcPr>
            <w:tcW w:type="dxa" w:w="240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bottom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5A6472"/>
                <w:sz w:val="20"/>
                <w:szCs w:val="20"/>
              </w:rPr>
              <w:t xml:space="preserve">Version</w:t>
            </w:r>
          </w:p>
        </w:tc>
        <w:tc>
          <w:tcPr>
            <w:tcW w:type="dxa" w:w="696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bottom w:type="dxa" w:w="6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3.0</w:t>
            </w:r>
          </w:p>
        </w:tc>
      </w:tr>
      <w:tr>
        <w:tc>
          <w:tcPr>
            <w:tcW w:type="dxa" w:w="240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bottom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5A6472"/>
                <w:sz w:val="20"/>
                <w:szCs w:val="20"/>
              </w:rPr>
              <w:t xml:space="preserve">Date</w:t>
            </w:r>
          </w:p>
        </w:tc>
        <w:tc>
          <w:tcPr>
            <w:tcW w:type="dxa" w:w="696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bottom w:type="dxa" w:w="6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October 3, 2026</w:t>
            </w:r>
          </w:p>
        </w:tc>
      </w:tr>
      <w:tr>
        <w:tc>
          <w:tcPr>
            <w:tcW w:type="dxa" w:w="240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bottom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5A6472"/>
                <w:sz w:val="20"/>
                <w:szCs w:val="20"/>
              </w:rPr>
              <w:t xml:space="preserve">Classification</w:t>
            </w:r>
          </w:p>
        </w:tc>
        <w:tc>
          <w:tcPr>
            <w:tcW w:type="dxa" w:w="696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bottom w:type="dxa" w:w="6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Internal: Optimizely only</w:t>
            </w:r>
          </w:p>
        </w:tc>
      </w:tr>
    </w:tbl>
    <w:p>
      <w:r>
        <w:br w:type="page"/>
      </w:r>
    </w:p>
    <w:p>
      <w:pPr>
        <w:spacing w:after="200"/>
      </w:pPr>
      <w:r>
        <w:rPr>
          <w:rFonts w:ascii="Calibri" w:cs="Calibri" w:eastAsia="Calibri" w:hAnsi="Calibri"/>
          <w:b/>
          <w:bCs/>
          <w:color w:val="11142A"/>
          <w:sz w:val="30"/>
          <w:szCs w:val="30"/>
        </w:rPr>
        <w:t xml:space="preserve">Contents</w:t>
      </w:r>
    </w:p>
    <w:sdt>
      <w:sdtPr>
        <w:alias w:val="Contents"/>
      </w:sdtPr>
      <w:sdtContent>
        <w:p>
          <w:pPr>
            <w:pStyle w:val="TOC2"/>
            <w:tabs>
              <w:tab w:val="clear" w:pos="8786"/>
              <w:tab w:val="right" w:pos="9025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sec1">
            <w:r>
              <w:rPr>
                <w:rStyle w:val="IndexLink"/>
              </w:rPr>
              <w:t xml:space="default">Four pillars carry the pitch, each with a proof</w:t>
              <w:tab/>
              <w:t xml:space="default"/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sec2">
            <w:r>
              <w:rPr>
                <w:rStyle w:val="IndexLink"/>
              </w:rPr>
              <w:t xml:space="default">Customers choose it for different reasons</w:t>
              <w:tab/>
              <w:t xml:space="default"/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sec3">
            <w:r>
              <w:rPr>
                <w:rStyle w:val="IndexLink"/>
              </w:rPr>
              <w:t xml:space="default">Six objections have short answers</w:t>
              <w:tab/>
              <w:t xml:space="default"/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sec4">
            <w:r>
              <w:rPr>
                <w:rStyle w:val="IndexLink"/>
              </w:rPr>
              <w:t xml:space="default">Six questions lead to six measures</w:t>
              <w:tab/>
              <w:t xml:space="default"/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sec5">
            <w:r>
              <w:rPr>
                <w:rStyle w:val="IndexLink"/>
              </w:rPr>
              <w:t xml:space="default">Each demo shows part of the story</w:t>
              <w:tab/>
              <w:t xml:space="default"/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sec6">
            <w:r>
              <w:rPr>
                <w:rStyle w:val="IndexLink"/>
              </w:rPr>
              <w:t xml:space="default">Four sentences are said word for word</w:t>
              <w:tab/>
              <w:t xml:space="default"/>
            </w:r>
          </w:hyperlink>
          <w:r>
            <w:fldChar w:fldCharType="end"/>
          </w:r>
        </w:p>
      </w:sdtContent>
    </w:sdt>
    <w:p>
      <w:r>
        <w:br w:type="page"/>
      </w:r>
    </w:p>
    <w:p>
      <w:pPr>
        <w:keepNext/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For account executives: the whole story on one sheet, to read before a call.</w:t>
      </w:r>
    </w:p>
    <w:p>
      <w:pPr>
        <w:keepNext/>
        <w:spacing w:after="60" w:before="120" w:line="240"/>
        <w:jc w:val="center"/>
      </w:pPr>
      <w:r>
        <w:drawing>
          <wp:inline distT="0" distB="0" distL="0" distR="0">
            <wp:extent cx="5943600" cy="1847335"/>
            <wp:effectExtent t="0" r="0" b="0" l="0"/>
            <wp:docPr id="1" name="Figure 1" descr="We built an engine that follows each visitor's interest in real time and decides the page at that point in tim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84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color w:val="5A6472"/>
          <w:sz w:val="18"/>
          <w:szCs w:val="18"/>
        </w:rPr>
        <w:t xml:space="preserve">We built an engine that follows each visitor's interest in real time and decides the page at that point in time.</w:t>
      </w:r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We built an engine that follows each visitor's interest in real time and decides the page at that point in time.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A recommendations engine</w:t>
      </w:r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Ranks the past: what people like this visitor bought before.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The engine</w:t>
      </w:r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Decides the page from what this visitor is doing now. The brand's carousel is one of the modules it orders.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Rule-based personalization</w:t>
      </w:r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Sorts visitors into segments written in advance. The rules go stale, multiply and fight.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The engine</w:t>
      </w:r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Needs no segment and no expiration rule. Interest fills with each action and drains on its own, like a bucket.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AI that decides</w:t>
      </w:r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Chooses in the moment and cannot show its work.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The engine</w:t>
      </w:r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Every decision is arithmetic a person can recompute, on a receipt.</w:t>
      </w:r>
    </w:p>
    <w:p>
      <w:pPr>
        <w:pStyle w:val="Heading2"/>
        <w:keepNext/>
        <w:spacing w:after="160" w:before="320"/>
      </w:pPr>
      <w:bookmarkStart w:name="sec1" w:id="1"/>
      <w:r>
        <w:rPr>
          <w:rFonts w:ascii="Calibri" w:cs="Calibri" w:eastAsia="Calibri" w:hAnsi="Calibri"/>
          <w:b/>
          <w:bCs/>
          <w:color w:val="0B5CAD"/>
          <w:sz w:val="25"/>
          <w:szCs w:val="25"/>
        </w:rPr>
        <w:t xml:space="preserve">Four pillars carry the pitch, each with a proof</w:t>
      </w:r>
      <w:bookmarkEnd w:id="1"/>
    </w:p>
    <w:p>
      <w:pPr>
        <w:keepNext/>
        <w:spacing w:after="60" w:before="120" w:line="240"/>
        <w:jc w:val="center"/>
      </w:pPr>
      <w:r>
        <w:drawing>
          <wp:inline distT="0" distB="0" distL="0" distR="0">
            <wp:extent cx="5943600" cy="1703908"/>
            <wp:effectExtent t="0" r="0" b="0" l="0"/>
            <wp:docPr id="2" name="Figure 2" descr="Each pillar comes with one proof a customer can see in a dem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039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color w:val="5A6472"/>
          <w:sz w:val="18"/>
          <w:szCs w:val="18"/>
        </w:rPr>
        <w:t xml:space="preserve">Each pillar comes with one proof a customer can see in a demo.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Decides from this minute, not the past</w:t>
      </w:r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On Vantage, the page lets go of the ad once the visitor's own browsing disagrees, and an interest is released with no further click.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The brand's team keeps the wheel</w:t>
      </w:r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On Top Offers, a pin takes the first place and its receipt says ranking was skipped, so an instruction never passes for a decision.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Recomposes the page, not a banner</w:t>
      </w:r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On Vantage's phone page, the buy box stays off limits while the six modules below it take the order the visitor's browsing earned.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Runs at the edge, with everything the brand already runs</w:t>
      </w:r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On The Bright Hour, a test in Feature Experimentation runs on top, and every decision lands as one warehouse-shaped row with its experiment id.</w:t>
      </w:r>
    </w:p>
    <w:p>
      <w:pPr>
        <w:pStyle w:val="Heading2"/>
        <w:keepNext/>
        <w:spacing w:after="160" w:before="320"/>
      </w:pPr>
      <w:bookmarkStart w:name="sec2" w:id="2"/>
      <w:r>
        <w:rPr>
          <w:rFonts w:ascii="Calibri" w:cs="Calibri" w:eastAsia="Calibri" w:hAnsi="Calibri"/>
          <w:b/>
          <w:bCs/>
          <w:color w:val="0B5CAD"/>
          <w:sz w:val="25"/>
          <w:szCs w:val="25"/>
        </w:rPr>
        <w:t xml:space="preserve">Customers choose it for different reasons</w:t>
      </w:r>
      <w:bookmarkEnd w:id="2"/>
    </w:p>
    <w:p>
      <w:pPr>
        <w:keepNext/>
        <w:spacing w:after="60" w:before="120" w:line="240"/>
        <w:jc w:val="center"/>
      </w:pPr>
      <w:r>
        <w:drawing>
          <wp:inline distT="0" distB="0" distL="0" distR="0">
            <wp:extent cx="5943600" cy="1049883"/>
            <wp:effectExtent t="0" r="0" b="0" l="0"/>
            <wp:docPr id="3" name="Figure 3" descr="Each customer weighs these reasons differently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49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color w:val="5A6472"/>
          <w:sz w:val="18"/>
          <w:szCs w:val="18"/>
        </w:rPr>
        <w:t xml:space="preserve">Each customer weighs these reasons differently.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They can control it.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It decides at the point in time.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It is performant at the edge.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Every decision is explainable.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It hooks to Opal.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AI is theirs to use or not.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It learns to the degree they govern.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It links with ODP.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It works alongside their recommendations.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It honors the placements they sell.</w:t>
      </w:r>
    </w:p>
    <w:p>
      <w:pPr>
        <w:spacing w:after="60"/>
      </w:pPr>
    </w:p>
    <w:p>
      <w:pPr>
        <w:pStyle w:val="Heading2"/>
        <w:keepNext/>
        <w:spacing w:after="160" w:before="320"/>
      </w:pPr>
      <w:bookmarkStart w:name="sec3" w:id="3"/>
      <w:r>
        <w:rPr>
          <w:rFonts w:ascii="Calibri" w:cs="Calibri" w:eastAsia="Calibri" w:hAnsi="Calibri"/>
          <w:b/>
          <w:bCs/>
          <w:color w:val="0B5CAD"/>
          <w:sz w:val="25"/>
          <w:szCs w:val="25"/>
        </w:rPr>
        <w:t xml:space="preserve">Six objections have short answers</w:t>
      </w:r>
      <w:bookmarkEnd w:id="3"/>
    </w:p>
    <w:p>
      <w:pPr>
        <w:keepNext/>
        <w:spacing w:after="60" w:before="120" w:line="240"/>
        <w:jc w:val="center"/>
      </w:pPr>
      <w:r>
        <w:drawing>
          <wp:inline distT="0" distB="0" distL="0" distR="0">
            <wp:extent cx="5943600" cy="6576111"/>
            <wp:effectExtent t="0" r="0" b="0" l="0"/>
            <wp:docPr id="4" name="Figure 4" descr="These six come up most, with what to say and never to say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576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color w:val="5A6472"/>
          <w:sz w:val="18"/>
          <w:szCs w:val="18"/>
        </w:rPr>
        <w:t xml:space="preserve">These six come up most, with what to say and never to say.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Isn't this a recommendations engine?</w:t>
      </w:r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Say: Recommendations rank the past; the engine decides the page at the point in time, and the two work side by side.</w:t>
      </w:r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Never say: "It replaces your recommendations."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Is it AI?</w:t>
      </w:r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Say: The engine calls no AI model to decide. Opal is where people ask and generative AI creates, and that is where credits apply.</w:t>
      </w:r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Never say: "We don't use a model."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How fast is it?</w:t>
      </w:r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Say: We aim to make each decision within about 200 milliseconds at the edge; on average we see 50 to 250 milliseconds, and tens of milliseconds once the engine has seen the visitor.</w:t>
      </w:r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Never say: "We guarantee a response time."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Will it override our merchandisers?</w:t>
      </w:r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Say: Never. Gates come first, then the pins for what the brand sells, then ranking, and every override reads on its receipt as an instruction, not a decision.</w:t>
      </w:r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Never say: "The algorithm knows best."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Does it change things on its own?</w:t>
      </w:r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Say: It records what works from the first day and changes nothing until the brand turns the dial.</w:t>
      </w:r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Never say: "It optimizes itself."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What about privacy?</w:t>
      </w:r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Say: Nothing is personalized or recorded until the visitor chooses, and it never decides a price, a discount, financing or credit.</w:t>
      </w:r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Never say: "It's anonymous, so consent doesn't apply."</w:t>
      </w:r>
    </w:p>
    <w:p>
      <w:pPr>
        <w:pStyle w:val="Heading2"/>
        <w:keepNext/>
        <w:spacing w:after="160" w:before="320"/>
      </w:pPr>
      <w:bookmarkStart w:name="sec4" w:id="4"/>
      <w:r>
        <w:rPr>
          <w:rFonts w:ascii="Calibri" w:cs="Calibri" w:eastAsia="Calibri" w:hAnsi="Calibri"/>
          <w:b/>
          <w:bCs/>
          <w:color w:val="0B5CAD"/>
          <w:sz w:val="25"/>
          <w:szCs w:val="25"/>
        </w:rPr>
        <w:t xml:space="preserve">Six questions lead to six measures</w:t>
      </w:r>
      <w:bookmarkEnd w:id="4"/>
    </w:p>
    <w:p>
      <w:pPr>
        <w:keepNext/>
        <w:spacing w:after="60" w:before="120" w:line="240"/>
        <w:jc w:val="center"/>
      </w:pPr>
      <w:r>
        <w:drawing>
          <wp:inline distT="0" distB="0" distL="0" distR="0">
            <wp:extent cx="5335339" cy="7315200"/>
            <wp:effectExtent t="0" r="0" b="0" l="0"/>
            <wp:docPr id="5" name="Figure 5" descr="Each question opens a measure the customer can track on their own number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5339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color w:val="5A6472"/>
          <w:sz w:val="18"/>
          <w:szCs w:val="18"/>
        </w:rPr>
        <w:t xml:space="preserve">Each question opens a measure the customer can track on their own numbers.</w:t>
      </w:r>
    </w:p>
    <w:tbl>
      <w:tblPr>
        <w:tblW w:type="dxa" w:w="9360"/>
        <w:tblBorders>
          <w:top w:val="single" w:color="C9D1DC" w:sz="4"/>
          <w:left w:val="single" w:color="C9D1DC" w:sz="4"/>
          <w:bottom w:val="single" w:color="C9D1DC" w:sz="4"/>
          <w:right w:val="single" w:color="C9D1DC" w:sz="4"/>
          <w:insideH w:val="single" w:color="C9D1DC" w:sz="2"/>
          <w:insideV w:val="single" w:color="C9D1DC" w:sz="2"/>
        </w:tblBorders>
      </w:tblPr>
      <w:tblGrid>
        <w:gridCol w:w="5694"/>
        <w:gridCol w:w="3666"/>
      </w:tblGrid>
      <w:tr>
        <w:trPr>
          <w:tblHeader/>
        </w:trPr>
        <w:tc>
          <w:tcPr>
            <w:tcW w:type="dxa" w:w="5694"/>
            <w:shd w:fill="E8EDF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11142A"/>
                <w:sz w:val="19"/>
                <w:szCs w:val="19"/>
              </w:rPr>
              <w:t xml:space="preserve">The question to ask</w:t>
            </w:r>
          </w:p>
        </w:tc>
        <w:tc>
          <w:tcPr>
            <w:tcW w:type="dxa" w:w="3666"/>
            <w:shd w:fill="E8EDF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11142A"/>
                <w:sz w:val="19"/>
                <w:szCs w:val="19"/>
              </w:rPr>
              <w:t xml:space="preserve">The measure it leads to</w:t>
            </w:r>
          </w:p>
        </w:tc>
      </w:tr>
      <w:tr>
        <w:tc>
          <w:tcPr>
            <w:tcW w:type="dxa" w:w="569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How many visitors arrive as strangers, and how do their visits convert next to known visitors?</w:t>
            </w:r>
          </w:p>
        </w:tc>
        <w:tc>
          <w:tcPr>
            <w:tcW w:type="dxa" w:w="366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How visits from strangers convert, first visits above all</w:t>
            </w:r>
          </w:p>
        </w:tc>
      </w:tr>
      <w:tr>
        <w:tc>
          <w:tcPr>
            <w:tcW w:type="dxa" w:w="5694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Who writes and retires the personalization rules, and how many hours a month does it take?</w:t>
            </w:r>
          </w:p>
        </w:tc>
        <w:tc>
          <w:tcPr>
            <w:tcW w:type="dxa" w:w="3666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Time spent on personalization rules</w:t>
            </w:r>
          </w:p>
        </w:tc>
      </w:tr>
      <w:tr>
        <w:tc>
          <w:tcPr>
            <w:tcW w:type="dxa" w:w="569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Has anyone measured what a slower page costs in conversion?</w:t>
            </w:r>
          </w:p>
        </w:tc>
        <w:tc>
          <w:tcPr>
            <w:tcW w:type="dxa" w:w="366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Page speed, and what it costs in conversion</w:t>
            </w:r>
          </w:p>
        </w:tc>
      </w:tr>
      <w:tr>
        <w:tc>
          <w:tcPr>
            <w:tcW w:type="dxa" w:w="5694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How is personalization lift measured now, and who signs off on the number?</w:t>
            </w:r>
          </w:p>
        </w:tc>
        <w:tc>
          <w:tcPr>
            <w:tcW w:type="dxa" w:w="3666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Lift the customer trusts</w:t>
            </w:r>
          </w:p>
        </w:tc>
      </w:tr>
      <w:tr>
        <w:tc>
          <w:tcPr>
            <w:tcW w:type="dxa" w:w="569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What happens now when personalization collides with a placement that was sold or a campaign that launched?</w:t>
            </w:r>
          </w:p>
        </w:tc>
        <w:tc>
          <w:tcPr>
            <w:tcW w:type="dxa" w:w="366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Placements and campaigns kept as sold</w:t>
            </w:r>
          </w:p>
        </w:tc>
      </w:tr>
      <w:tr>
        <w:tc>
          <w:tcPr>
            <w:tcW w:type="dxa" w:w="5694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If the hours spent on rules came back, what would the team launch?</w:t>
            </w:r>
          </w:p>
        </w:tc>
        <w:tc>
          <w:tcPr>
            <w:tcW w:type="dxa" w:w="3666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What the team launches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60" w:before="320"/>
      </w:pPr>
      <w:bookmarkStart w:name="sec5" w:id="5"/>
      <w:r>
        <w:rPr>
          <w:rFonts w:ascii="Calibri" w:cs="Calibri" w:eastAsia="Calibri" w:hAnsi="Calibri"/>
          <w:b/>
          <w:bCs/>
          <w:color w:val="0B5CAD"/>
          <w:sz w:val="25"/>
          <w:szCs w:val="25"/>
        </w:rPr>
        <w:t xml:space="preserve">Each demo shows part of the story</w:t>
      </w:r>
      <w:bookmarkEnd w:id="5"/>
    </w:p>
    <w:p>
      <w:pPr>
        <w:keepNext/>
        <w:spacing w:after="60" w:before="120" w:line="240"/>
        <w:jc w:val="center"/>
      </w:pPr>
      <w:r>
        <w:drawing>
          <wp:inline distT="0" distB="0" distL="0" distR="0">
            <wp:extent cx="5943600" cy="1044146"/>
            <wp:effectExtent t="0" r="0" b="0" l="0"/>
            <wp:docPr id="6" name="Figure 6" descr="Each demo shows some of the four pillars, numbered as abov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44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color w:val="5A6472"/>
          <w:sz w:val="18"/>
          <w:szCs w:val="18"/>
        </w:rPr>
        <w:t xml:space="preserve">Each demo shows some of the four pillars, numbered as above.</w:t>
      </w:r>
    </w:p>
    <w:p>
      <w:pPr>
        <w:pStyle w:val="ListParagraph"/>
        <w:numPr>
          <w:ilvl w:val="0"/>
          <w:numId w:val="2"/>
        </w:numPr>
        <w:spacing w:after="60" w:line="264"/>
      </w:pPr>
      <w:hyperlink w:history="1" r:id="rIdvy8nsbidyjqywe6mxvzzb">
        <w:r>
          <w:rPr>
            <w:rFonts w:ascii="Calibri" w:cs="Calibri" w:eastAsia="Calibri" w:hAnsi="Calibri"/>
            <w:color w:val="0B5CAD"/>
            <w:sz w:val="21"/>
            <w:szCs w:val="21"/>
            <w:u w:val="single"/>
          </w:rPr>
          <w:t xml:space="preserve">Vantage</w:t>
        </w:r>
      </w:hyperlink>
      <w:r>
        <w:rPr>
          <w:rFonts w:ascii="Calibri" w:cs="Calibri" w:eastAsia="Calibri" w:hAnsi="Calibri"/>
          <w:color w:val="1A1A1A"/>
          <w:sz w:val="21"/>
          <w:szCs w:val="21"/>
        </w:rPr>
        <w:t xml:space="preserve">: a carrier's online shop</w:t>
      </w:r>
    </w:p>
    <w:p>
      <w:pPr>
        <w:pStyle w:val="ListParagraph"/>
        <w:numPr>
          <w:ilvl w:val="0"/>
          <w:numId w:val="2"/>
        </w:numPr>
        <w:spacing w:after="60" w:line="264"/>
      </w:pPr>
      <w:hyperlink w:history="1" r:id="rIdftqqmz-zjofdodk7uevar">
        <w:r>
          <w:rPr>
            <w:rFonts w:ascii="Calibri" w:cs="Calibri" w:eastAsia="Calibri" w:hAnsi="Calibri"/>
            <w:color w:val="0B5CAD"/>
            <w:sz w:val="21"/>
            <w:szCs w:val="21"/>
            <w:u w:val="single"/>
          </w:rPr>
          <w:t xml:space="preserve">Vantage's interactive explainer</w:t>
        </w:r>
      </w:hyperlink>
      <w:r>
        <w:rPr>
          <w:rFonts w:ascii="Calibri" w:cs="Calibri" w:eastAsia="Calibri" w:hAnsi="Calibri"/>
          <w:color w:val="1A1A1A"/>
          <w:sz w:val="21"/>
          <w:szCs w:val="21"/>
        </w:rPr>
        <w:t xml:space="preserve">: constants on sliders</w:t>
      </w:r>
    </w:p>
    <w:p>
      <w:pPr>
        <w:pStyle w:val="ListParagraph"/>
        <w:numPr>
          <w:ilvl w:val="0"/>
          <w:numId w:val="2"/>
        </w:numPr>
        <w:spacing w:after="60" w:line="264"/>
      </w:pPr>
      <w:hyperlink w:history="1" r:id="rIdyw7qdwz0ziybqcppwcrku">
        <w:r>
          <w:rPr>
            <w:rFonts w:ascii="Calibri" w:cs="Calibri" w:eastAsia="Calibri" w:hAnsi="Calibri"/>
            <w:color w:val="0B5CAD"/>
            <w:sz w:val="21"/>
            <w:szCs w:val="21"/>
            <w:u w:val="single"/>
          </w:rPr>
          <w:t xml:space="preserve">Top Offers</w:t>
        </w:r>
      </w:hyperlink>
      <w:r>
        <w:rPr>
          <w:rFonts w:ascii="Calibri" w:cs="Calibri" w:eastAsia="Calibri" w:hAnsi="Calibri"/>
          <w:color w:val="1A1A1A"/>
          <w:sz w:val="21"/>
          <w:szCs w:val="21"/>
        </w:rPr>
        <w:t xml:space="preserve">: a retailer's promotions module</w:t>
      </w:r>
    </w:p>
    <w:p>
      <w:pPr>
        <w:pStyle w:val="ListParagraph"/>
        <w:numPr>
          <w:ilvl w:val="0"/>
          <w:numId w:val="2"/>
        </w:numPr>
        <w:spacing w:after="60" w:line="264"/>
      </w:pPr>
      <w:hyperlink w:history="1" r:id="rIdznydu-ydplyamdeb3jyla">
        <w:r>
          <w:rPr>
            <w:rFonts w:ascii="Calibri" w:cs="Calibri" w:eastAsia="Calibri" w:hAnsi="Calibri"/>
            <w:color w:val="0B5CAD"/>
            <w:sz w:val="21"/>
            <w:szCs w:val="21"/>
            <w:u w:val="single"/>
          </w:rPr>
          <w:t xml:space="preserve">Meridian</w:t>
        </w:r>
      </w:hyperlink>
      <w:r>
        <w:rPr>
          <w:rFonts w:ascii="Calibri" w:cs="Calibri" w:eastAsia="Calibri" w:hAnsi="Calibri"/>
          <w:color w:val="1A1A1A"/>
          <w:sz w:val="21"/>
          <w:szCs w:val="21"/>
        </w:rPr>
        <w:t xml:space="preserve">: one brand with two businesses</w:t>
      </w:r>
    </w:p>
    <w:p>
      <w:pPr>
        <w:pStyle w:val="ListParagraph"/>
        <w:numPr>
          <w:ilvl w:val="0"/>
          <w:numId w:val="2"/>
        </w:numPr>
        <w:spacing w:after="60" w:line="264"/>
      </w:pPr>
      <w:hyperlink w:history="1" r:id="rId8zwppu8euq9h0onxpaf66">
        <w:r>
          <w:rPr>
            <w:rFonts w:ascii="Calibri" w:cs="Calibri" w:eastAsia="Calibri" w:hAnsi="Calibri"/>
            <w:color w:val="0B5CAD"/>
            <w:sz w:val="21"/>
            <w:szCs w:val="21"/>
            <w:u w:val="single"/>
          </w:rPr>
          <w:t xml:space="preserve">The Bright Hour</w:t>
        </w:r>
      </w:hyperlink>
      <w:r>
        <w:rPr>
          <w:rFonts w:ascii="Calibri" w:cs="Calibri" w:eastAsia="Calibri" w:hAnsi="Calibri"/>
          <w:color w:val="1A1A1A"/>
          <w:sz w:val="21"/>
          <w:szCs w:val="21"/>
        </w:rPr>
        <w:t xml:space="preserve">: a live-shopping retailer</w:t>
      </w:r>
    </w:p>
    <w:p>
      <w:pPr>
        <w:pStyle w:val="ListParagraph"/>
        <w:numPr>
          <w:ilvl w:val="0"/>
          <w:numId w:val="2"/>
        </w:numPr>
        <w:spacing w:after="60" w:line="264"/>
      </w:pPr>
      <w:hyperlink w:history="1" r:id="rIdaumjrt1b19h0bne4kpir1">
        <w:r>
          <w:rPr>
            <w:rFonts w:ascii="Calibri" w:cs="Calibri" w:eastAsia="Calibri" w:hAnsi="Calibri"/>
            <w:color w:val="0B5CAD"/>
            <w:sz w:val="21"/>
            <w:szCs w:val="21"/>
            <w:u w:val="single"/>
          </w:rPr>
          <w:t xml:space="preserve">OH</w:t>
        </w:r>
      </w:hyperlink>
      <w:r>
        <w:rPr>
          <w:rFonts w:ascii="Calibri" w:cs="Calibri" w:eastAsia="Calibri" w:hAnsi="Calibri"/>
          <w:color w:val="1A1A1A"/>
          <w:sz w:val="21"/>
          <w:szCs w:val="21"/>
        </w:rPr>
        <w:t xml:space="preserve">: home appliances; ask the demo owner first</w:t>
      </w:r>
    </w:p>
    <w:p>
      <w:pPr>
        <w:pStyle w:val="ListParagraph"/>
        <w:numPr>
          <w:ilvl w:val="0"/>
          <w:numId w:val="2"/>
        </w:numPr>
        <w:spacing w:after="60" w:line="264"/>
      </w:pPr>
      <w:hyperlink w:history="1" r:id="rIdtt6czocpbzt11sxz8lmhq">
        <w:r>
          <w:rPr>
            <w:rFonts w:ascii="Calibri" w:cs="Calibri" w:eastAsia="Calibri" w:hAnsi="Calibri"/>
            <w:color w:val="0B5CAD"/>
            <w:sz w:val="21"/>
            <w:szCs w:val="21"/>
            <w:u w:val="single"/>
          </w:rPr>
          <w:t xml:space="preserve">The storefront</w:t>
        </w:r>
      </w:hyperlink>
      <w:r>
        <w:rPr>
          <w:rFonts w:ascii="Calibri" w:cs="Calibri" w:eastAsia="Calibri" w:hAnsi="Calibri"/>
          <w:color w:val="1A1A1A"/>
          <w:sz w:val="21"/>
          <w:szCs w:val="21"/>
        </w:rPr>
        <w:t xml:space="preserve">: internal viewing only</w:t>
      </w:r>
    </w:p>
    <w:p>
      <w:pPr>
        <w:spacing w:after="60"/>
      </w:pPr>
    </w:p>
    <w:p>
      <w:pPr>
        <w:pStyle w:val="Heading2"/>
        <w:keepNext/>
        <w:spacing w:after="160" w:before="320"/>
      </w:pPr>
      <w:bookmarkStart w:name="sec6" w:id="6"/>
      <w:r>
        <w:rPr>
          <w:rFonts w:ascii="Calibri" w:cs="Calibri" w:eastAsia="Calibri" w:hAnsi="Calibri"/>
          <w:b/>
          <w:bCs/>
          <w:color w:val="0B5CAD"/>
          <w:sz w:val="25"/>
          <w:szCs w:val="25"/>
        </w:rPr>
        <w:t xml:space="preserve">Four sentences are said word for word</w:t>
      </w:r>
      <w:bookmarkEnd w:id="6"/>
    </w:p>
    <w:p>
      <w:pPr>
        <w:keepNext/>
        <w:spacing w:after="60" w:before="120" w:line="240"/>
        <w:jc w:val="center"/>
      </w:pPr>
      <w:r>
        <w:drawing>
          <wp:inline distT="0" distB="0" distL="0" distR="0">
            <wp:extent cx="5943600" cy="1376896"/>
            <wp:effectExtent t="0" r="0" b="0" l="0"/>
            <wp:docPr id="7" name="Figure 7" descr="Each of these sentences is said exactly as it is written her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376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color w:val="5A6472"/>
          <w:sz w:val="18"/>
          <w:szCs w:val="18"/>
        </w:rPr>
        <w:t xml:space="preserve">Each of these sentences is said exactly as it is written here.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Performance: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We aim to make each decision within about 200 milliseconds at the edge; on average we see 50 to 250 milliseconds, and tens of milliseconds once the engine has seen the visitor.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Learning: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It records what works from the first day and changes nothing until the brand turns the dial.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AI: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The engine calls no AI model to decide. Opal is where people ask and generative AI creates, and that is where credits apply.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Recommendations: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Recommendations rank the past; the engine decides the page at the point in time, and the two work side by side.</w:t>
      </w:r>
    </w:p>
    <w:p>
      <w:pPr>
        <w:spacing w:after="60"/>
      </w:pPr>
    </w:p>
    <w:sectPr>
      <w:headerReference w:type="default" r:id="rId7"/>
      <w:headerReference w:type="first" r:id="rId8"/>
      <w:footerReference w:type="default" r:id="rId9"/>
      <w:footerReference w:type="first" r:id="rId10"/>
      <w:pgSz w:w="12240" w:h="15840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rFonts w:ascii="Calibri" w:cs="Calibri" w:eastAsia="Calibri" w:hAnsi="Calibri"/>
        <w:color w:val="5A6472"/>
        <w:sz w:val="17"/>
        <w:szCs w:val="17"/>
      </w:rPr>
      <w:t xml:space="preserve">Account executives  ·  3.0</w:t>
    </w:r>
    <w:r>
      <w:rPr>
        <w:rFonts w:ascii="Calibri" w:cs="Calibri" w:eastAsia="Calibri" w:hAnsi="Calibri"/>
        <w:sz w:val="17"/>
        <w:szCs w:val="17"/>
      </w:rPr>
      <w:t xml:space="preserve">	</w:t>
    </w:r>
    <w:r>
      <w:rPr>
        <w:rFonts w:ascii="Calibri" w:cs="Calibri" w:eastAsia="Calibri" w:hAnsi="Calibri"/>
        <w:color w:val="5A6472"/>
        <w:sz w:val="17"/>
        <w:szCs w:val="17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D1DC" w:sz="4" w:space="4"/>
      </w:pBdr>
      <w:tabs>
        <w:tab w:val="right" w:pos="9360"/>
      </w:tabs>
    </w:pPr>
    <w:r>
      <w:rPr>
        <w:rFonts w:ascii="Calibri" w:cs="Calibri" w:eastAsia="Calibri" w:hAnsi="Calibri"/>
        <w:color w:val="5A6472"/>
        <w:sz w:val="17"/>
        <w:szCs w:val="17"/>
      </w:rPr>
      <w:t xml:space="preserve">Behavioral Targeting and Intelligence: battlecard</w:t>
    </w:r>
    <w:r>
      <w:rPr>
        <w:rFonts w:ascii="Calibri" w:cs="Calibri" w:eastAsia="Calibri" w:hAnsi="Calibri"/>
        <w:color w:val="5A6472"/>
        <w:sz w:val="17"/>
        <w:szCs w:val="17"/>
      </w:rPr>
      <w:t xml:space="preserve">	Internal: Optimizely only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360" w:hanging="240"/>
      </w:pPr>
      <w:rPr>
        <w:color w:val="0B5CAD"/>
      </w:rPr>
    </w:lvl>
    <w:lvl w:ilvl="1" w15:tentative="1">
      <w:start w:val="1"/>
      <w:numFmt w:val="bullet"/>
      <w:lvlText w:val="–"/>
      <w:lvlJc w:val="left"/>
      <w:pPr>
        <w:ind w:left="720" w:hanging="240"/>
      </w:pPr>
      <w:rPr>
        <w:color w:val="5A6472"/>
      </w:rPr>
    </w:lvl>
    <w:lvl w:ilvl="2" w15:tentative="1">
      <w:start w:val="1"/>
      <w:numFmt w:val="bullet"/>
      <w:lvlText w:val="·"/>
      <w:lvlJc w:val="left"/>
      <w:pPr>
        <w:ind w:left="1080" w:hanging="240"/>
      </w:pPr>
      <w:rPr>
        <w:color w:val="5A6472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400"/>
      </w:pPr>
      <w:rPr>
        <w:b/>
        <w:bCs/>
        <w:color w:val="11142A"/>
      </w:rPr>
    </w:lvl>
    <w:lvl w:ilvl="1" w15:tentative="1">
      <w:start w:val="1"/>
      <w:numFmt w:val="lowerLetter"/>
      <w:lvlText w:val="%2."/>
      <w:lvlJc w:val="left"/>
      <w:pPr>
        <w:ind w:left="880" w:hanging="400"/>
      </w:pPr>
      <w:rPr>
        <w:b w:val="false"/>
        <w:bCs w:val="false"/>
        <w:color w:val="11142A"/>
      </w:rPr>
    </w:lvl>
    <w:lvl w:ilvl="2" w15:tentative="1">
      <w:start w:val="1"/>
      <w:numFmt w:val="decimal"/>
      <w:lvlText w:val="%3."/>
      <w:lvlJc w:val="left"/>
      <w:pPr>
        <w:ind w:left="1240" w:hanging="400"/>
      </w:pPr>
      <w:rPr>
        <w:b w:val="false"/>
        <w:bCs w:val="false"/>
        <w:color w:val="11142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1"/>
        <w:szCs w:val="21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pPr>
      <w:spacing w:after="40" w:before="140"/>
    </w:pPr>
    <w:rPr>
      <w:rFonts w:ascii="Calibri" w:cs="Calibri" w:eastAsia="Calibri" w:hAnsi="Calibri"/>
      <w:b/>
      <w:bCs/>
      <w:color w:val="11142A"/>
      <w:sz w:val="22"/>
      <w:szCs w:val="22"/>
    </w:rPr>
  </w:style>
  <w:style w:type="paragraph" w:styleId="TOC2">
    <w:name w:val="toc 2"/>
    <w:basedOn w:val="Normal"/>
    <w:next w:val="Normal"/>
    <w:pPr>
      <w:spacing w:after="30" w:before="0"/>
      <w:ind w:left="360"/>
    </w:pPr>
    <w:rPr>
      <w:rFonts w:ascii="Calibri" w:cs="Calibri" w:eastAsia="Calibri" w:hAnsi="Calibri"/>
      <w:color w:val="1A1A1A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vy8nsbidyjqywe6mxvzzb" Type="http://schemas.openxmlformats.org/officeDocument/2006/relationships/hyperlink" Target="https://edge-platform-vantage.expedge.workers.dev/vantage/" TargetMode="External"/><Relationship Id="rIdftqqmz-zjofdodk7uevar" Type="http://schemas.openxmlformats.org/officeDocument/2006/relationships/hyperlink" Target="https://edge-platform-vantage.expedge.workers.dev/vantage/how-it-works" TargetMode="External"/><Relationship Id="rIdyw7qdwz0ziybqcppwcrku" Type="http://schemas.openxmlformats.org/officeDocument/2006/relationships/hyperlink" Target="https://edge-platform-top-offers.expedge.workers.dev/top-offers/" TargetMode="External"/><Relationship Id="rIdznydu-ydplyamdeb3jyla" Type="http://schemas.openxmlformats.org/officeDocument/2006/relationships/hyperlink" Target="https://edge-platform.expedge.workers.dev/meridian/" TargetMode="External"/><Relationship Id="rId8zwppu8euq9h0onxpaf66" Type="http://schemas.openxmlformats.org/officeDocument/2006/relationships/hyperlink" Target="https://edge-platform.expedge.workers.dev/live/" TargetMode="External"/><Relationship Id="rIdaumjrt1b19h0bne4kpir1" Type="http://schemas.openxmlformats.org/officeDocument/2006/relationships/hyperlink" Target="https://edge-platform-oh.expedge.workers.dev/oh/" TargetMode="External"/><Relationship Id="rIdtt6czocpbzt11sxz8lmhq" Type="http://schemas.openxmlformats.org/officeDocument/2006/relationships/hyperlink" Target="https://edge-platform.expedge.workers.dev/storefront" TargetMode="External"/><Relationship Id="rId11" Type="http://schemas.openxmlformats.org/officeDocument/2006/relationships/image" Target="media/6884e43a774d2ca7926a05a9d100a6e8d97da7f5.png"/><Relationship Id="rId12" Type="http://schemas.openxmlformats.org/officeDocument/2006/relationships/image" Target="media/9e529f1cc6a35009e133afaf8822af8b656a1bee.png"/><Relationship Id="rId13" Type="http://schemas.openxmlformats.org/officeDocument/2006/relationships/image" Target="media/a6f596e970c33f028253a9220c400adfd67bce28.png"/><Relationship Id="rId14" Type="http://schemas.openxmlformats.org/officeDocument/2006/relationships/image" Target="media/125f9c1152c7fab6af9a6207b683f87ea69172e9.png"/><Relationship Id="rId15" Type="http://schemas.openxmlformats.org/officeDocument/2006/relationships/image" Target="media/7ec323924f3761184eea9481d55906933496006a.png"/><Relationship Id="rId16" Type="http://schemas.openxmlformats.org/officeDocument/2006/relationships/image" Target="media/ba9298f5bea0dfc07f7f36d165acbb54b588f202.png"/><Relationship Id="rId17" Type="http://schemas.openxmlformats.org/officeDocument/2006/relationships/image" Target="media/0be39e66dd8fa7bd03786bcf96b4986646db3401.png"/><Relationship Id="rId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Behavioral Targeting and Intelligence: battlecard</dc:title>
  <dc:creator>Optimizely</dc:creator>
  <dc:description>For account executives</dc:description>
  <cp:lastModifiedBy>Un-named</cp:lastModifiedBy>
  <cp:revision>1</cp:revision>
  <dcterms:created xsi:type="dcterms:W3CDTF">2026-10-04T02:06:17.185Z</dcterms:created>
  <dcterms:modified xsi:type="dcterms:W3CDTF">2026-10-04T02:06:17.185Z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