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1142A"/>
          <w:sz w:val="30"/>
          <w:szCs w:val="30"/>
        </w:rPr>
        <w:t xml:space="preserve">Sizing the content pool</w:t>
      </w:r>
    </w:p>
    <w:p>
      <w:pPr>
        <w:pBdr>
          <w:bottom w:val="single" w:color="0B5CAD" w:sz="10" w:space="6"/>
        </w:pBdr>
        <w:spacing w:after="60"/>
      </w:pPr>
      <w:r>
        <w:rPr>
          <w:rFonts w:ascii="Calibri" w:cs="Calibri" w:eastAsia="Calibri" w:hAnsi="Calibri"/>
          <w:color w:val="5A6472"/>
          <w:sz w:val="19"/>
          <w:szCs w:val="19"/>
        </w:rPr>
        <w:t xml:space="preserve">How many assets personalization needs, and why more is not better</w:t>
      </w:r>
    </w:p>
    <w:p>
      <w:pPr>
        <w:spacing w:after="140"/>
      </w:pPr>
      <w:r>
        <w:rPr>
          <w:rFonts w:ascii="Calibri" w:cs="Calibri" w:eastAsia="Calibri" w:hAnsi="Calibri"/>
          <w:color w:val="5A6472"/>
          <w:sz w:val="15"/>
          <w:szCs w:val="15"/>
        </w:rPr>
        <w:t xml:space="preserve">Tapestry, launch brand Coach   ·   v1.0   ·   18 September 2026   ·   Confidential</w:t>
      </w:r>
    </w:p>
    <w:p>
      <w:pPr>
        <w:spacing w:after="90" w:line="232"/>
      </w:pPr>
      <w:r>
        <w:rPr>
          <w:rFonts w:ascii="Calibri" w:cs="Calibri" w:eastAsia="Calibri" w:hAnsi="Calibri"/>
          <w:color w:val="1A1A1A"/>
          <w:sz w:val="18"/>
          <w:szCs w:val="18"/>
        </w:rPr>
        <w:t xml:space="preserve">A content pool has to be wide enough to cover the range of taste it will be asked to serve, and small enough that each asset earns enough exposure to be judged. Those two pressures set the number. Volume on its own does not.</w:t>
      </w:r>
    </w:p>
    <w:p>
      <w:pPr>
        <w:pStyle w:val="Heading2"/>
        <w:spacing w:after="50" w:before="110"/>
      </w:pPr>
      <w:r>
        <w:rPr>
          <w:rFonts w:ascii="Calibri" w:cs="Calibri" w:eastAsia="Calibri" w:hAnsi="Calibri"/>
          <w:b/>
          <w:bCs/>
          <w:color w:val="0B5CAD"/>
          <w:sz w:val="19"/>
          <w:szCs w:val="19"/>
        </w:rPr>
        <w:t xml:space="preserve">The BTIE document contains two different asks</w:t>
      </w:r>
    </w:p>
    <w:tbl>
      <w:tblPr>
        <w:tblW w:type="dxa" w:w="10080"/>
        <w:tblBorders>
          <w:top w:val="single" w:color="C9D1DC" w:sz="4"/>
          <w:left w:val="single" w:color="C9D1DC" w:sz="4"/>
          <w:bottom w:val="single" w:color="C9D1DC" w:sz="4"/>
          <w:right w:val="single" w:color="C9D1DC" w:sz="4"/>
          <w:insideH w:val="single" w:color="C9D1DC" w:sz="2"/>
          <w:insideV w:val="single" w:color="C9D1DC" w:sz="2"/>
        </w:tblBorders>
      </w:tblPr>
      <w:tblGrid>
        <w:gridCol w:w="1664"/>
        <w:gridCol w:w="4302"/>
        <w:gridCol w:w="4114"/>
      </w:tblGrid>
      <w:tr>
        <w:trPr>
          <w:tblHeader/>
        </w:trPr>
        <w:tc>
          <w:tcPr>
            <w:tcW w:type="dxa" w:w="1664"/>
            <w:shd w:fill="E8EDF4" w:val="clear"/>
            <w:tcMar>
              <w:top w:type="dxa" w:w="28"/>
              <w:left w:type="dxa" w:w="85"/>
              <w:bottom w:type="dxa" w:w="28"/>
              <w:right w:type="dxa" w:w="85"/>
            </w:tcMar>
          </w:tcPr>
          <w:p>
            <w:pPr>
              <w:spacing w:after="0" w:before="0" w:line="216"/>
            </w:pPr>
            <w:r>
              <w:rPr>
                <w:rFonts w:ascii="Calibri" w:cs="Calibri" w:eastAsia="Calibri" w:hAnsi="Calibri"/>
                <w:b/>
                <w:bCs/>
                <w:color w:val="11142A"/>
                <w:sz w:val="17"/>
                <w:szCs w:val="17"/>
              </w:rPr>
              <w:t xml:space="preserve">Where</w:t>
            </w:r>
          </w:p>
        </w:tc>
        <w:tc>
          <w:tcPr>
            <w:tcW w:type="dxa" w:w="4302"/>
            <w:shd w:fill="E8EDF4" w:val="clear"/>
            <w:tcMar>
              <w:top w:type="dxa" w:w="28"/>
              <w:left w:type="dxa" w:w="85"/>
              <w:bottom w:type="dxa" w:w="28"/>
              <w:right w:type="dxa" w:w="85"/>
            </w:tcMar>
          </w:tcPr>
          <w:p>
            <w:pPr>
              <w:spacing w:after="0" w:before="0" w:line="216"/>
            </w:pPr>
            <w:r>
              <w:rPr>
                <w:rFonts w:ascii="Calibri" w:cs="Calibri" w:eastAsia="Calibri" w:hAnsi="Calibri"/>
                <w:b/>
                <w:bCs/>
                <w:color w:val="11142A"/>
                <w:sz w:val="17"/>
                <w:szCs w:val="17"/>
              </w:rPr>
              <w:t xml:space="preserve">The ask</w:t>
            </w:r>
          </w:p>
        </w:tc>
        <w:tc>
          <w:tcPr>
            <w:tcW w:type="dxa" w:w="4114"/>
            <w:shd w:fill="E8EDF4" w:val="clear"/>
            <w:tcMar>
              <w:top w:type="dxa" w:w="28"/>
              <w:left w:type="dxa" w:w="85"/>
              <w:bottom w:type="dxa" w:w="28"/>
              <w:right w:type="dxa" w:w="85"/>
            </w:tcMar>
          </w:tcPr>
          <w:p>
            <w:pPr>
              <w:spacing w:after="0" w:before="0" w:line="216"/>
            </w:pPr>
            <w:r>
              <w:rPr>
                <w:rFonts w:ascii="Calibri" w:cs="Calibri" w:eastAsia="Calibri" w:hAnsi="Calibri"/>
                <w:b/>
                <w:bCs/>
                <w:color w:val="11142A"/>
                <w:sz w:val="17"/>
                <w:szCs w:val="17"/>
              </w:rPr>
              <w:t xml:space="preserve">What it implies</w:t>
            </w:r>
          </w:p>
        </w:tc>
      </w:tr>
      <w:tr>
        <w:tc>
          <w:tcPr>
            <w:tcW w:type="dxa" w:w="1664"/>
            <w:shd w:fill="FFFFFF" w:val="clear"/>
            <w:tcMar>
              <w:top w:type="dxa" w:w="28"/>
              <w:left w:type="dxa" w:w="85"/>
              <w:bottom w:type="dxa" w:w="28"/>
              <w:right w:type="dxa" w:w="85"/>
            </w:tcMar>
          </w:tcPr>
          <w:p>
            <w:pPr>
              <w:spacing w:after="0" w:before="0" w:line="216"/>
            </w:pPr>
            <w:r>
              <w:rPr>
                <w:rFonts w:ascii="Calibri" w:cs="Calibri" w:eastAsia="Calibri" w:hAnsi="Calibri"/>
                <w:b/>
                <w:bCs/>
                <w:color w:val="1A1A1A"/>
                <w:sz w:val="17"/>
                <w:szCs w:val="17"/>
              </w:rPr>
              <w:t xml:space="preserve">Section 4.1</w:t>
            </w:r>
          </w:p>
        </w:tc>
        <w:tc>
          <w:tcPr>
            <w:tcW w:type="dxa" w:w="4302"/>
            <w:shd w:fill="FFFFFF"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40+ photos per page, 15 variations of the 12 pieces on each product page, 20+ See and Think pieces per product</w:t>
            </w:r>
          </w:p>
        </w:tc>
        <w:tc>
          <w:tcPr>
            <w:tcW w:type="dxa" w:w="4114"/>
            <w:shd w:fill="FFFFFF"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Read per product: </w:t>
            </w:r>
            <w:r>
              <w:rPr>
                <w:rFonts w:ascii="Calibri" w:cs="Calibri" w:eastAsia="Calibri" w:hAnsi="Calibri"/>
                <w:b/>
                <w:bCs/>
                <w:color w:val="1A1A1A"/>
                <w:sz w:val="17"/>
                <w:szCs w:val="17"/>
              </w:rPr>
              <w:t xml:space="preserve">180 variants per page</w:t>
            </w:r>
            <w:r>
              <w:rPr>
                <w:rFonts w:ascii="Calibri" w:cs="Calibri" w:eastAsia="Calibri" w:hAnsi="Calibri"/>
                <w:color w:val="1A1A1A"/>
                <w:sz w:val="17"/>
                <w:szCs w:val="17"/>
              </w:rPr>
              <w:t xml:space="preserve">, and at 1,000 active products roughly 180,000 assets</w:t>
            </w:r>
          </w:p>
        </w:tc>
      </w:tr>
      <w:tr>
        <w:tc>
          <w:tcPr>
            <w:tcW w:type="dxa" w:w="1664"/>
            <w:shd w:fill="F6F8FB" w:val="clear"/>
            <w:tcMar>
              <w:top w:type="dxa" w:w="28"/>
              <w:left w:type="dxa" w:w="85"/>
              <w:bottom w:type="dxa" w:w="28"/>
              <w:right w:type="dxa" w:w="85"/>
            </w:tcMar>
          </w:tcPr>
          <w:p>
            <w:pPr>
              <w:spacing w:after="0" w:before="0" w:line="216"/>
            </w:pPr>
            <w:r>
              <w:rPr>
                <w:rFonts w:ascii="Calibri" w:cs="Calibri" w:eastAsia="Calibri" w:hAnsi="Calibri"/>
                <w:b/>
                <w:bCs/>
                <w:color w:val="1A1A1A"/>
                <w:sz w:val="17"/>
                <w:szCs w:val="17"/>
              </w:rPr>
              <w:t xml:space="preserve">Appendix A.3.7</w:t>
            </w:r>
          </w:p>
        </w:tc>
        <w:tc>
          <w:tcPr>
            <w:tcW w:type="dxa" w:w="4302"/>
            <w:shd w:fill="F6F8FB"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"50-100+ pieces", "2-3 variants per piece"</w:t>
            </w:r>
          </w:p>
        </w:tc>
        <w:tc>
          <w:tcPr>
            <w:tcW w:type="dxa" w:w="4114"/>
            <w:shd w:fill="F6F8FB"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Read site-wide: </w:t>
            </w:r>
            <w:r>
              <w:rPr>
                <w:rFonts w:ascii="Calibri" w:cs="Calibri" w:eastAsia="Calibri" w:hAnsi="Calibri"/>
                <w:b/>
                <w:bCs/>
                <w:color w:val="1A1A1A"/>
                <w:sz w:val="17"/>
                <w:szCs w:val="17"/>
              </w:rPr>
              <w:t xml:space="preserve">150 to 300 assets in total</w:t>
            </w:r>
          </w:p>
        </w:tc>
      </w:tr>
    </w:tbl>
    <w:p>
      <w:pPr>
        <w:spacing w:after="90" w:line="232"/>
      </w:pPr>
      <w:r>
        <w:rPr>
          <w:rFonts w:ascii="Calibri" w:cs="Calibri" w:eastAsia="Calibri" w:hAnsi="Calibri"/>
          <w:color w:val="1A1A1A"/>
          <w:sz w:val="18"/>
          <w:szCs w:val="18"/>
        </w:rPr>
        <w:t xml:space="preserve">Worth settling which is intended, because Phase 1 exit is written against the first one.</w:t>
      </w:r>
    </w:p>
    <w:p>
      <w:pPr>
        <w:pStyle w:val="Heading2"/>
        <w:spacing w:after="50" w:before="110"/>
      </w:pPr>
      <w:r>
        <w:rPr>
          <w:rFonts w:ascii="Calibri" w:cs="Calibri" w:eastAsia="Calibri" w:hAnsi="Calibri"/>
          <w:b/>
          <w:bCs/>
          <w:color w:val="0B5CAD"/>
          <w:sz w:val="19"/>
          <w:szCs w:val="19"/>
        </w:rPr>
        <w:t xml:space="preserve">What evidence actually costs per variant</w:t>
      </w:r>
    </w:p>
    <w:p>
      <w:pPr>
        <w:spacing w:after="90" w:line="232"/>
      </w:pPr>
      <w:r>
        <w:rPr>
          <w:rFonts w:ascii="Calibri" w:cs="Calibri" w:eastAsia="Calibri" w:hAnsi="Calibri"/>
          <w:color w:val="1A1A1A"/>
          <w:sz w:val="18"/>
          <w:szCs w:val="18"/>
        </w:rPr>
        <w:t xml:space="preserve">The first two rows are the thresholds the BTIE document sets for itself. The last two are what it takes to measure a difference between two variants, at a 2 percent baseline click rate, two-sided, 95 percent confidence, 80 percent power.</w:t>
      </w:r>
    </w:p>
    <w:tbl>
      <w:tblPr>
        <w:tblW w:type="dxa" w:w="10080"/>
        <w:tblBorders>
          <w:top w:val="single" w:color="C9D1DC" w:sz="4"/>
          <w:left w:val="single" w:color="C9D1DC" w:sz="4"/>
          <w:bottom w:val="single" w:color="C9D1DC" w:sz="4"/>
          <w:right w:val="single" w:color="C9D1DC" w:sz="4"/>
          <w:insideH w:val="single" w:color="C9D1DC" w:sz="2"/>
          <w:insideV w:val="single" w:color="C9D1DC" w:sz="2"/>
        </w:tblBorders>
      </w:tblPr>
      <w:tblGrid>
        <w:gridCol w:w="4888"/>
        <w:gridCol w:w="2192"/>
        <w:gridCol w:w="3000"/>
      </w:tblGrid>
      <w:tr>
        <w:trPr>
          <w:tblHeader/>
        </w:trPr>
        <w:tc>
          <w:tcPr>
            <w:tcW w:type="dxa" w:w="4888"/>
            <w:shd w:fill="E8EDF4" w:val="clear"/>
            <w:tcMar>
              <w:top w:type="dxa" w:w="28"/>
              <w:left w:type="dxa" w:w="85"/>
              <w:bottom w:type="dxa" w:w="28"/>
              <w:right w:type="dxa" w:w="85"/>
            </w:tcMar>
          </w:tcPr>
          <w:p>
            <w:pPr>
              <w:spacing w:after="0" w:before="0" w:line="216"/>
            </w:pPr>
            <w:r>
              <w:rPr>
                <w:rFonts w:ascii="Calibri" w:cs="Calibri" w:eastAsia="Calibri" w:hAnsi="Calibri"/>
                <w:b/>
                <w:bCs/>
                <w:color w:val="11142A"/>
                <w:sz w:val="17"/>
                <w:szCs w:val="17"/>
              </w:rPr>
              <w:t xml:space="preserve">Threshold</w:t>
            </w:r>
          </w:p>
        </w:tc>
        <w:tc>
          <w:tcPr>
            <w:tcW w:type="dxa" w:w="2192"/>
            <w:shd w:fill="E8EDF4" w:val="clear"/>
            <w:tcMar>
              <w:top w:type="dxa" w:w="28"/>
              <w:left w:type="dxa" w:w="85"/>
              <w:bottom w:type="dxa" w:w="28"/>
              <w:right w:type="dxa" w:w="85"/>
            </w:tcMar>
          </w:tcPr>
          <w:p>
            <w:pPr>
              <w:spacing w:after="0" w:before="0" w:line="216"/>
            </w:pPr>
            <w:r>
              <w:rPr>
                <w:rFonts w:ascii="Calibri" w:cs="Calibri" w:eastAsia="Calibri" w:hAnsi="Calibri"/>
                <w:b/>
                <w:bCs/>
                <w:color w:val="11142A"/>
                <w:sz w:val="17"/>
                <w:szCs w:val="17"/>
              </w:rPr>
              <w:t xml:space="preserve">Impressions per variant</w:t>
            </w:r>
          </w:p>
        </w:tc>
        <w:tc>
          <w:tcPr>
            <w:tcW w:type="dxa" w:w="3000"/>
            <w:shd w:fill="E8EDF4" w:val="clear"/>
            <w:tcMar>
              <w:top w:type="dxa" w:w="28"/>
              <w:left w:type="dxa" w:w="85"/>
              <w:bottom w:type="dxa" w:w="28"/>
              <w:right w:type="dxa" w:w="85"/>
            </w:tcMar>
          </w:tcPr>
          <w:p>
            <w:pPr>
              <w:spacing w:after="0" w:before="0" w:line="216"/>
            </w:pPr>
            <w:r>
              <w:rPr>
                <w:rFonts w:ascii="Calibri" w:cs="Calibri" w:eastAsia="Calibri" w:hAnsi="Calibri"/>
                <w:b/>
                <w:bCs/>
                <w:color w:val="11142A"/>
                <w:sz w:val="17"/>
                <w:szCs w:val="17"/>
              </w:rPr>
              <w:t xml:space="preserve">180 variants on one page</w:t>
            </w:r>
          </w:p>
        </w:tc>
      </w:tr>
      <w:tr>
        <w:tc>
          <w:tcPr>
            <w:tcW w:type="dxa" w:w="4888"/>
            <w:shd w:fill="FFFFFF"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A.3.5, exploration bonus ends</w:t>
            </w:r>
          </w:p>
        </w:tc>
        <w:tc>
          <w:tcPr>
            <w:tcW w:type="dxa" w:w="2192"/>
            <w:shd w:fill="FFFFFF"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500</w:t>
            </w:r>
          </w:p>
        </w:tc>
        <w:tc>
          <w:tcPr>
            <w:tcW w:type="dxa" w:w="3000"/>
            <w:shd w:fill="FFFFFF"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90,000 page views</w:t>
            </w:r>
          </w:p>
        </w:tc>
      </w:tr>
      <w:tr>
        <w:tc>
          <w:tcPr>
            <w:tcW w:type="dxa" w:w="4888"/>
            <w:shd w:fill="F6F8FB"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A.3.6, </w:t>
            </w:r>
            <w:r>
              <w:rPr>
                <w:rFonts w:ascii="Consolas" w:cs="Consolas" w:eastAsia="Consolas" w:hAnsi="Consolas"/>
                <w:color w:val="0B3D63"/>
                <w:sz w:val="17"/>
                <w:szCs w:val="17"/>
              </w:rPr>
              <w:t xml:space="preserve">min_impressions</w:t>
            </w:r>
            <w:r>
              <w:rPr>
                <w:rFonts w:ascii="Calibri" w:cs="Calibri" w:eastAsia="Calibri" w:hAnsi="Calibri"/>
                <w:color w:val="1A1A1A"/>
                <w:sz w:val="17"/>
                <w:szCs w:val="17"/>
              </w:rPr>
              <w:t xml:space="preserve"> for a hero</w:t>
            </w:r>
          </w:p>
        </w:tc>
        <w:tc>
          <w:tcPr>
            <w:tcW w:type="dxa" w:w="2192"/>
            <w:shd w:fill="F6F8FB"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1,000</w:t>
            </w:r>
          </w:p>
        </w:tc>
        <w:tc>
          <w:tcPr>
            <w:tcW w:type="dxa" w:w="3000"/>
            <w:shd w:fill="F6F8FB"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180,000 page views</w:t>
            </w:r>
          </w:p>
        </w:tc>
      </w:tr>
      <w:tr>
        <w:tc>
          <w:tcPr>
            <w:tcW w:type="dxa" w:w="4888"/>
            <w:shd w:fill="FFFFFF"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To see a large difference, 2.0 to 3.0 percent</w:t>
            </w:r>
          </w:p>
        </w:tc>
        <w:tc>
          <w:tcPr>
            <w:tcW w:type="dxa" w:w="2192"/>
            <w:shd w:fill="FFFFFF"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3,825</w:t>
            </w:r>
          </w:p>
        </w:tc>
        <w:tc>
          <w:tcPr>
            <w:tcW w:type="dxa" w:w="3000"/>
            <w:shd w:fill="FFFFFF"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688,000 page views</w:t>
            </w:r>
          </w:p>
        </w:tc>
      </w:tr>
      <w:tr>
        <w:tc>
          <w:tcPr>
            <w:tcW w:type="dxa" w:w="4888"/>
            <w:shd w:fill="F6F8FB"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To see a realistic difference, 2.0 to 2.4 percent</w:t>
            </w:r>
          </w:p>
        </w:tc>
        <w:tc>
          <w:tcPr>
            <w:tcW w:type="dxa" w:w="2192"/>
            <w:shd w:fill="F6F8FB"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21,108</w:t>
            </w:r>
          </w:p>
        </w:tc>
        <w:tc>
          <w:tcPr>
            <w:tcW w:type="dxa" w:w="3000"/>
            <w:shd w:fill="F6F8FB"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3,800,000 page views</w:t>
            </w:r>
          </w:p>
        </w:tc>
      </w:tr>
    </w:tbl>
    <w:p>
      <w:pPr>
        <w:spacing w:after="90" w:line="232"/>
      </w:pPr>
      <w:r>
        <w:rPr>
          <w:rFonts w:ascii="Calibri" w:cs="Calibri" w:eastAsia="Calibri" w:hAnsi="Calibri"/>
          <w:color w:val="1A1A1A"/>
          <w:sz w:val="18"/>
          <w:szCs w:val="18"/>
        </w:rPr>
        <w:t xml:space="preserve">Those are per product page, before splitting by context. Only the very top of a catalog can supply traffic at this scale.</w:t>
      </w:r>
    </w:p>
    <w:p>
      <w:pPr>
        <w:pStyle w:val="Heading2"/>
        <w:spacing w:after="50" w:before="110"/>
      </w:pPr>
      <w:r>
        <w:rPr>
          <w:rFonts w:ascii="Calibri" w:cs="Calibri" w:eastAsia="Calibri" w:hAnsi="Calibri"/>
          <w:b/>
          <w:bCs/>
          <w:color w:val="0B5CAD"/>
          <w:sz w:val="19"/>
          <w:szCs w:val="19"/>
        </w:rPr>
        <w:t xml:space="preserve">Three consequences</w:t>
      </w:r>
    </w:p>
    <w:p>
      <w:pPr>
        <w:pStyle w:val="ListParagraph"/>
        <w:numPr>
          <w:ilvl w:val="0"/>
          <w:numId w:val="2"/>
        </w:numPr>
        <w:spacing w:after="30" w:line="224"/>
      </w:pPr>
      <w:r>
        <w:rPr>
          <w:rFonts w:ascii="Calibri" w:cs="Calibri" w:eastAsia="Calibri" w:hAnsi="Calibri"/>
          <w:b/>
          <w:bCs/>
          <w:color w:val="1A1A1A"/>
          <w:sz w:val="18"/>
          <w:szCs w:val="18"/>
        </w:rPr>
        <w:t xml:space="preserve">A variant below the floor is being served without evidence.</w:t>
      </w:r>
      <w:r>
        <w:rPr>
          <w:rFonts w:ascii="Calibri" w:cs="Calibri" w:eastAsia="Calibri" w:hAnsi="Calibri"/>
          <w:color w:val="1A1A1A"/>
          <w:sz w:val="18"/>
          <w:szCs w:val="18"/>
        </w:rPr>
        <w:t xml:space="preserve"> That is exploration, and exploration is paid for in conversion. A wider pool does not add intelligence, it adds untested inventory the system is obliged to show.</w:t>
      </w:r>
    </w:p>
    <w:p>
      <w:pPr>
        <w:pStyle w:val="ListParagraph"/>
        <w:numPr>
          <w:ilvl w:val="0"/>
          <w:numId w:val="2"/>
        </w:numPr>
        <w:spacing w:after="30" w:line="224"/>
      </w:pPr>
      <w:r>
        <w:rPr>
          <w:rFonts w:ascii="Calibri" w:cs="Calibri" w:eastAsia="Calibri" w:hAnsi="Calibri"/>
          <w:b/>
          <w:bCs/>
          <w:color w:val="1A1A1A"/>
          <w:sz w:val="18"/>
          <w:szCs w:val="18"/>
        </w:rPr>
        <w:t xml:space="preserve">Campaign content lives six to eight weeks.</w:t>
      </w:r>
      <w:r>
        <w:rPr>
          <w:rFonts w:ascii="Calibri" w:cs="Calibri" w:eastAsia="Calibri" w:hAnsi="Calibri"/>
          <w:color w:val="1A1A1A"/>
          <w:sz w:val="18"/>
          <w:szCs w:val="18"/>
        </w:rPr>
        <w:t xml:space="preserve"> Where the floor takes longer than the asset's shelf life, the asset is produced, shown, retired, and teaches nothing.</w:t>
      </w:r>
    </w:p>
    <w:p>
      <w:pPr>
        <w:pStyle w:val="ListParagraph"/>
        <w:numPr>
          <w:ilvl w:val="0"/>
          <w:numId w:val="2"/>
        </w:numPr>
        <w:spacing w:after="30" w:line="224"/>
      </w:pPr>
      <w:r>
        <w:rPr>
          <w:rFonts w:ascii="Calibri" w:cs="Calibri" w:eastAsia="Calibri" w:hAnsi="Calibri"/>
          <w:b/>
          <w:bCs/>
          <w:color w:val="1A1A1A"/>
          <w:sz w:val="18"/>
          <w:szCs w:val="18"/>
        </w:rPr>
        <w:t xml:space="preserve">Near-duplicate variants occupy the same point in the taste space.</w:t>
      </w:r>
      <w:r>
        <w:rPr>
          <w:rFonts w:ascii="Calibri" w:cs="Calibri" w:eastAsia="Calibri" w:hAnsi="Calibri"/>
          <w:color w:val="1A1A1A"/>
          <w:sz w:val="18"/>
          <w:szCs w:val="18"/>
        </w:rPr>
        <w:t xml:space="preserve"> Fifteen crops of one hero dilute evidence without widening choice. Twelve assets spanning four style clusters and three journey stages give the engine something real to choose between.</w:t>
      </w:r>
    </w:p>
    <w:p>
      <w:pPr>
        <w:pStyle w:val="Heading2"/>
        <w:spacing w:after="50" w:before="110"/>
      </w:pPr>
      <w:r>
        <w:rPr>
          <w:rFonts w:ascii="Calibri" w:cs="Calibri" w:eastAsia="Calibri" w:hAnsi="Calibri"/>
          <w:b/>
          <w:bCs/>
          <w:color w:val="0B5CAD"/>
          <w:sz w:val="19"/>
          <w:szCs w:val="19"/>
        </w:rPr>
        <w:t xml:space="preserve">Size the pool from the slot map instead</w:t>
      </w:r>
    </w:p>
    <w:p>
      <w:pPr>
        <w:spacing w:after="90" w:line="232"/>
      </w:pPr>
      <w:r>
        <w:rPr>
          <w:rFonts w:ascii="Calibri" w:cs="Calibri" w:eastAsia="Calibri" w:hAnsi="Calibri"/>
          <w:b/>
          <w:bCs/>
          <w:color w:val="1A1A1A"/>
          <w:sz w:val="18"/>
          <w:szCs w:val="18"/>
        </w:rPr>
        <w:t xml:space="preserve">Assets for a slot = items the slot shows × dimension values to cover × journey stages to serve.</w:t>
      </w:r>
    </w:p>
    <w:tbl>
      <w:tblPr>
        <w:tblW w:type="dxa" w:w="10080"/>
        <w:tblBorders>
          <w:top w:val="single" w:color="C9D1DC" w:sz="4"/>
          <w:left w:val="single" w:color="C9D1DC" w:sz="4"/>
          <w:bottom w:val="single" w:color="C9D1DC" w:sz="4"/>
          <w:right w:val="single" w:color="C9D1DC" w:sz="4"/>
          <w:insideH w:val="single" w:color="C9D1DC" w:sz="2"/>
          <w:insideV w:val="single" w:color="C9D1DC" w:sz="2"/>
        </w:tblBorders>
      </w:tblPr>
      <w:tblGrid>
        <w:gridCol w:w="3185"/>
        <w:gridCol w:w="4779"/>
        <w:gridCol w:w="2116"/>
      </w:tblGrid>
      <w:tr>
        <w:trPr>
          <w:tblHeader/>
        </w:trPr>
        <w:tc>
          <w:tcPr>
            <w:tcW w:type="dxa" w:w="3185"/>
            <w:shd w:fill="E8EDF4" w:val="clear"/>
            <w:tcMar>
              <w:top w:type="dxa" w:w="28"/>
              <w:left w:type="dxa" w:w="85"/>
              <w:bottom w:type="dxa" w:w="28"/>
              <w:right w:type="dxa" w:w="85"/>
            </w:tcMar>
          </w:tcPr>
          <w:p>
            <w:pPr>
              <w:spacing w:after="0" w:before="0" w:line="216"/>
            </w:pPr>
            <w:r>
              <w:rPr>
                <w:rFonts w:ascii="Calibri" w:cs="Calibri" w:eastAsia="Calibri" w:hAnsi="Calibri"/>
                <w:b/>
                <w:bCs/>
                <w:color w:val="11142A"/>
                <w:sz w:val="17"/>
                <w:szCs w:val="17"/>
              </w:rPr>
              <w:t xml:space="preserve">Slot</w:t>
            </w:r>
          </w:p>
        </w:tc>
        <w:tc>
          <w:tcPr>
            <w:tcW w:type="dxa" w:w="4779"/>
            <w:shd w:fill="E8EDF4" w:val="clear"/>
            <w:tcMar>
              <w:top w:type="dxa" w:w="28"/>
              <w:left w:type="dxa" w:w="85"/>
              <w:bottom w:type="dxa" w:w="28"/>
              <w:right w:type="dxa" w:w="85"/>
            </w:tcMar>
          </w:tcPr>
          <w:p>
            <w:pPr>
              <w:spacing w:after="0" w:before="0" w:line="216"/>
            </w:pPr>
            <w:r>
              <w:rPr>
                <w:rFonts w:ascii="Calibri" w:cs="Calibri" w:eastAsia="Calibri" w:hAnsi="Calibri"/>
                <w:b/>
                <w:bCs/>
                <w:color w:val="11142A"/>
                <w:sz w:val="17"/>
                <w:szCs w:val="17"/>
              </w:rPr>
              <w:t xml:space="preserve">Working</w:t>
            </w:r>
          </w:p>
        </w:tc>
        <w:tc>
          <w:tcPr>
            <w:tcW w:type="dxa" w:w="2116"/>
            <w:shd w:fill="E8EDF4" w:val="clear"/>
            <w:tcMar>
              <w:top w:type="dxa" w:w="28"/>
              <w:left w:type="dxa" w:w="85"/>
              <w:bottom w:type="dxa" w:w="28"/>
              <w:right w:type="dxa" w:w="85"/>
            </w:tcMar>
          </w:tcPr>
          <w:p>
            <w:pPr>
              <w:spacing w:after="0" w:before="0" w:line="216"/>
            </w:pPr>
            <w:r>
              <w:rPr>
                <w:rFonts w:ascii="Calibri" w:cs="Calibri" w:eastAsia="Calibri" w:hAnsi="Calibri"/>
                <w:b/>
                <w:bCs/>
                <w:color w:val="11142A"/>
                <w:sz w:val="17"/>
                <w:szCs w:val="17"/>
              </w:rPr>
              <w:t xml:space="preserve">Assets</w:t>
            </w:r>
          </w:p>
        </w:tc>
      </w:tr>
      <w:tr>
        <w:tc>
          <w:tcPr>
            <w:tcW w:type="dxa" w:w="3185"/>
            <w:shd w:fill="FFFFFF"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Homepage hero</w:t>
            </w:r>
          </w:p>
        </w:tc>
        <w:tc>
          <w:tcPr>
            <w:tcW w:type="dxa" w:w="4779"/>
            <w:shd w:fill="FFFFFF"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1 item × 4 style clusters × 3 stages, one or two each</w:t>
            </w:r>
          </w:p>
        </w:tc>
        <w:tc>
          <w:tcPr>
            <w:tcW w:type="dxa" w:w="2116"/>
            <w:shd w:fill="FFFFFF"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12 to 24</w:t>
            </w:r>
          </w:p>
        </w:tc>
      </w:tr>
      <w:tr>
        <w:tc>
          <w:tcPr>
            <w:tcW w:type="dxa" w:w="3185"/>
            <w:shd w:fill="F6F8FB"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Six-item carousel</w:t>
            </w:r>
          </w:p>
        </w:tc>
        <w:tc>
          <w:tcPr>
            <w:tcW w:type="dxa" w:w="4779"/>
            <w:shd w:fill="F6F8FB"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Enough that no shopper repeats</w:t>
            </w:r>
          </w:p>
        </w:tc>
        <w:tc>
          <w:tcPr>
            <w:tcW w:type="dxa" w:w="2116"/>
            <w:shd w:fill="F6F8FB"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30 to 50</w:t>
            </w:r>
          </w:p>
        </w:tc>
      </w:tr>
      <w:tr>
        <w:tc>
          <w:tcPr>
            <w:tcW w:type="dxa" w:w="3185"/>
            <w:shd w:fill="FFFFFF" w:val="clear"/>
            <w:tcMar>
              <w:top w:type="dxa" w:w="28"/>
              <w:left w:type="dxa" w:w="85"/>
              <w:bottom w:type="dxa" w:w="28"/>
              <w:right w:type="dxa" w:w="85"/>
            </w:tcMar>
          </w:tcPr>
          <w:p>
            <w:pPr>
              <w:spacing w:after="0" w:before="0" w:line="216"/>
            </w:pPr>
            <w:r>
              <w:rPr>
                <w:rFonts w:ascii="Calibri" w:cs="Calibri" w:eastAsia="Calibri" w:hAnsi="Calibri"/>
                <w:color w:val="1A1A1A"/>
                <w:sz w:val="17"/>
                <w:szCs w:val="17"/>
              </w:rPr>
              <w:t xml:space="preserve">Launch page total</w:t>
            </w:r>
          </w:p>
        </w:tc>
        <w:tc>
          <w:tcPr>
            <w:tcW w:type="dxa" w:w="4779"/>
            <w:shd w:fill="FFFFFF" w:val="clear"/>
            <w:tcMar>
              <w:top w:type="dxa" w:w="28"/>
              <w:left w:type="dxa" w:w="85"/>
              <w:bottom w:type="dxa" w:w="28"/>
              <w:right w:type="dxa" w:w="85"/>
            </w:tcMar>
          </w:tcPr>
          <w:p>
            <w:pPr>
              <w:spacing w:after="0" w:before="0" w:line="216"/>
            </w:pPr>
            <w:r>
              <w:rPr>
                <w:rFonts w:ascii="Calibri" w:cs="Calibri" w:eastAsia="Calibri" w:hAnsi="Calibri"/>
                <w:sz w:val="21"/>
                <w:szCs w:val="21"/>
              </w:rPr>
              <w:t xml:space="preserve"/>
            </w:r>
          </w:p>
        </w:tc>
        <w:tc>
          <w:tcPr>
            <w:tcW w:type="dxa" w:w="2116"/>
            <w:shd w:fill="FFFFFF" w:val="clear"/>
            <w:tcMar>
              <w:top w:type="dxa" w:w="28"/>
              <w:left w:type="dxa" w:w="85"/>
              <w:bottom w:type="dxa" w:w="28"/>
              <w:right w:type="dxa" w:w="85"/>
            </w:tcMar>
          </w:tcPr>
          <w:p>
            <w:pPr>
              <w:spacing w:after="0" w:before="0" w:line="216"/>
            </w:pPr>
            <w:r>
              <w:rPr>
                <w:rFonts w:ascii="Calibri" w:cs="Calibri" w:eastAsia="Calibri" w:hAnsi="Calibri"/>
                <w:b/>
                <w:bCs/>
                <w:color w:val="1A1A1A"/>
                <w:sz w:val="17"/>
                <w:szCs w:val="17"/>
              </w:rPr>
              <w:t xml:space="preserve">50 to 80</w:t>
            </w:r>
          </w:p>
        </w:tc>
      </w:tr>
    </w:tbl>
    <w:p>
      <w:pPr>
        <w:spacing w:after="90" w:line="232"/>
      </w:pPr>
      <w:r>
        <w:rPr>
          <w:rFonts w:ascii="Calibri" w:cs="Calibri" w:eastAsia="Calibri" w:hAnsi="Calibri"/>
          <w:color w:val="1A1A1A"/>
          <w:sz w:val="18"/>
          <w:szCs w:val="18"/>
        </w:rPr>
        <w:t xml:space="preserve">Then tier by traffic: deep variant coverage on the top products and main marketing pages, one well-tagged asset per style cluster per stage in the middle, and a single strong default in the long tail, where personalization comes from sort and recommendations rather than content variants.</w:t>
      </w:r>
    </w:p>
    <w:p>
      <w:pPr>
        <w:pStyle w:val="Heading2"/>
        <w:spacing w:after="50" w:before="110"/>
      </w:pPr>
      <w:r>
        <w:rPr>
          <w:rFonts w:ascii="Calibri" w:cs="Calibri" w:eastAsia="Calibri" w:hAnsi="Calibri"/>
          <w:b/>
          <w:bCs/>
          <w:color w:val="0B5CAD"/>
          <w:sz w:val="19"/>
          <w:szCs w:val="19"/>
        </w:rPr>
        <w:t xml:space="preserve">How we will know, early</w:t>
      </w:r>
    </w:p>
    <w:p>
      <w:pPr>
        <w:spacing w:after="90" w:line="232"/>
      </w:pPr>
      <w:r>
        <w:rPr>
          <w:rFonts w:ascii="Calibri" w:cs="Calibri" w:eastAsia="Calibri" w:hAnsi="Calibri"/>
          <w:color w:val="1A1A1A"/>
          <w:sz w:val="18"/>
          <w:szCs w:val="18"/>
        </w:rPr>
        <w:t xml:space="preserve">Per dimension we report tagging coverage, and per item we report how many exposures it still needs before it clears its floor, per slot. Within a week of live traffic that shows whether the pool is too narrow, too wide, or wrongly spread, while there is still time to act on it.</w:t>
      </w:r>
    </w:p>
    <w:sectPr>
      <w:headerReference w:type="first" r:id="rId7"/>
      <w:footerReference w:type="first" r:id="rId8"/>
      <w:pgSz w:w="12240" w:h="15840" w:orient="portrait"/>
      <w:pgMar w:top="792"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360" w:hanging="260"/>
      </w:pPr>
      <w:rPr>
        <w:b/>
        <w:bCs/>
        <w:color w:val="11142A"/>
      </w:rPr>
    </w:lvl>
    <w:lvl w:ilvl="1" w15:tentative="1">
      <w:start w:val="1"/>
      <w:numFmt w:val="lowerLetter"/>
      <w:lvlText w:val="%2."/>
      <w:lvlJc w:val="left"/>
      <w:pPr>
        <w:ind w:left="720" w:hanging="260"/>
      </w:pPr>
      <w:rPr>
        <w:b w:val="false"/>
        <w:bCs w:val="false"/>
        <w:color w:val="11142A"/>
      </w:rPr>
    </w:lvl>
    <w:lvl w:ilvl="2" w15:tentative="1">
      <w:start w:val="1"/>
      <w:numFmt w:val="decimal"/>
      <w:lvlText w:val="%3."/>
      <w:lvlJc w:val="left"/>
      <w:pPr>
        <w:ind w:left="1080" w:hanging="260"/>
      </w:pPr>
      <w:rPr>
        <w:b w:val="false"/>
        <w:bCs w:val="false"/>
        <w:color w:val="1114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8"/>
        <w:szCs w:val="18"/>
      </w:rPr>
    </w:rPrDefault>
    <w:pPrDefault>
      <w:pPr>
        <w:spacing w:after="90" w:line="23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Sizing the content pool</dc:title>
  <dc:creator>Optimizely</dc:creator>
  <dc:description>How many assets personalization needs, and why more is not better</dc:description>
  <cp:lastModifiedBy>Un-named</cp:lastModifiedBy>
  <cp:revision>1</cp:revision>
  <dcterms:created xsi:type="dcterms:W3CDTF">2026-09-18T16:14:56.748Z</dcterms:created>
  <dcterms:modified xsi:type="dcterms:W3CDTF">2026-09-18T16:14:56.749Z</dcterms:modified>
</cp:coreProperties>
</file>

<file path=docProps/custom.xml><?xml version="1.0" encoding="utf-8"?>
<Properties xmlns="http://schemas.openxmlformats.org/officeDocument/2006/custom-properties" xmlns:vt="http://schemas.openxmlformats.org/officeDocument/2006/docPropsVTypes"/>
</file>