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Implementation at a glance</w:t>
      </w:r>
    </w:p>
    <w:p>
      <w:pPr>
        <w:pBdr>
          <w:bottom w:val="single" w:color="0B5CAD" w:sz="10" w:space="6"/>
        </w:pBdr>
        <w:spacing w:after="6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Behavioral Targeting and Intelligence: what each side does, and what we need from you</w:t>
      </w:r>
    </w:p>
    <w:p>
      <w:pPr>
        <w:spacing w:after="140"/>
      </w:pPr>
      <w:r>
        <w:rPr>
          <w:rFonts w:ascii="Calibri" w:cs="Calibri" w:eastAsia="Calibri" w:hAnsi="Calibri"/>
          <w:color w:val="5A6472"/>
          <w:sz w:val="15"/>
          <w:szCs w:val="15"/>
        </w:rPr>
        <w:t xml:space="preserve">Tapestry, launch brand Coach   ·   v1.0   ·   18 September 2026   ·   Confidential</w:t>
      </w:r>
    </w:p>
    <w:p>
      <w:pPr>
        <w:spacing w:after="90" w:line="232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Your pages send events. We return decisions addressed by your own identifiers. Your front end renders, always, and renders your default when there is no decision.</w:t>
      </w:r>
    </w:p>
    <w:p>
      <w:pPr>
        <w:pStyle w:val="Heading2"/>
        <w:spacing w:after="50" w:before="110"/>
      </w:pPr>
      <w:r>
        <w:rPr>
          <w:rFonts w:ascii="Calibri" w:cs="Calibri" w:eastAsia="Calibri" w:hAnsi="Calibri"/>
          <w:b/>
          <w:bCs/>
          <w:color w:val="0B5CAD"/>
          <w:sz w:val="19"/>
          <w:szCs w:val="19"/>
        </w:rPr>
        <w:t xml:space="preserve">The steps</w:t>
      </w:r>
    </w:p>
    <w:tbl>
      <w:tblPr>
        <w:tblW w:type="dxa" w:w="1008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2289"/>
        <w:gridCol w:w="3673"/>
        <w:gridCol w:w="4118"/>
      </w:tblGrid>
      <w:tr>
        <w:trPr>
          <w:tblHeader/>
        </w:trPr>
        <w:tc>
          <w:tcPr>
            <w:tcW w:type="dxa" w:w="2289"/>
            <w:shd w:fill="E8EDF4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7"/>
                <w:szCs w:val="17"/>
              </w:rPr>
              <w:t xml:space="preserve">Step</w:t>
            </w:r>
          </w:p>
        </w:tc>
        <w:tc>
          <w:tcPr>
            <w:tcW w:type="dxa" w:w="3673"/>
            <w:shd w:fill="E8EDF4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7"/>
                <w:szCs w:val="17"/>
              </w:rPr>
              <w:t xml:space="preserve">We do</w:t>
            </w:r>
          </w:p>
        </w:tc>
        <w:tc>
          <w:tcPr>
            <w:tcW w:type="dxa" w:w="4118"/>
            <w:shd w:fill="E8EDF4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7"/>
                <w:szCs w:val="17"/>
              </w:rPr>
              <w:t xml:space="preserve">You do</w:t>
            </w:r>
          </w:p>
        </w:tc>
      </w:tr>
      <w:tr>
        <w:tc>
          <w:tcPr>
            <w:tcW w:type="dxa" w:w="2289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1. Design</w:t>
            </w:r>
          </w:p>
        </w:tc>
        <w:tc>
          <w:tcPr>
            <w:tcW w:type="dxa" w:w="3673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Run the registry, taxonomy and slot sessions. Audit your content sample.</w:t>
            </w:r>
          </w:p>
        </w:tc>
        <w:tc>
          <w:tcPr>
            <w:tcW w:type="dxa" w:w="4118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 science, content operations and a front-end lead in the room. Send 100 to 500 assets.</w:t>
            </w:r>
          </w:p>
        </w:tc>
      </w:tr>
      <w:tr>
        <w:tc>
          <w:tcPr>
            <w:tcW w:type="dxa" w:w="2289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2. Environment</w:t>
            </w:r>
          </w:p>
        </w:tc>
        <w:tc>
          <w:tcPr>
            <w:tcW w:type="dxa" w:w="3673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Provision your lower environment, issue keys and console accounts.</w:t>
            </w:r>
          </w:p>
        </w:tc>
        <w:tc>
          <w:tcPr>
            <w:tcW w:type="dxa" w:w="4118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Send the origins. Run our connection check from inside your network.</w:t>
            </w:r>
          </w:p>
        </w:tc>
      </w:tr>
      <w:tr>
        <w:tc>
          <w:tcPr>
            <w:tcW w:type="dxa" w:w="2289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3. Data</w:t>
            </w:r>
          </w:p>
        </w:tc>
        <w:tc>
          <w:tcPr>
            <w:tcW w:type="dxa" w:w="3673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Register your content, calibrate tagging with you, connect the product feed.</w:t>
            </w:r>
          </w:p>
        </w:tc>
        <w:tc>
          <w:tcPr>
            <w:tcW w:type="dxa" w:w="4118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Content export or feed credentials. Product feed. Lifecycle and rights fields.</w:t>
            </w:r>
          </w:p>
        </w:tc>
      </w:tr>
      <w:tr>
        <w:tc>
          <w:tcPr>
            <w:tcW w:type="dxa" w:w="2289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4. Instrumentation</w:t>
            </w:r>
          </w:p>
        </w:tc>
        <w:tc>
          <w:tcPr>
            <w:tcW w:type="dxa" w:w="3673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Ship the SDK and tag plan. Verify events end to end.</w:t>
            </w:r>
          </w:p>
        </w:tc>
        <w:tc>
          <w:tcPr>
            <w:tcW w:type="dxa" w:w="4118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Install the SDK, emit events, wire consent, sign the login assertion, run QA.</w:t>
            </w:r>
          </w:p>
        </w:tc>
      </w:tr>
      <w:tr>
        <w:tc>
          <w:tcPr>
            <w:tcW w:type="dxa" w:w="2289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5. Placement</w:t>
            </w:r>
          </w:p>
        </w:tc>
        <w:tc>
          <w:tcPr>
            <w:tcW w:type="dxa" w:w="3673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Configure slots, weights, pins and defaults.</w:t>
            </w:r>
          </w:p>
        </w:tc>
        <w:tc>
          <w:tcPr>
            <w:tcW w:type="dxa" w:w="4118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Render by your identifiers. A default per slot. Your timeout.</w:t>
            </w:r>
          </w:p>
        </w:tc>
      </w:tr>
      <w:tr>
        <w:tc>
          <w:tcPr>
            <w:tcW w:type="dxa" w:w="2289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6. Verification</w:t>
            </w:r>
          </w:p>
        </w:tc>
        <w:tc>
          <w:tcPr>
            <w:tcW w:type="dxa" w:w="3673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Build the end-to-end run and drive it once.</w:t>
            </w:r>
          </w:p>
        </w:tc>
        <w:tc>
          <w:tcPr>
            <w:tcW w:type="dxa" w:w="4118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Re-run it yourselves, and agree what you saw.</w:t>
            </w:r>
          </w:p>
        </w:tc>
      </w:tr>
      <w:tr>
        <w:tc>
          <w:tcPr>
            <w:tcW w:type="dxa" w:w="2289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7. Launch</w:t>
            </w:r>
          </w:p>
        </w:tc>
        <w:tc>
          <w:tcPr>
            <w:tcW w:type="dxa" w:w="3673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Production environment, alerting, runbook, support, tuning.</w:t>
            </w:r>
          </w:p>
        </w:tc>
        <w:tc>
          <w:tcPr>
            <w:tcW w:type="dxa" w:w="4118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Security and privacy sign-off. Holdout and metric. Release slot. Tuning owner.</w:t>
            </w:r>
          </w:p>
        </w:tc>
      </w:tr>
    </w:tbl>
    <w:p>
      <w:pPr>
        <w:pStyle w:val="Heading2"/>
        <w:spacing w:after="50" w:before="110"/>
      </w:pPr>
      <w:r>
        <w:rPr>
          <w:rFonts w:ascii="Calibri" w:cs="Calibri" w:eastAsia="Calibri" w:hAnsi="Calibri"/>
          <w:b/>
          <w:bCs/>
          <w:color w:val="0B5CAD"/>
          <w:sz w:val="19"/>
          <w:szCs w:val="19"/>
        </w:rPr>
        <w:t xml:space="preserve">What we need from you</w:t>
      </w:r>
    </w:p>
    <w:tbl>
      <w:tblPr>
        <w:tblW w:type="dxa" w:w="1008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1878"/>
        <w:gridCol w:w="7129"/>
        <w:gridCol w:w="1073"/>
      </w:tblGrid>
      <w:tr>
        <w:trPr>
          <w:tblHeader/>
        </w:trPr>
        <w:tc>
          <w:tcPr>
            <w:tcW w:type="dxa" w:w="1878"/>
            <w:shd w:fill="E8EDF4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7"/>
                <w:szCs w:val="17"/>
              </w:rPr>
              <w:t xml:space="preserve">Area</w:t>
            </w:r>
          </w:p>
        </w:tc>
        <w:tc>
          <w:tcPr>
            <w:tcW w:type="dxa" w:w="7129"/>
            <w:shd w:fill="E8EDF4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7"/>
                <w:szCs w:val="17"/>
              </w:rPr>
              <w:t xml:space="preserve">What</w:t>
            </w:r>
          </w:p>
        </w:tc>
        <w:tc>
          <w:tcPr>
            <w:tcW w:type="dxa" w:w="1073"/>
            <w:shd w:fill="E8EDF4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7"/>
                <w:szCs w:val="17"/>
              </w:rPr>
              <w:t xml:space="preserve">Step</w:t>
            </w:r>
          </w:p>
        </w:tc>
      </w:tr>
      <w:tr>
        <w:tc>
          <w:tcPr>
            <w:tcW w:type="dxa" w:w="1878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Content</w:t>
            </w:r>
          </w:p>
        </w:tc>
        <w:tc>
          <w:tcPr>
            <w:tcW w:type="dxa" w:w="7129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Every eligible asset: a stable identifier that survives republish, a type, tags, the slots it may fill, a render reference, lifecycle dates.</w:t>
            </w:r>
          </w:p>
        </w:tc>
        <w:tc>
          <w:tcPr>
            <w:tcW w:type="dxa" w:w="1073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1, then 3</w:t>
            </w:r>
          </w:p>
        </w:tc>
      </w:tr>
      <w:tr>
        <w:tc>
          <w:tcPr>
            <w:tcW w:type="dxa" w:w="1878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Products</w:t>
            </w:r>
          </w:p>
        </w:tc>
        <w:tc>
          <w:tcPr>
            <w:tcW w:type="dxa" w:w="7129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Feed and attribute vocabulary. The identifiers your events use. Attributes travel on events and sort requests.</w:t>
            </w:r>
          </w:p>
        </w:tc>
        <w:tc>
          <w:tcPr>
            <w:tcW w:type="dxa" w:w="1073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878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Pages</w:t>
            </w:r>
          </w:p>
        </w:tc>
        <w:tc>
          <w:tcPr>
            <w:tcW w:type="dxa" w:w="7129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Slot map: stable slot identifiers, item counts, what is off limits, a default for every slot.</w:t>
            </w:r>
          </w:p>
        </w:tc>
        <w:tc>
          <w:tcPr>
            <w:tcW w:type="dxa" w:w="1073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878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Events</w:t>
            </w:r>
          </w:p>
        </w:tc>
        <w:tc>
          <w:tcPr>
            <w:tcW w:type="dxa" w:w="7129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Content impression, click, dwell, video complete. Product view, add to cart, wishlist. Order completed, with value.</w:t>
            </w:r>
          </w:p>
        </w:tc>
        <w:tc>
          <w:tcPr>
            <w:tcW w:type="dxa" w:w="1073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878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Identity, consent</w:t>
            </w:r>
          </w:p>
        </w:tc>
        <w:tc>
          <w:tcPr>
            <w:tcW w:type="dxa" w:w="7129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One backend endpoint that signs a short-lived assertion at login. Your consent framework and its withheld behavior.</w:t>
            </w:r>
          </w:p>
        </w:tc>
        <w:tc>
          <w:tcPr>
            <w:tcW w:type="dxa" w:w="1073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878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Network, privacy</w:t>
            </w:r>
          </w:p>
        </w:tc>
        <w:tc>
          <w:tcPr>
            <w:tcW w:type="dxa" w:w="7129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Origins per environment, script and connect allow-listing, socket egress through your delivery network and firewall. Retention per category. Nothing inbound, no ports.</w:t>
            </w:r>
          </w:p>
        </w:tc>
        <w:tc>
          <w:tcPr>
            <w:tcW w:type="dxa" w:w="1073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878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Measurement</w:t>
            </w:r>
          </w:p>
        </w:tc>
        <w:tc>
          <w:tcPr>
            <w:tcW w:type="dxa" w:w="7129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Primary metric written down. Holdout share approved before the first personalized page.</w:t>
            </w:r>
          </w:p>
        </w:tc>
        <w:tc>
          <w:tcPr>
            <w:tcW w:type="dxa" w:w="1073"/>
            <w:shd w:fill="FFFFFF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878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People</w:t>
            </w:r>
          </w:p>
        </w:tc>
        <w:tc>
          <w:tcPr>
            <w:tcW w:type="dxa" w:w="7129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Registry approver, content owner, front-end lead, backend owner, security approver, QA, tuning owner.</w:t>
            </w:r>
          </w:p>
        </w:tc>
        <w:tc>
          <w:tcPr>
            <w:tcW w:type="dxa" w:w="1073"/>
            <w:shd w:fill="F6F8FB" w:val="clear"/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spacing w:after="0" w:before="0" w:line="216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50" w:before="110"/>
      </w:pPr>
      <w:r>
        <w:rPr>
          <w:rFonts w:ascii="Calibri" w:cs="Calibri" w:eastAsia="Calibri" w:hAnsi="Calibri"/>
          <w:b/>
          <w:bCs/>
          <w:color w:val="0B5CAD"/>
          <w:sz w:val="19"/>
          <w:szCs w:val="19"/>
        </w:rPr>
        <w:t xml:space="preserve">The five that move the date</w:t>
      </w:r>
    </w:p>
    <w:p>
      <w:pPr>
        <w:pStyle w:val="ListParagraph"/>
        <w:numPr>
          <w:ilvl w:val="0"/>
          <w:numId w:val="2"/>
        </w:numPr>
        <w:spacing w:after="30" w:line="224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Stable content identifiers and the export.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Nothing starts without them.</w:t>
      </w:r>
    </w:p>
    <w:p>
      <w:pPr>
        <w:pStyle w:val="ListParagraph"/>
        <w:numPr>
          <w:ilvl w:val="0"/>
          <w:numId w:val="2"/>
        </w:numPr>
        <w:spacing w:after="30" w:line="224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 layer maturity.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largest single variable in the instrumentation effort.</w:t>
      </w:r>
    </w:p>
    <w:p>
      <w:pPr>
        <w:pStyle w:val="ListParagraph"/>
        <w:numPr>
          <w:ilvl w:val="0"/>
          <w:numId w:val="2"/>
        </w:numPr>
        <w:spacing w:after="30" w:line="224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Socket egress through your delivery network and firewall.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Cheap now, expensive in December.</w:t>
      </w:r>
    </w:p>
    <w:p>
      <w:pPr>
        <w:pStyle w:val="ListParagraph"/>
        <w:numPr>
          <w:ilvl w:val="0"/>
          <w:numId w:val="2"/>
        </w:numPr>
        <w:spacing w:after="30" w:line="224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Front-end capacity before your code freeze.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The critical path runs through your developers.</w:t>
      </w:r>
    </w:p>
    <w:p>
      <w:pPr>
        <w:pStyle w:val="ListParagraph"/>
        <w:numPr>
          <w:ilvl w:val="0"/>
          <w:numId w:val="2"/>
        </w:numPr>
        <w:spacing w:after="30" w:line="224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Security review booked early, with a named approver.</w:t>
      </w:r>
    </w:p>
    <w:sectPr>
      <w:headerReference w:type="first" r:id="rId7"/>
      <w:footerReference w:type="first" r:id="rId8"/>
      <w:pgSz w:w="12240" w:h="15840" w:orient="portrait"/>
      <w:pgMar w:top="792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0B5CAD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5A6472"/>
      </w:rPr>
    </w:lvl>
    <w:lvl w:ilvl="2" w15:tentative="1">
      <w:start w:val="1"/>
      <w:numFmt w:val="bullet"/>
      <w:lvlText w:val="·"/>
      <w:lvlJc w:val="left"/>
      <w:pPr>
        <w:ind w:left="1080" w:hanging="240"/>
      </w:pPr>
      <w:rPr>
        <w:color w:val="5A647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1142A"/>
      </w:rPr>
    </w:lvl>
    <w:lvl w:ilvl="1" w15:tentative="1">
      <w:start w:val="1"/>
      <w:numFmt w:val="lowerLetter"/>
      <w:lvlText w:val="%2."/>
      <w:lvlJc w:val="left"/>
      <w:pPr>
        <w:ind w:left="720" w:hanging="260"/>
      </w:pPr>
      <w:rPr>
        <w:b w:val="false"/>
        <w:bCs w:val="false"/>
        <w:color w:val="11142A"/>
      </w:rPr>
    </w:lvl>
    <w:lvl w:ilvl="2" w15:tentative="1">
      <w:start w:val="1"/>
      <w:numFmt w:val="decimal"/>
      <w:lvlText w:val="%3."/>
      <w:lvlJc w:val="left"/>
      <w:pPr>
        <w:ind w:left="1080" w:hanging="260"/>
      </w:pPr>
      <w:rPr>
        <w:b w:val="false"/>
        <w:bCs w:val="false"/>
        <w:color w:val="11142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>
      <w:pPr>
        <w:spacing w:after="90" w:line="23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at a glance</dc:title>
  <dc:creator>Optimizely</dc:creator>
  <dc:description>Behavioral Targeting and Intelligence: what each side does, and what we need from you</dc:description>
  <cp:lastModifiedBy>Un-named</cp:lastModifiedBy>
  <cp:revision>1</cp:revision>
  <dcterms:created xsi:type="dcterms:W3CDTF">2026-09-18T15:38:16.095Z</dcterms:created>
  <dcterms:modified xsi:type="dcterms:W3CDTF">2026-09-18T15:38:16.096Z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