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  <w:r>
        <w:rPr>
          <w:rFonts w:ascii="Calibri" w:cs="Calibri" w:eastAsia="Calibri" w:hAnsi="Calibri"/>
          <w:b/>
          <w:bCs/>
          <w:color w:val="0B5CAD"/>
          <w:spacing w:val="60"/>
          <w:sz w:val="20"/>
          <w:szCs w:val="20"/>
        </w:rPr>
        <w:t xml:space="preserve">OPTIMIZELY</w:t>
      </w:r>
    </w:p>
    <w:p>
      <w:pPr>
        <w:pBdr>
          <w:bottom w:val="single" w:color="0B5CAD" w:sz="18" w:space="10"/>
        </w:pBdr>
        <w:spacing w:after="80" w:before="200"/>
      </w:pPr>
      <w:r>
        <w:rPr>
          <w:rFonts w:ascii="Calibri" w:cs="Calibri" w:eastAsia="Calibri" w:hAnsi="Calibri"/>
          <w:b/>
          <w:bCs/>
          <w:color w:val="11142A"/>
          <w:sz w:val="52"/>
          <w:szCs w:val="52"/>
        </w:rPr>
        <w:t xml:space="preserve">Behavioral Targeting and Intelligence: Where Opal and AI Credits Fit, and Where They Never Do</w:t>
      </w:r>
    </w:p>
    <w:p>
      <w:pPr>
        <w:spacing w:after="700" w:before="200"/>
      </w:pPr>
      <w:r>
        <w:rPr>
          <w:rFonts w:ascii="Calibri" w:cs="Calibri" w:eastAsia="Calibri" w:hAnsi="Calibri"/>
          <w:color w:val="5A6472"/>
          <w:sz w:val="26"/>
          <w:szCs w:val="26"/>
        </w:rPr>
        <w:t xml:space="preserve">For account executives · Engine facts as of commit 8b4f74c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2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Account executives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2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Optimizely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2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2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October 2, 2026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2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Internal: Optimizely only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1142A"/>
          <w:sz w:val="30"/>
          <w:szCs w:val="30"/>
        </w:rPr>
        <w:t xml:space="preserve">Contents</w:t>
      </w:r>
    </w:p>
    <w:sdt>
      <w:sdtPr>
        <w:alias w:val="Contents"/>
      </w:sdtPr>
      <w:sdtContent>
        <w:p>
          <w:pPr>
            <w:pStyle w:val="TOC2"/>
            <w:tabs>
              <w:tab w:val="clear" w:pos="8786"/>
              <w:tab w:val="right" w:pos="9025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sec1">
            <w:r>
              <w:rPr>
                <w:rStyle w:val="IndexLink"/>
              </w:rPr>
              <w:t xml:space="default">Walk one shopper session, start to finish.</w:t>
              <w:tab/>
              <w:t xml:space="default"/>
            </w:r>
          </w:hyperlink>
        </w:p>
        <w:p>
          <w:pPr>
            <w:pStyle w:val="TOC2"/>
            <w:tabs>
              <w:tab w:val="clear" w:pos="8786"/>
              <w:tab w:val="right" w:pos="9025" w:leader="dot"/>
            </w:tabs>
          </w:pPr>
          <w:hyperlink w:history="1" w:anchor="sec2">
            <w:r>
              <w:rPr>
                <w:rStyle w:val="IndexLink"/>
              </w:rPr>
              <w:t xml:space="default">Credits scale with the team. The engine scales with traffic. Never cross the wires.</w:t>
              <w:tab/>
              <w:t xml:space="default"/>
            </w:r>
          </w:hyperlink>
        </w:p>
        <w:p>
          <w:pPr>
            <w:pStyle w:val="TOC2"/>
            <w:tabs>
              <w:tab w:val="clear" w:pos="8786"/>
              <w:tab w:val="right" w:pos="9025" w:leader="dot"/>
            </w:tabs>
          </w:pPr>
          <w:hyperlink w:history="1" w:anchor="sec3">
            <w:r>
              <w:rPr>
                <w:rStyle w:val="IndexLink"/>
              </w:rPr>
              <w:t xml:space="default">Three revenue lines, three different meters.</w:t>
              <w:tab/>
              <w:t xml:space="default"/>
            </w:r>
          </w:hyperlink>
        </w:p>
        <w:p>
          <w:pPr>
            <w:pStyle w:val="TOC2"/>
            <w:tabs>
              <w:tab w:val="clear" w:pos="8786"/>
              <w:tab w:val="right" w:pos="9025" w:leader="dot"/>
            </w:tabs>
          </w:pPr>
          <w:hyperlink w:history="1" w:anchor="sec4">
            <w:r>
              <w:rPr>
                <w:rStyle w:val="IndexLink"/>
              </w:rPr>
              <w:t xml:space="default">Three sentences that settle the AI-cost question.</w:t>
              <w:tab/>
              <w:t xml:space="default"/>
            </w:r>
          </w:hyperlink>
        </w:p>
        <w:p>
          <w:pPr>
            <w:pStyle w:val="TOC2"/>
            <w:tabs>
              <w:tab w:val="clear" w:pos="8786"/>
              <w:tab w:val="right" w:pos="9025" w:leader="dot"/>
            </w:tabs>
          </w:pPr>
          <w:hyperlink w:history="1" w:anchor="sec5">
            <w:r>
              <w:rPr>
                <w:rStyle w:val="IndexLink"/>
              </w:rPr>
              <w:t xml:space="default">The questions that come up on every deal.</w:t>
              <w:tab/>
              <w:t xml:space="default"/>
            </w:r>
          </w:hyperlink>
        </w:p>
        <w:p>
          <w:pPr>
            <w:pStyle w:val="TOC2"/>
            <w:tabs>
              <w:tab w:val="clear" w:pos="8786"/>
              <w:tab w:val="right" w:pos="9025" w:leader="dot"/>
            </w:tabs>
          </w:pPr>
          <w:hyperlink w:history="1" w:anchor="sec6">
            <w:r>
              <w:rPr>
                <w:rStyle w:val="IndexLink"/>
              </w:rPr>
              <w:t xml:space="default">The five lines, and what drives each.</w:t>
              <w:tab/>
              <w:t xml:space="default"/>
            </w:r>
          </w:hyperlink>
          <w:r>
            <w:fldChar w:fldCharType="end"/>
          </w:r>
        </w:p>
      </w:sdtContent>
    </w:sdt>
    <w:p>
      <w:r>
        <w:br w:type="pag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Internal only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AE · Pricing · Deal desk · Sales enablement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definitive map of which touchpoints consume token-based AI credits and which don't, so quotes are structured correctly and nobody promises, or fears, AI cost in the wrong place.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The one rule: memorize this</w:t>
      </w:r>
    </w:p>
    <w:tbl>
      <w:tblPr>
        <w:tblW w:type="dxa" w:w="9360"/>
        <w:tblBorders>
          <w:top w:val="single" w:color="C9D1DC" w:sz="4"/>
          <w:left w:val="single" w:color="C9D1DC" w:sz="4"/>
          <w:bottom w:val="single" w:color="C9D1DC" w:sz="4"/>
          <w:right w:val="single" w:color="C9D1DC" w:sz="4"/>
          <w:insideH w:val="single" w:color="C9D1DC" w:sz="2"/>
          <w:insideV w:val="single" w:color="C9D1DC" w:sz="2"/>
        </w:tblBorders>
      </w:tblPr>
      <w:tblGrid>
        <w:gridCol w:w="4827"/>
        <w:gridCol w:w="4533"/>
      </w:tblGrid>
      <w:tr>
        <w:trPr>
          <w:tblHeader/>
        </w:trPr>
        <w:tc>
          <w:tcPr>
            <w:tcW w:type="dxa" w:w="4827"/>
            <w:shd w:fill="E8ED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1142A"/>
                <w:sz w:val="19"/>
                <w:szCs w:val="19"/>
              </w:rPr>
              <w:t xml:space="preserve">During a shopper session</w:t>
            </w:r>
          </w:p>
        </w:tc>
        <w:tc>
          <w:tcPr>
            <w:tcW w:type="dxa" w:w="4533"/>
            <w:shd w:fill="E8ED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1142A"/>
                <w:sz w:val="19"/>
                <w:szCs w:val="19"/>
              </w:rPr>
              <w:t xml:space="preserve">Setup &amp; insight</w:t>
            </w:r>
          </w:p>
        </w:tc>
      </w:tr>
      <w:tr>
        <w:tc>
          <w:tcPr>
            <w:tcW w:type="dxa" w:w="482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The engine decides.</w:t>
            </w:r>
          </w:p>
        </w:tc>
        <w:tc>
          <w:tcPr>
            <w:tcW w:type="dxa" w:w="453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Opal creates &amp; explains.</w:t>
            </w:r>
          </w:p>
        </w:tc>
      </w:tr>
      <w:tr>
        <w:tc>
          <w:tcPr>
            <w:tcW w:type="dxa" w:w="4827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Scoring interest, picking content, ranking what each slot shows, giving the page its answer. Deterministic math on edge infrastructure.</w:t>
            </w:r>
          </w:p>
        </w:tc>
        <w:tc>
          <w:tcPr>
            <w:tcW w:type="dxa" w:w="4533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 person asks in natural language, or generative AI creates something: an audience, a test, a label, an image, an analysis.</w:t>
            </w:r>
          </w:p>
        </w:tc>
      </w:tr>
      <w:tr>
        <w:tc>
          <w:tcPr>
            <w:tcW w:type="dxa" w:w="482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● No AI · no credits · ever</w:t>
            </w:r>
          </w:p>
        </w:tc>
        <w:tc>
          <w:tcPr>
            <w:tcW w:type="dxa" w:w="453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● That's Opal · credit-metered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Opal is not connected to the engine today.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practical consequence: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AI credit consumption scales with the customer's team activity and feature adoption, never with shopper traffic.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Whether a site has one million sessions or ten million, its credit usage doesn't move.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01 · THE TOUCHPOINT MAP</w:t>
      </w:r>
    </w:p>
    <w:p>
      <w:pPr>
        <w:pStyle w:val="Heading2"/>
        <w:spacing w:after="160" w:before="320"/>
      </w:pPr>
      <w:bookmarkStart w:name="sec1" w:id="1"/>
      <w:r>
        <w:rPr>
          <w:rFonts w:ascii="Calibri" w:cs="Calibri" w:eastAsia="Calibri" w:hAnsi="Calibri"/>
          <w:b/>
          <w:bCs/>
          <w:color w:val="0B5CAD"/>
          <w:sz w:val="25"/>
          <w:szCs w:val="25"/>
        </w:rPr>
        <w:t xml:space="preserve">Walk one shopper session, start to finish.</w:t>
      </w:r>
      <w:bookmarkEnd w:id="1"/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Every touchpoint in the offering lands in one of three parts of a shopper's session: before, during or after.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Tap through them.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The middle part, the live session itself, is the one AEs get asked about most, and it's almost entirely credit-free.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Credits apply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Deterministic engine · no credits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Conditional / exception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Not decided or not offered</w:t>
      </w:r>
    </w:p>
    <w:p>
      <w:pPr>
        <w:spacing w:after="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Before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Setup &amp; authoring: this is design-time, and it's where credits legitimately live.</w:t>
      </w:r>
    </w:p>
    <w:tbl>
      <w:tblPr>
        <w:tblW w:type="dxa" w:w="9360"/>
        <w:tblBorders>
          <w:top w:val="single" w:color="C9D1DC" w:sz="4"/>
          <w:left w:val="single" w:color="C9D1DC" w:sz="4"/>
          <w:bottom w:val="single" w:color="C9D1DC" w:sz="4"/>
          <w:right w:val="single" w:color="C9D1DC" w:sz="4"/>
          <w:insideH w:val="single" w:color="C9D1DC" w:sz="2"/>
          <w:insideV w:val="single" w:color="C9D1DC" w:sz="2"/>
        </w:tblBorders>
      </w:tblPr>
      <w:tblGrid>
        <w:gridCol w:w="2266"/>
        <w:gridCol w:w="5626"/>
        <w:gridCol w:w="1468"/>
      </w:tblGrid>
      <w:tr>
        <w:trPr>
          <w:tblHeader/>
        </w:trPr>
        <w:tc>
          <w:tcPr>
            <w:tcW w:type="dxa" w:w="2266"/>
            <w:shd w:fill="E8ED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1142A"/>
                <w:sz w:val="19"/>
                <w:szCs w:val="19"/>
              </w:rPr>
              <w:t xml:space="preserve">Before</w:t>
            </w:r>
          </w:p>
        </w:tc>
        <w:tc>
          <w:tcPr>
            <w:tcW w:type="dxa" w:w="5626"/>
            <w:shd w:fill="E8ED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1142A"/>
                <w:sz w:val="19"/>
                <w:szCs w:val="19"/>
              </w:rPr>
              <w:t xml:space="preserve">Setup &amp; authoring</w:t>
            </w:r>
          </w:p>
        </w:tc>
        <w:tc>
          <w:tcPr>
            <w:tcW w:type="dxa" w:w="1468"/>
            <w:shd w:fill="E8ED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1142A"/>
                <w:sz w:val="19"/>
                <w:szCs w:val="19"/>
              </w:rPr>
              <w:t xml:space="preserve">Credits apply</w:t>
            </w:r>
          </w:p>
        </w:tc>
      </w:tr>
      <w:tr>
        <w:tc>
          <w:tcPr>
            <w:tcW w:type="dxa" w:w="226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Design-time tagging of the content catalog</w:t>
            </w:r>
          </w:p>
        </w:tc>
        <w:tc>
          <w:tcPr>
            <w:tcW w:type="dxa" w:w="56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 brand's own AI model, on its own key, reads the customer's content and suggests labels; a human approves each one. One-time per content batch, re-run when new content arrives.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Built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, off by default.</w:t>
            </w:r>
          </w:p>
        </w:tc>
        <w:tc>
          <w:tcPr>
            <w:tcW w:type="dxa" w:w="146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Credits not decided</w:t>
            </w:r>
          </w:p>
        </w:tc>
      </w:tr>
      <w:tr>
        <w:tc>
          <w:tcPr>
            <w:tcW w:type="dxa" w:w="2266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Create audiences via natural language</w:t>
            </w:r>
          </w:p>
        </w:tc>
        <w:tc>
          <w:tcPr>
            <w:tcW w:type="dxa" w:w="5626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“Build me a high-intent evening-shopper audience” → Opal creates it, as designed.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Open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: not wired to the engine today; the demos' stand-in creates audiences in Feature Experimentation, demo only.</w:t>
            </w:r>
          </w:p>
        </w:tc>
        <w:tc>
          <w:tcPr>
            <w:tcW w:type="dxa" w:w="1468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Credits per request</w:t>
            </w:r>
          </w:p>
        </w:tc>
      </w:tr>
      <w:tr>
        <w:tc>
          <w:tcPr>
            <w:tcW w:type="dxa" w:w="226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Create tests / experiments via natural language</w:t>
            </w:r>
          </w:p>
        </w:tc>
        <w:tc>
          <w:tcPr>
            <w:tcW w:type="dxa" w:w="562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“Launch a test on the hero for this audience” → Opal creates it in Feature Experimentation, as designed.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Open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: not wired to the engine today.</w:t>
            </w:r>
          </w:p>
        </w:tc>
        <w:tc>
          <w:tcPr>
            <w:tcW w:type="dxa" w:w="146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Credits per request</w:t>
            </w:r>
          </w:p>
        </w:tc>
      </w:tr>
      <w:tr>
        <w:tc>
          <w:tcPr>
            <w:tcW w:type="dxa" w:w="2266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Parameter / preset proposals</w:t>
            </w:r>
          </w:p>
        </w:tc>
        <w:tc>
          <w:tcPr>
            <w:tcW w:type="dxa" w:w="5626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“Fit my decay settings to my shoppers' actual behavior” → Opal proposes, human approves, as designed.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Open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: not wired to the engine today.</w:t>
            </w:r>
          </w:p>
        </w:tc>
        <w:tc>
          <w:tcPr>
            <w:tcW w:type="dxa" w:w="1468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Credits per request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Credits belong here, and that's correct.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These are people creating things in natural language, or AI tagging content at design time: quote credits against onboarding and steady authoring. Opal is not connected to the engine today, and whether tagging is billed as credits is still open.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During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The live shopper session: the part AEs get grilled on. Almost entirely credit-free.</w:t>
      </w:r>
    </w:p>
    <w:tbl>
      <w:tblPr>
        <w:tblW w:type="dxa" w:w="9360"/>
        <w:tblBorders>
          <w:top w:val="single" w:color="C9D1DC" w:sz="4"/>
          <w:left w:val="single" w:color="C9D1DC" w:sz="4"/>
          <w:bottom w:val="single" w:color="C9D1DC" w:sz="4"/>
          <w:right w:val="single" w:color="C9D1DC" w:sz="4"/>
          <w:insideH w:val="single" w:color="C9D1DC" w:sz="2"/>
          <w:insideV w:val="single" w:color="C9D1DC" w:sz="2"/>
        </w:tblBorders>
      </w:tblPr>
      <w:tblGrid>
        <w:gridCol w:w="2327"/>
        <w:gridCol w:w="5111"/>
        <w:gridCol w:w="1922"/>
      </w:tblGrid>
      <w:tr>
        <w:trPr>
          <w:tblHeader/>
        </w:trPr>
        <w:tc>
          <w:tcPr>
            <w:tcW w:type="dxa" w:w="2327"/>
            <w:shd w:fill="E8ED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1142A"/>
                <w:sz w:val="19"/>
                <w:szCs w:val="19"/>
              </w:rPr>
              <w:t xml:space="preserve">During</w:t>
            </w:r>
          </w:p>
        </w:tc>
        <w:tc>
          <w:tcPr>
            <w:tcW w:type="dxa" w:w="5111"/>
            <w:shd w:fill="E8ED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1142A"/>
                <w:sz w:val="19"/>
                <w:szCs w:val="19"/>
              </w:rPr>
              <w:t xml:space="preserve">The live shopper session</w:t>
            </w:r>
          </w:p>
        </w:tc>
        <w:tc>
          <w:tcPr>
            <w:tcW w:type="dxa" w:w="1922"/>
            <w:shd w:fill="E8ED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1142A"/>
                <w:sz w:val="19"/>
                <w:szCs w:val="19"/>
              </w:rPr>
              <w:t xml:space="preserve">No credits*</w:t>
            </w:r>
          </w:p>
        </w:tc>
      </w:tr>
      <w:tr>
        <w:tc>
          <w:tcPr>
            <w:tcW w:type="dxa" w:w="232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Live interest scoring &amp; audiences</w:t>
            </w:r>
          </w:p>
        </w:tc>
        <w:tc>
          <w:tcPr>
            <w:tcW w:type="dxa" w:w="511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 interest thermometer; shoppers flowing in and out of audiences during their session.</w:t>
            </w:r>
          </w:p>
        </w:tc>
        <w:tc>
          <w:tcPr>
            <w:tcW w:type="dxa" w:w="192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Never deterministic</w:t>
            </w:r>
          </w:p>
        </w:tc>
      </w:tr>
      <w:tr>
        <w:tc>
          <w:tcPr>
            <w:tcW w:type="dxa" w:w="2327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Content picks, product re-ranking, the ranked answer</w:t>
            </w:r>
          </w:p>
        </w:tc>
        <w:tc>
          <w:tcPr>
            <w:tcW w:type="dxa" w:w="5111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 engine choosing what each shopper sees in each slot, re-ranking a product list the commerce platform supplies, and answering the site, which renders it.</w:t>
            </w:r>
          </w:p>
        </w:tc>
        <w:tc>
          <w:tcPr>
            <w:tcW w:type="dxa" w:w="1922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Never</w:t>
            </w:r>
          </w:p>
        </w:tc>
      </w:tr>
      <w:tr>
        <w:tc>
          <w:tcPr>
            <w:tcW w:type="dxa" w:w="232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CMAB serving decisions</w:t>
            </w:r>
          </w:p>
        </w:tc>
        <w:tc>
          <w:tcPr>
            <w:tcW w:type="dxa" w:w="511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 bandit allocating variations at serve time: Optimizely's CMAB, a Feature Experimentation capability outside the engine. Connecting Feature Experimentation to a customer deployment is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Open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, and the CMAB screens in older demos simulate their results, demo only.</w:t>
            </w:r>
          </w:p>
        </w:tc>
        <w:tc>
          <w:tcPr>
            <w:tcW w:type="dxa" w:w="192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No credits FX licensing</w:t>
            </w:r>
          </w:p>
        </w:tc>
      </w:tr>
      <w:tr>
        <w:tc>
          <w:tcPr>
            <w:tcW w:type="dxa" w:w="2327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ODP event ingest, seed, profile updates</w:t>
            </w:r>
          </w:p>
        </w:tc>
        <w:tc>
          <w:tcPr>
            <w:tcW w:type="dxa" w:w="5111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ODP's own work as events flow in, outside the decision: the decision reads no ODP data. An ODP loop runs for the default demo tenant only, demo only; connecting ODP to a customer deployment is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Open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.</w:t>
            </w:r>
          </w:p>
        </w:tc>
        <w:tc>
          <w:tcPr>
            <w:tcW w:type="dxa" w:w="1922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No credits ODP licensing</w:t>
            </w:r>
          </w:p>
        </w:tc>
      </w:tr>
      <w:tr>
        <w:tc>
          <w:tcPr>
            <w:tcW w:type="dxa" w:w="232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Receipts</w:t>
            </w:r>
          </w:p>
        </w:tc>
        <w:tc>
          <w:tcPr>
            <w:tcW w:type="dxa" w:w="511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Every answer's “why,” generated as data by the engine; receipts are kept with the visitor's consent once recording is on.</w:t>
            </w:r>
          </w:p>
        </w:tc>
        <w:tc>
          <w:tcPr>
            <w:tcW w:type="dxa" w:w="192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Never</w:t>
            </w:r>
          </w:p>
        </w:tc>
      </w:tr>
      <w:tr>
        <w:tc>
          <w:tcPr>
            <w:tcW w:type="dxa" w:w="2327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Optional shopper-facing AI features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exception</w:t>
            </w:r>
          </w:p>
        </w:tc>
        <w:tc>
          <w:tcPr>
            <w:tcW w:type="dxa" w:w="5111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Typed search (“bags for a winter wedding”), style advisor chat, scene generation. Real generative calls, invoked by a shopper using the feature, and only if the customer licenses them. Typed search is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Built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and off by default; the advisor and scene generation are demo only.</w:t>
            </w:r>
          </w:p>
        </w:tc>
        <w:tc>
          <w:tcPr>
            <w:tcW w:type="dxa" w:w="1922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Metered per use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No page view ever burns a credit.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The decision path is deterministic. The single exception is optional shopper-facing AI, and only if licensed, flagged below.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After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Analysis, learning &amp; insight: the part where deals get misquoted. Read each row.</w:t>
      </w:r>
    </w:p>
    <w:tbl>
      <w:tblPr>
        <w:tblW w:type="dxa" w:w="9360"/>
        <w:tblBorders>
          <w:top w:val="single" w:color="C9D1DC" w:sz="4"/>
          <w:left w:val="single" w:color="C9D1DC" w:sz="4"/>
          <w:bottom w:val="single" w:color="C9D1DC" w:sz="4"/>
          <w:right w:val="single" w:color="C9D1DC" w:sz="4"/>
          <w:insideH w:val="single" w:color="C9D1DC" w:sz="2"/>
          <w:insideV w:val="single" w:color="C9D1DC" w:sz="2"/>
        </w:tblBorders>
      </w:tblPr>
      <w:tblGrid>
        <w:gridCol w:w="2260"/>
        <w:gridCol w:w="5581"/>
        <w:gridCol w:w="1519"/>
      </w:tblGrid>
      <w:tr>
        <w:trPr>
          <w:tblHeader/>
        </w:trPr>
        <w:tc>
          <w:tcPr>
            <w:tcW w:type="dxa" w:w="2260"/>
            <w:shd w:fill="E8ED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1142A"/>
                <w:sz w:val="19"/>
                <w:szCs w:val="19"/>
              </w:rPr>
              <w:t xml:space="preserve">After</w:t>
            </w:r>
          </w:p>
        </w:tc>
        <w:tc>
          <w:tcPr>
            <w:tcW w:type="dxa" w:w="5581"/>
            <w:shd w:fill="E8ED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1142A"/>
                <w:sz w:val="19"/>
                <w:szCs w:val="19"/>
              </w:rPr>
              <w:t xml:space="preserve">Analysis, learning &amp; insight</w:t>
            </w:r>
          </w:p>
        </w:tc>
        <w:tc>
          <w:tcPr>
            <w:tcW w:type="dxa" w:w="1519"/>
            <w:shd w:fill="E8ED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1142A"/>
                <w:sz w:val="19"/>
                <w:szCs w:val="19"/>
              </w:rPr>
              <w:t xml:space="preserve">Mixed: read closely</w:t>
            </w:r>
          </w:p>
        </w:tc>
      </w:tr>
      <w:tr>
        <w:tc>
          <w:tcPr>
            <w:tcW w:type="dxa" w:w="22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 learning itself</w:t>
            </w:r>
          </w:p>
        </w:tc>
        <w:tc>
          <w:tcPr>
            <w:tcW w:type="dxa" w:w="558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Which content converts, for whom: a deterministic statistics pipeline the engine runs on its own data.</w:t>
            </w:r>
          </w:p>
        </w:tc>
        <w:tc>
          <w:tcPr>
            <w:tcW w:type="dxa" w:w="151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Never the engine</w:t>
            </w:r>
          </w:p>
        </w:tc>
      </w:tr>
      <w:tr>
        <w:tc>
          <w:tcPr>
            <w:tcW w:type="dxa" w:w="226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“How is it performing / why did shoppers see X”</w:t>
            </w:r>
          </w:p>
        </w:tc>
        <w:tc>
          <w:tcPr>
            <w:tcW w:type="dxa" w:w="5581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Opal narrates results and explains decisions in plain language, as designed.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Open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: Opal is not connected to the engine today, and the engine's own reasons are arithmetic it produces itself.</w:t>
            </w:r>
          </w:p>
        </w:tc>
        <w:tc>
          <w:tcPr>
            <w:tcW w:type="dxa" w:w="1519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Credits per ask</w:t>
            </w:r>
          </w:p>
        </w:tc>
      </w:tr>
      <w:tr>
        <w:tc>
          <w:tcPr>
            <w:tcW w:type="dxa" w:w="22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Analytics through Opal</w:t>
            </w:r>
          </w:p>
        </w:tc>
        <w:tc>
          <w:tcPr>
            <w:tcW w:type="dxa" w:w="558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Opal querying and analyzing warehouse &amp; analytics data, as designed.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Open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: not connected to the engine today.</w:t>
            </w:r>
          </w:p>
        </w:tc>
        <w:tc>
          <w:tcPr>
            <w:tcW w:type="dxa" w:w="151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Credits per ask</w:t>
            </w:r>
          </w:p>
        </w:tc>
      </w:tr>
      <w:tr>
        <w:tc>
          <w:tcPr>
            <w:tcW w:type="dxa" w:w="226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Audience discovery from analyzed data</w:t>
            </w:r>
          </w:p>
        </w:tc>
        <w:tc>
          <w:tcPr>
            <w:tcW w:type="dxa" w:w="5581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“What cohorts are forming in my data?” → Opal mines and proposes, as designed.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Open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: not connected to the engine today.</w:t>
            </w:r>
          </w:p>
        </w:tc>
        <w:tc>
          <w:tcPr>
            <w:tcW w:type="dxa" w:w="1519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Credits per ask</w:t>
            </w:r>
          </w:p>
        </w:tc>
      </w:tr>
      <w:tr>
        <w:tc>
          <w:tcPr>
            <w:tcW w:type="dxa" w:w="22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Discovery proposals from the engine</w:t>
            </w:r>
          </w:p>
        </w:tc>
        <w:tc>
          <w:tcPr>
            <w:tcW w:type="dxa" w:w="558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“A tote-interest cohort is forming: want to activate it?” Proposals the engine raises on its own are switched off by policy and not offered.</w:t>
            </w:r>
          </w:p>
        </w:tc>
        <w:tc>
          <w:tcPr>
            <w:tcW w:type="dxa" w:w="151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Not offered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The split here is subtle: the learning costs no credits, but asking Opal about it does.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The engine’s own statistics cost no credits; narrating, analyzing, or mining them through Opal is credit-metered, as designed, and Opal is not connected to the engine today.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single asterisk on "During" is the one thing to keep straight: optional shopper-facing AI features are the lone credit-consuming exception in the live path, and only if the customer licenses them. Everything else during a session is deterministic.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same session as one figure, with each card's label: Built, Designed or Open.</w:t>
      </w:r>
    </w:p>
    <w:p>
      <w:pPr>
        <w:keepNext/>
        <w:spacing w:after="60" w:before="120" w:line="240"/>
        <w:jc w:val="center"/>
      </w:pPr>
      <w:r>
        <w:drawing>
          <wp:inline distT="0" distB="0" distL="0" distR="0">
            <wp:extent cx="5943600" cy="5230368"/>
            <wp:effectExtent t="0" r="0" b="0" l="0"/>
            <wp:docPr id="1" name="Figure 1" descr="One visitor's session: what happens before, during and af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30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A6472"/>
          <w:sz w:val="18"/>
          <w:szCs w:val="18"/>
        </w:rPr>
        <w:t xml:space="preserve">One visitor's session: what happens before, during and after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02 · WHY THIS MATTERS FOR PRICING</w:t>
      </w:r>
    </w:p>
    <w:p>
      <w:pPr>
        <w:pStyle w:val="Heading2"/>
        <w:spacing w:after="160" w:before="320"/>
      </w:pPr>
      <w:bookmarkStart w:name="sec2" w:id="2"/>
      <w:r>
        <w:rPr>
          <w:rFonts w:ascii="Calibri" w:cs="Calibri" w:eastAsia="Calibri" w:hAnsi="Calibri"/>
          <w:b/>
          <w:bCs/>
          <w:color w:val="0B5CAD"/>
          <w:sz w:val="25"/>
          <w:szCs w:val="25"/>
        </w:rPr>
        <w:t xml:space="preserve">Credits scale with the team. The engine scales with traffic. Never cross the wires.</w:t>
      </w:r>
      <w:bookmarkEnd w:id="2"/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This is the whole objection-killer. The moment credits appear to scale with traffic, a customer's finance team models worst-case AI cost against their traffic curve, and the deal stalls on a fear that isn't real.</w:t>
      </w:r>
    </w:p>
    <w:tbl>
      <w:tblPr>
        <w:tblW w:type="dxa" w:w="9360"/>
        <w:tblBorders>
          <w:top w:val="single" w:color="C9D1DC" w:sz="4"/>
          <w:left w:val="single" w:color="C9D1DC" w:sz="4"/>
          <w:bottom w:val="single" w:color="C9D1DC" w:sz="4"/>
          <w:right w:val="single" w:color="C9D1DC" w:sz="4"/>
          <w:insideH w:val="single" w:color="C9D1DC" w:sz="2"/>
          <w:insideV w:val="single" w:color="C9D1DC" w:sz="2"/>
        </w:tblBorders>
      </w:tblPr>
      <w:tblGrid>
        <w:gridCol w:w="5490"/>
        <w:gridCol w:w="3870"/>
      </w:tblGrid>
      <w:tr>
        <w:trPr>
          <w:tblHeader/>
        </w:trPr>
        <w:tc>
          <w:tcPr>
            <w:tcW w:type="dxa" w:w="5490"/>
            <w:shd w:fill="E8ED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1142A"/>
                <w:sz w:val="19"/>
                <w:szCs w:val="19"/>
              </w:rPr>
              <w:t xml:space="preserve">The engine</w:t>
            </w:r>
          </w:p>
        </w:tc>
        <w:tc>
          <w:tcPr>
            <w:tcW w:type="dxa" w:w="3870"/>
            <w:shd w:fill="E8ED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1142A"/>
                <w:sz w:val="19"/>
                <w:szCs w:val="19"/>
              </w:rPr>
              <w:t xml:space="preserve">Opal / AI credits</w:t>
            </w:r>
          </w:p>
        </w:tc>
      </w:tr>
      <w:tr>
        <w:tc>
          <w:tcPr>
            <w:tcW w:type="dxa" w:w="549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cost ↑ as sessions ↑</w:t>
            </w:r>
          </w:p>
        </w:tc>
        <w:tc>
          <w:tcPr>
            <w:tcW w:type="dxa" w:w="387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cost flat as sessions ↑</w:t>
            </w:r>
          </w:p>
        </w:tc>
      </w:tr>
      <w:tr>
        <w:tc>
          <w:tcPr>
            <w:tcW w:type="dxa" w:w="549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Scales with traffic</w:t>
            </w:r>
          </w:p>
        </w:tc>
        <w:tc>
          <w:tcPr>
            <w:tcW w:type="dxa" w:w="3870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Flat vs. traffic</w:t>
            </w:r>
          </w:p>
        </w:tc>
      </w:tr>
      <w:tr>
        <w:tc>
          <w:tcPr>
            <w:tcW w:type="dxa" w:w="549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Platform fee + usage, priced per visitor / session: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Designed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, a recommendation; its rates and the usage meter are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Open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. No AI cost inside it, by architecture.</w:t>
            </w:r>
          </w:p>
        </w:tc>
        <w:tc>
          <w:tcPr>
            <w:tcW w:type="dxa" w:w="387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Sized to the operator team: how often they author audiences, launch tests, ask questions.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Whether a site has one million sessions or ten million, the left line climbs and the right line doesn't move. That contrast is the cost-predictability selling point and the objection-killer in one picture.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03 · STRUCTURING THE QUOTE</w:t>
      </w:r>
    </w:p>
    <w:p>
      <w:pPr>
        <w:pStyle w:val="Heading2"/>
        <w:spacing w:after="160" w:before="320"/>
      </w:pPr>
      <w:bookmarkStart w:name="sec3" w:id="3"/>
      <w:r>
        <w:rPr>
          <w:rFonts w:ascii="Calibri" w:cs="Calibri" w:eastAsia="Calibri" w:hAnsi="Calibri"/>
          <w:b/>
          <w:bCs/>
          <w:color w:val="0B5CAD"/>
          <w:sz w:val="25"/>
          <w:szCs w:val="25"/>
        </w:rPr>
        <w:t xml:space="preserve">Three revenue lines, three different meters.</w:t>
      </w:r>
      <w:bookmarkEnd w:id="3"/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Keep them as separate lines. Each answers to a different driver, and blending them is where quotes go wrong.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The engine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Scales with traffic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Platform fee + usage, per monthly-tracked-visitor or per-1K-sessions: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Designed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a recommendation; its rates and the usage meter are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Open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No AI cost inside it, by architecture.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Opal credits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Scales with team activity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Credit packs sized to the operator team: merchandisers, analysts, how often they author and ask.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Authoring-heavy months (onboarding, campaign season) burn more; steady-state is modest.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Shopper-facing AI features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Scales with adoption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Optional add-on line: metered per invocation (searches, advisor conversations, new scenes generated), or bundled as an allowance.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Scales with feature adoption, not page views.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Typed search is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Built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and off by default; the advisor and scene generation are demo only.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The one thing never to do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Never blend lines 1 and 2 into one meter. The moment credits appear to scale with traffic, the customer's finance team will model worst-case AI costs against their traffic curve and the deal will stall on a fear that isn't real.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04 · SAY THESE VERBATIM</w:t>
      </w:r>
    </w:p>
    <w:p>
      <w:pPr>
        <w:pStyle w:val="Heading2"/>
        <w:spacing w:after="160" w:before="320"/>
      </w:pPr>
      <w:bookmarkStart w:name="sec4" w:id="4"/>
      <w:r>
        <w:rPr>
          <w:rFonts w:ascii="Calibri" w:cs="Calibri" w:eastAsia="Calibri" w:hAnsi="Calibri"/>
          <w:b/>
          <w:bCs/>
          <w:color w:val="0B5CAD"/>
          <w:sz w:val="25"/>
          <w:szCs w:val="25"/>
        </w:rPr>
        <w:t xml:space="preserve">Three sentences that settle the AI-cost question.</w:t>
      </w:r>
      <w:bookmarkEnd w:id="4"/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Each follows the documented credit rule, which is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Designed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; the billing meter is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Open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On traffic &amp; credits</w:t>
      </w:r>
    </w:p>
    <w:tbl>
      <w:tblPr>
        <w:tblW w:type="dxa" w:w="9360"/>
        <w:tblBorders>
          <w:top w:val="single" w:color="C9D1DC" w:sz="4"/>
          <w:left w:val="single" w:color="11142A" w:sz="18"/>
          <w:bottom w:val="single" w:color="C9D1DC" w:sz="4"/>
          <w:right w:val="single" w:color="C9D1DC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64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Shopper traffic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never</w:t>
            </w: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consumes AI credits: the decision path is deterministic math on edge infrastructure, priced as platform usage.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On what credits track</w:t>
      </w:r>
    </w:p>
    <w:tbl>
      <w:tblPr>
        <w:tblW w:type="dxa" w:w="9360"/>
        <w:tblBorders>
          <w:top w:val="single" w:color="C9D1DC" w:sz="4"/>
          <w:left w:val="single" w:color="11142A" w:sz="18"/>
          <w:bottom w:val="single" w:color="C9D1DC" w:sz="4"/>
          <w:right w:val="single" w:color="C9D1DC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64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Credits scale with your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team's</w:t>
            </w: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questions and creations, such as audiences, tests and analyses, not with your shoppers' clicks.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On the optional shopper AI features</w:t>
      </w:r>
    </w:p>
    <w:tbl>
      <w:tblPr>
        <w:tblW w:type="dxa" w:w="9360"/>
        <w:tblBorders>
          <w:top w:val="single" w:color="C9D1DC" w:sz="4"/>
          <w:left w:val="single" w:color="11142A" w:sz="18"/>
          <w:bottom w:val="single" w:color="C9D1DC" w:sz="4"/>
          <w:right w:val="single" w:color="C9D1DC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64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The optional AI shopping features are metered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only when a shopper actually uses them</w:t>
            </w: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, so you pay per use, not per view.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05 · QUICK FAQ</w:t>
      </w:r>
    </w:p>
    <w:p>
      <w:pPr>
        <w:pStyle w:val="Heading2"/>
        <w:spacing w:after="160" w:before="320"/>
      </w:pPr>
      <w:bookmarkStart w:name="sec5" w:id="5"/>
      <w:r>
        <w:rPr>
          <w:rFonts w:ascii="Calibri" w:cs="Calibri" w:eastAsia="Calibri" w:hAnsi="Calibri"/>
          <w:b/>
          <w:bCs/>
          <w:color w:val="0B5CAD"/>
          <w:sz w:val="25"/>
          <w:szCs w:val="25"/>
        </w:rPr>
        <w:t xml:space="preserve">The questions that come up on every deal.</w:t>
      </w:r>
      <w:bookmarkEnd w:id="5"/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If the engine is so smart, why doesn't it use AI credits?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Because it deliberately calls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no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AI model to decide: it's transparent scoring math. That's a feature (cost-predictability, explainability), not a limitation. It's the anti-black-box argument that wins engineering teams.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Does the learning loop cost credits?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No. The learning, which content converts and for whom, is the engine's own statistics pipeline running on its own data. Asking Opal to </w:t>
      </w: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explain or analyze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those results is what costs credits, and Opal is not connected to the engine today.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Is the content auto-tagging a recurring cost?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Per content batch: large at onboarding, a small trickle as new content arrives. Whether it is billed as credits is still open, so quote it with onboarding only once that is decided.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What if the customer never buys Opal credits?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The engine runs fully without them: no decision calls an AI model, and the team reads receipts and the day report directly in the operator console. Opal is the natural-language accelerant and the transparency narrator, as designed: a strong attach, not a dependency.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Which products are on the order form?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ODP (the customer data platform), Feature Experimentation (activation/testing), Opal credits (authoring + insight), the engine itself (the new offering line), and optional shopper AI features. ODP and Feature Experimentation have their own licenses and sit outside the decision path. See the map below.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06 · WHAT'S ON THE ORDER FORM</w:t>
      </w:r>
    </w:p>
    <w:p>
      <w:pPr>
        <w:pStyle w:val="Heading2"/>
        <w:spacing w:after="160" w:before="320"/>
      </w:pPr>
      <w:bookmarkStart w:name="sec6" w:id="6"/>
      <w:r>
        <w:rPr>
          <w:rFonts w:ascii="Calibri" w:cs="Calibri" w:eastAsia="Calibri" w:hAnsi="Calibri"/>
          <w:b/>
          <w:bCs/>
          <w:color w:val="0B5CAD"/>
          <w:sz w:val="25"/>
          <w:szCs w:val="25"/>
        </w:rPr>
        <w:t xml:space="preserve">The five lines, and what drives each.</w:t>
      </w:r>
      <w:bookmarkEnd w:id="6"/>
    </w:p>
    <w:tbl>
      <w:tblPr>
        <w:tblW w:type="dxa" w:w="9360"/>
        <w:tblBorders>
          <w:top w:val="single" w:color="C9D1DC" w:sz="4"/>
          <w:left w:val="single" w:color="C9D1DC" w:sz="4"/>
          <w:bottom w:val="single" w:color="C9D1DC" w:sz="4"/>
          <w:right w:val="single" w:color="C9D1DC" w:sz="4"/>
          <w:insideH w:val="single" w:color="C9D1DC" w:sz="2"/>
          <w:insideV w:val="single" w:color="C9D1DC" w:sz="2"/>
        </w:tblBorders>
      </w:tblPr>
      <w:tblGrid>
        <w:gridCol w:w="2265"/>
        <w:gridCol w:w="5317"/>
        <w:gridCol w:w="1778"/>
      </w:tblGrid>
      <w:tr>
        <w:trPr>
          <w:tblHeader/>
        </w:trPr>
        <w:tc>
          <w:tcPr>
            <w:tcW w:type="dxa" w:w="2265"/>
            <w:shd w:fill="E8ED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1142A"/>
                <w:sz w:val="19"/>
                <w:szCs w:val="19"/>
              </w:rPr>
              <w:t xml:space="preserve">Line</w:t>
            </w:r>
          </w:p>
        </w:tc>
        <w:tc>
          <w:tcPr>
            <w:tcW w:type="dxa" w:w="5317"/>
            <w:shd w:fill="E8ED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1142A"/>
                <w:sz w:val="19"/>
                <w:szCs w:val="19"/>
              </w:rPr>
              <w:t xml:space="preserve">What it is</w:t>
            </w:r>
          </w:p>
        </w:tc>
        <w:tc>
          <w:tcPr>
            <w:tcW w:type="dxa" w:w="1778"/>
            <w:shd w:fill="E8ED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1142A"/>
                <w:sz w:val="19"/>
                <w:szCs w:val="19"/>
              </w:rPr>
              <w:t xml:space="preserve">What drives it</w:t>
            </w:r>
          </w:p>
        </w:tc>
      </w:tr>
      <w:tr>
        <w:tc>
          <w:tcPr>
            <w:tcW w:type="dxa" w:w="226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ODP</w:t>
            </w:r>
          </w:p>
        </w:tc>
        <w:tc>
          <w:tcPr>
            <w:tcW w:type="dxa" w:w="531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 customer data platform: profiles, audiences, outcomes. Outside the decision path; connecting it to a customer deployment is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Open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.</w:t>
            </w:r>
          </w:p>
        </w:tc>
        <w:tc>
          <w:tcPr>
            <w:tcW w:type="dxa" w:w="177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Own licensing</w:t>
            </w:r>
          </w:p>
        </w:tc>
      </w:tr>
      <w:tr>
        <w:tc>
          <w:tcPr>
            <w:tcW w:type="dxa" w:w="2265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Feature Experimentation</w:t>
            </w:r>
          </w:p>
        </w:tc>
        <w:tc>
          <w:tcPr>
            <w:tcW w:type="dxa" w:w="5317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Activation &amp; testing: flags, experiments, CMAB. Outside the decision path; connecting it to a customer deployment is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Open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.</w:t>
            </w:r>
          </w:p>
        </w:tc>
        <w:tc>
          <w:tcPr>
            <w:tcW w:type="dxa" w:w="1778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Own licensing</w:t>
            </w:r>
          </w:p>
        </w:tc>
      </w:tr>
      <w:tr>
        <w:tc>
          <w:tcPr>
            <w:tcW w:type="dxa" w:w="226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 engine</w:t>
            </w:r>
          </w:p>
        </w:tc>
        <w:tc>
          <w:tcPr>
            <w:tcW w:type="dxa" w:w="531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 new offering line: in-session interest scoring, content matching, the ranked answer.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Designed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as a recommendation; its rates and usage meter are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Open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.</w:t>
            </w:r>
          </w:p>
        </w:tc>
        <w:tc>
          <w:tcPr>
            <w:tcW w:type="dxa" w:w="177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Scales with traffic</w:t>
            </w:r>
          </w:p>
        </w:tc>
      </w:tr>
      <w:tr>
        <w:tc>
          <w:tcPr>
            <w:tcW w:type="dxa" w:w="2265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Opal credits</w:t>
            </w:r>
          </w:p>
        </w:tc>
        <w:tc>
          <w:tcPr>
            <w:tcW w:type="dxa" w:w="5317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Authoring + insight: the natural-language layer.</w:t>
            </w:r>
          </w:p>
        </w:tc>
        <w:tc>
          <w:tcPr>
            <w:tcW w:type="dxa" w:w="1778"/>
            <w:shd w:fill="F6F8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Scales with team activity</w:t>
            </w:r>
          </w:p>
        </w:tc>
      </w:tr>
      <w:tr>
        <w:tc>
          <w:tcPr>
            <w:tcW w:type="dxa" w:w="226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Shopper-facing AI features</w:t>
            </w:r>
          </w:p>
        </w:tc>
        <w:tc>
          <w:tcPr>
            <w:tcW w:type="dxa" w:w="531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Optional: typed search, style advisor, scene generation. Typed search is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Built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 and off by default; the advisor and scene generation are demo only.</w:t>
            </w:r>
          </w:p>
        </w:tc>
        <w:tc>
          <w:tcPr>
            <w:tcW w:type="dxa" w:w="177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Scales with adoption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Three different meters across five lines. Each tag names its driver in words, the same words the meters above use.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INTERNAL REFERENCE · OPAL &amp; AI-CREDIT PLACEMENT · AE / PRICING / DEAL DESK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THE ENGINE DECIDES · OPAL CREATES &amp; EXPLAINS · CREDITS FOLLOW THE TEAM, NOT THE TRAFFIC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Calibri" w:cs="Calibri" w:eastAsia="Calibri" w:hAnsi="Calibri"/>
        <w:color w:val="5A6472"/>
        <w:sz w:val="17"/>
        <w:szCs w:val="17"/>
      </w:rPr>
      <w:t xml:space="preserve">Account executives  ·  1.0</w:t>
    </w:r>
    <w:r>
      <w:rPr>
        <w:rFonts w:ascii="Calibri" w:cs="Calibri" w:eastAsia="Calibri" w:hAnsi="Calibri"/>
        <w:sz w:val="17"/>
        <w:szCs w:val="17"/>
      </w:rPr>
      <w:t xml:space="preserve">	</w:t>
    </w:r>
    <w:r>
      <w:rPr>
        <w:rFonts w:ascii="Calibri" w:cs="Calibri" w:eastAsia="Calibri" w:hAnsi="Calibri"/>
        <w:color w:val="5A6472"/>
        <w:sz w:val="17"/>
        <w:szCs w:val="17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1DC" w:sz="4" w:space="4"/>
      </w:pBdr>
      <w:tabs>
        <w:tab w:val="right" w:pos="9360"/>
      </w:tabs>
    </w:pPr>
    <w:r>
      <w:rPr>
        <w:rFonts w:ascii="Calibri" w:cs="Calibri" w:eastAsia="Calibri" w:hAnsi="Calibri"/>
        <w:color w:val="5A6472"/>
        <w:sz w:val="17"/>
        <w:szCs w:val="17"/>
      </w:rPr>
      <w:t xml:space="preserve">Behavioral Targeting and Intelligence: Where Opal and AI Credits Fit, and Where They Never Do</w:t>
    </w:r>
    <w:r>
      <w:rPr>
        <w:rFonts w:ascii="Calibri" w:cs="Calibri" w:eastAsia="Calibri" w:hAnsi="Calibri"/>
        <w:color w:val="5A6472"/>
        <w:sz w:val="17"/>
        <w:szCs w:val="17"/>
      </w:rPr>
      <w:t xml:space="preserve">	Internal: Optimizely only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60" w:hanging="240"/>
      </w:pPr>
      <w:rPr>
        <w:color w:val="0B5CAD"/>
      </w:rPr>
    </w:lvl>
    <w:lvl w:ilvl="1" w15:tentative="1">
      <w:start w:val="1"/>
      <w:numFmt w:val="bullet"/>
      <w:lvlText w:val="–"/>
      <w:lvlJc w:val="left"/>
      <w:pPr>
        <w:ind w:left="720" w:hanging="240"/>
      </w:pPr>
      <w:rPr>
        <w:color w:val="5A6472"/>
      </w:rPr>
    </w:lvl>
    <w:lvl w:ilvl="2" w15:tentative="1">
      <w:start w:val="1"/>
      <w:numFmt w:val="bullet"/>
      <w:lvlText w:val="·"/>
      <w:lvlJc w:val="left"/>
      <w:pPr>
        <w:ind w:left="1080" w:hanging="240"/>
      </w:pPr>
      <w:rPr>
        <w:color w:val="5A647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400"/>
      </w:pPr>
      <w:rPr>
        <w:b/>
        <w:bCs/>
        <w:color w:val="11142A"/>
      </w:rPr>
    </w:lvl>
    <w:lvl w:ilvl="1" w15:tentative="1">
      <w:start w:val="1"/>
      <w:numFmt w:val="lowerLetter"/>
      <w:lvlText w:val="%2."/>
      <w:lvlJc w:val="left"/>
      <w:pPr>
        <w:ind w:left="880" w:hanging="400"/>
      </w:pPr>
      <w:rPr>
        <w:b w:val="false"/>
        <w:bCs w:val="false"/>
        <w:color w:val="11142A"/>
      </w:rPr>
    </w:lvl>
    <w:lvl w:ilvl="2" w15:tentative="1">
      <w:start w:val="1"/>
      <w:numFmt w:val="decimal"/>
      <w:lvlText w:val="%3."/>
      <w:lvlJc w:val="left"/>
      <w:pPr>
        <w:ind w:left="1240" w:hanging="400"/>
      </w:pPr>
      <w:rPr>
        <w:b w:val="false"/>
        <w:bCs w:val="false"/>
        <w:color w:val="11142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pPr>
      <w:spacing w:after="40" w:before="140"/>
    </w:pPr>
    <w:rPr>
      <w:rFonts w:ascii="Calibri" w:cs="Calibri" w:eastAsia="Calibri" w:hAnsi="Calibri"/>
      <w:b/>
      <w:bCs/>
      <w:color w:val="11142A"/>
      <w:sz w:val="22"/>
      <w:szCs w:val="22"/>
    </w:rPr>
  </w:style>
  <w:style w:type="paragraph" w:styleId="TOC2">
    <w:name w:val="toc 2"/>
    <w:basedOn w:val="Normal"/>
    <w:next w:val="Normal"/>
    <w:pPr>
      <w:spacing w:after="30" w:before="0"/>
      <w:ind w:left="360"/>
    </w:pPr>
    <w:rPr>
      <w:rFonts w:ascii="Calibri" w:cs="Calibri" w:eastAsia="Calibri" w:hAnsi="Calibri"/>
      <w:color w:val="1A1A1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29884ab051e4e99b015a3318489a185902892dc5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Behavioral Targeting and Intelligence: Where Opal and AI Credits Fit, and Where They Never Do</dc:title>
  <dc:creator>Optimizely</dc:creator>
  <dc:description>For account executives · Engine facts as of commit 8b4f74c</dc:description>
  <cp:lastModifiedBy>Un-named</cp:lastModifiedBy>
  <cp:revision>1</cp:revision>
  <dcterms:created xsi:type="dcterms:W3CDTF">2026-10-02T18:56:32.958Z</dcterms:created>
  <dcterms:modified xsi:type="dcterms:W3CDTF">2026-10-02T18:56:32.959Z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