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B9DDC7" w14:textId="77777777" w:rsidR="00390083" w:rsidRPr="00390083" w:rsidRDefault="00390083" w:rsidP="00390083">
      <w:pPr>
        <w:spacing w:before="100" w:beforeAutospacing="1" w:after="100" w:afterAutospacing="1"/>
        <w:jc w:val="left"/>
        <w:outlineLvl w:val="2"/>
        <w:rPr>
          <w:rFonts w:ascii="Times New Roman" w:eastAsia="Times New Roman" w:hAnsi="Times New Roman" w:cs="Times New Roman"/>
          <w:b/>
          <w:bCs/>
          <w:color w:val="000000"/>
          <w:kern w:val="0"/>
          <w:sz w:val="27"/>
          <w:szCs w:val="27"/>
          <w:lang w:eastAsia="it-IT"/>
          <w14:ligatures w14:val="none"/>
        </w:rPr>
      </w:pPr>
      <w:r w:rsidRPr="00390083">
        <w:rPr>
          <w:rFonts w:ascii="Times New Roman" w:eastAsia="Times New Roman" w:hAnsi="Times New Roman" w:cs="Times New Roman"/>
          <w:b/>
          <w:bCs/>
          <w:color w:val="000000"/>
          <w:kern w:val="0"/>
          <w:sz w:val="27"/>
          <w:szCs w:val="27"/>
          <w:lang w:eastAsia="it-IT"/>
          <w14:ligatures w14:val="none"/>
        </w:rPr>
        <w:t>Nota della Tabella 4.26</w:t>
      </w:r>
    </w:p>
    <w:p w14:paraId="707DDDD4" w14:textId="77777777" w:rsidR="00390083" w:rsidRPr="00390083" w:rsidRDefault="00390083" w:rsidP="00390083">
      <w:pPr>
        <w:spacing w:before="100" w:beforeAutospacing="1" w:after="100" w:afterAutospacing="1"/>
        <w:jc w:val="left"/>
        <w:rPr>
          <w:rFonts w:ascii="Times New Roman" w:eastAsia="Times New Roman" w:hAnsi="Times New Roman" w:cs="Times New Roman"/>
          <w:color w:val="000000"/>
          <w:kern w:val="0"/>
          <w:lang w:eastAsia="it-IT"/>
          <w14:ligatures w14:val="none"/>
        </w:rPr>
      </w:pPr>
      <w:r w:rsidRPr="00390083">
        <w:rPr>
          <w:rFonts w:ascii="Times New Roman" w:eastAsia="Times New Roman" w:hAnsi="Times New Roman" w:cs="Times New Roman"/>
          <w:b/>
          <w:bCs/>
          <w:color w:val="000000"/>
          <w:kern w:val="0"/>
          <w:lang w:eastAsia="it-IT"/>
          <w14:ligatures w14:val="none"/>
        </w:rPr>
        <w:t>Nota.</w:t>
      </w:r>
      <w:r w:rsidRPr="00390083">
        <w:rPr>
          <w:rFonts w:ascii="Times New Roman" w:eastAsia="Times New Roman" w:hAnsi="Times New Roman" w:cs="Times New Roman"/>
          <w:color w:val="000000"/>
          <w:kern w:val="0"/>
          <w:lang w:eastAsia="it-IT"/>
          <w14:ligatures w14:val="none"/>
        </w:rPr>
        <w:t xml:space="preserve"> IC = controllo inibitorio; FX = flessibilità; WM = memoria di lavoro; RG = regolazione; </w:t>
      </w:r>
      <w:proofErr w:type="spellStart"/>
      <w:r w:rsidRPr="00390083">
        <w:rPr>
          <w:rFonts w:ascii="Times New Roman" w:eastAsia="Times New Roman" w:hAnsi="Times New Roman" w:cs="Times New Roman"/>
          <w:color w:val="000000"/>
          <w:kern w:val="0"/>
          <w:lang w:eastAsia="it-IT"/>
          <w14:ligatures w14:val="none"/>
        </w:rPr>
        <w:t>n.d.</w:t>
      </w:r>
      <w:proofErr w:type="spellEnd"/>
      <w:r w:rsidRPr="00390083">
        <w:rPr>
          <w:rFonts w:ascii="Times New Roman" w:eastAsia="Times New Roman" w:hAnsi="Times New Roman" w:cs="Times New Roman"/>
          <w:color w:val="000000"/>
          <w:kern w:val="0"/>
          <w:lang w:eastAsia="it-IT"/>
          <w14:ligatures w14:val="none"/>
        </w:rPr>
        <w:t xml:space="preserve"> = dato non disponibile. Sono evidenziati i punteggi collocati indicativamente almeno una deviazione standard al di sotto della media osservata nel campione totale dello studio. I punteggi corrispondenti al </w:t>
      </w:r>
      <w:proofErr w:type="gramStart"/>
      <w:r w:rsidRPr="00390083">
        <w:rPr>
          <w:rFonts w:ascii="Times New Roman" w:eastAsia="Times New Roman" w:hAnsi="Times New Roman" w:cs="Times New Roman"/>
          <w:color w:val="000000"/>
          <w:kern w:val="0"/>
          <w:lang w:eastAsia="it-IT"/>
          <w14:ligatures w14:val="none"/>
        </w:rPr>
        <w:t>10°</w:t>
      </w:r>
      <w:proofErr w:type="gramEnd"/>
      <w:r w:rsidRPr="00390083">
        <w:rPr>
          <w:rFonts w:ascii="Times New Roman" w:eastAsia="Times New Roman" w:hAnsi="Times New Roman" w:cs="Times New Roman"/>
          <w:color w:val="000000"/>
          <w:kern w:val="0"/>
          <w:lang w:eastAsia="it-IT"/>
          <w14:ligatures w14:val="none"/>
        </w:rPr>
        <w:t xml:space="preserve"> e al </w:t>
      </w:r>
      <w:proofErr w:type="gramStart"/>
      <w:r w:rsidRPr="00390083">
        <w:rPr>
          <w:rFonts w:ascii="Times New Roman" w:eastAsia="Times New Roman" w:hAnsi="Times New Roman" w:cs="Times New Roman"/>
          <w:color w:val="000000"/>
          <w:kern w:val="0"/>
          <w:lang w:eastAsia="it-IT"/>
          <w14:ligatures w14:val="none"/>
        </w:rPr>
        <w:t>20°</w:t>
      </w:r>
      <w:proofErr w:type="gramEnd"/>
      <w:r w:rsidRPr="00390083">
        <w:rPr>
          <w:rFonts w:ascii="Times New Roman" w:eastAsia="Times New Roman" w:hAnsi="Times New Roman" w:cs="Times New Roman"/>
          <w:color w:val="000000"/>
          <w:kern w:val="0"/>
          <w:lang w:eastAsia="it-IT"/>
          <w14:ligatures w14:val="none"/>
        </w:rPr>
        <w:t xml:space="preserve"> percentile della distribuzione osservata nel campione totale sono, rispettivamente: IC = 2,8 e 3,3; FX = 3,4 e 3,9; WM = 3,5 e 4,0; RG = 3,3 e 3,7. Tali valori costituiscono riferimenti descrittivi interni al campione dello studio, non distinti per fascia d’età, e non assumono valore normativo.</w:t>
      </w:r>
    </w:p>
    <w:p w14:paraId="27173DCB" w14:textId="141402AE" w:rsidR="00390083" w:rsidRDefault="00390083">
      <w:pPr>
        <w:rPr>
          <w:rFonts w:ascii="-webkit-standard" w:hAnsi="-webkit-standard"/>
          <w:color w:val="000000"/>
          <w:sz w:val="27"/>
          <w:szCs w:val="27"/>
        </w:rPr>
      </w:pPr>
      <w:r>
        <w:rPr>
          <w:rFonts w:ascii="-webkit-standard" w:hAnsi="-webkit-standard"/>
          <w:color w:val="000000"/>
          <w:sz w:val="27"/>
          <w:szCs w:val="27"/>
        </w:rPr>
        <w:t>(</w:t>
      </w:r>
      <w:r>
        <w:rPr>
          <w:rFonts w:ascii="-webkit-standard" w:hAnsi="-webkit-standard"/>
          <w:color w:val="000000"/>
          <w:sz w:val="27"/>
          <w:szCs w:val="27"/>
        </w:rPr>
        <w:t>Il corpo della Tabella 4.26 rimane invariato.</w:t>
      </w:r>
      <w:r>
        <w:rPr>
          <w:rFonts w:ascii="-webkit-standard" w:hAnsi="-webkit-standard"/>
          <w:color w:val="000000"/>
          <w:sz w:val="27"/>
          <w:szCs w:val="27"/>
        </w:rPr>
        <w:t>)</w:t>
      </w:r>
    </w:p>
    <w:p w14:paraId="40BC9284" w14:textId="77777777" w:rsidR="00390083" w:rsidRDefault="00390083">
      <w:pPr>
        <w:rPr>
          <w:rFonts w:ascii="-webkit-standard" w:hAnsi="-webkit-standard"/>
          <w:color w:val="000000"/>
          <w:sz w:val="27"/>
          <w:szCs w:val="27"/>
        </w:rPr>
      </w:pPr>
    </w:p>
    <w:p w14:paraId="46460D9E" w14:textId="77777777" w:rsidR="00390083" w:rsidRDefault="00390083">
      <w:pPr>
        <w:rPr>
          <w:rFonts w:ascii="-webkit-standard" w:hAnsi="-webkit-standard"/>
          <w:color w:val="000000"/>
          <w:sz w:val="27"/>
          <w:szCs w:val="27"/>
        </w:rPr>
      </w:pPr>
    </w:p>
    <w:p w14:paraId="7C938398" w14:textId="77777777" w:rsidR="00390083" w:rsidRDefault="00390083">
      <w:pPr>
        <w:rPr>
          <w:rFonts w:ascii="-webkit-standard" w:hAnsi="-webkit-standard"/>
          <w:color w:val="000000"/>
          <w:sz w:val="27"/>
          <w:szCs w:val="27"/>
        </w:rPr>
      </w:pPr>
    </w:p>
    <w:p w14:paraId="40F1734A" w14:textId="77777777" w:rsidR="00390083" w:rsidRPr="00390083" w:rsidRDefault="00390083" w:rsidP="00390083">
      <w:pPr>
        <w:spacing w:before="100" w:beforeAutospacing="1" w:after="100" w:afterAutospacing="1"/>
        <w:jc w:val="left"/>
        <w:outlineLvl w:val="2"/>
        <w:rPr>
          <w:rFonts w:ascii="Times New Roman" w:eastAsia="Times New Roman" w:hAnsi="Times New Roman" w:cs="Times New Roman"/>
          <w:b/>
          <w:bCs/>
          <w:color w:val="000000"/>
          <w:kern w:val="0"/>
          <w:sz w:val="27"/>
          <w:szCs w:val="27"/>
          <w:lang w:eastAsia="it-IT"/>
          <w14:ligatures w14:val="none"/>
        </w:rPr>
      </w:pPr>
      <w:r w:rsidRPr="00390083">
        <w:rPr>
          <w:rFonts w:ascii="Times New Roman" w:eastAsia="Times New Roman" w:hAnsi="Times New Roman" w:cs="Times New Roman"/>
          <w:b/>
          <w:bCs/>
          <w:color w:val="000000"/>
          <w:kern w:val="0"/>
          <w:sz w:val="27"/>
          <w:szCs w:val="27"/>
          <w:lang w:eastAsia="it-IT"/>
          <w14:ligatures w14:val="none"/>
        </w:rPr>
        <w:t>4.3.3 — paragrafo EEFQ definitivo</w:t>
      </w:r>
    </w:p>
    <w:p w14:paraId="09E0B9E6" w14:textId="77777777" w:rsidR="00390083" w:rsidRPr="00390083" w:rsidRDefault="00390083" w:rsidP="00390083">
      <w:pPr>
        <w:spacing w:before="100" w:beforeAutospacing="1" w:after="100" w:afterAutospacing="1"/>
        <w:jc w:val="left"/>
        <w:rPr>
          <w:rFonts w:ascii="Times New Roman" w:eastAsia="Times New Roman" w:hAnsi="Times New Roman" w:cs="Times New Roman"/>
          <w:color w:val="000000"/>
          <w:kern w:val="0"/>
          <w:lang w:eastAsia="it-IT"/>
          <w14:ligatures w14:val="none"/>
        </w:rPr>
      </w:pPr>
      <w:r w:rsidRPr="00390083">
        <w:rPr>
          <w:rFonts w:ascii="Times New Roman" w:eastAsia="Times New Roman" w:hAnsi="Times New Roman" w:cs="Times New Roman"/>
          <w:color w:val="000000"/>
          <w:kern w:val="0"/>
          <w:lang w:eastAsia="it-IT"/>
          <w14:ligatures w14:val="none"/>
        </w:rPr>
        <w:t xml:space="preserve">Anche i punteggi dell’EEFQ evidenziano una marcata eterogeneità tra i bambini selezionati. Considerando come riferimento i valori osservati nel campione totale dello studio, gli scostamenti più consistenti non interessano una singola dimensione, ma risultano distribuiti tra le diverse </w:t>
      </w:r>
      <w:proofErr w:type="spellStart"/>
      <w:r w:rsidRPr="00390083">
        <w:rPr>
          <w:rFonts w:ascii="Times New Roman" w:eastAsia="Times New Roman" w:hAnsi="Times New Roman" w:cs="Times New Roman"/>
          <w:color w:val="000000"/>
          <w:kern w:val="0"/>
          <w:lang w:eastAsia="it-IT"/>
          <w14:ligatures w14:val="none"/>
        </w:rPr>
        <w:t>sottoscale</w:t>
      </w:r>
      <w:proofErr w:type="spellEnd"/>
      <w:r w:rsidRPr="00390083">
        <w:rPr>
          <w:rFonts w:ascii="Times New Roman" w:eastAsia="Times New Roman" w:hAnsi="Times New Roman" w:cs="Times New Roman"/>
          <w:color w:val="000000"/>
          <w:kern w:val="0"/>
          <w:lang w:eastAsia="it-IT"/>
          <w14:ligatures w14:val="none"/>
        </w:rPr>
        <w:t>. Punteggi collocati indicativamente almeno una deviazione standard al di sotto della media si osservano nel controllo inibitorio per i Casi 1, 7 e 8, nella flessibilità per i Casi 4 e 8, nella memoria di lavoro per i Casi 5, 6 e 7 e nella regolazione per i Casi 1, 5 e 6. </w:t>
      </w:r>
      <w:r w:rsidRPr="00390083">
        <w:rPr>
          <w:rFonts w:ascii="Times New Roman" w:eastAsia="Times New Roman" w:hAnsi="Times New Roman" w:cs="Times New Roman"/>
          <w:b/>
          <w:bCs/>
          <w:color w:val="000000"/>
          <w:kern w:val="0"/>
          <w:lang w:eastAsia="it-IT"/>
          <w14:ligatures w14:val="none"/>
        </w:rPr>
        <w:t xml:space="preserve">La collocazione rispetto al </w:t>
      </w:r>
      <w:proofErr w:type="gramStart"/>
      <w:r w:rsidRPr="00390083">
        <w:rPr>
          <w:rFonts w:ascii="Times New Roman" w:eastAsia="Times New Roman" w:hAnsi="Times New Roman" w:cs="Times New Roman"/>
          <w:b/>
          <w:bCs/>
          <w:color w:val="000000"/>
          <w:kern w:val="0"/>
          <w:lang w:eastAsia="it-IT"/>
          <w14:ligatures w14:val="none"/>
        </w:rPr>
        <w:t>10°</w:t>
      </w:r>
      <w:proofErr w:type="gramEnd"/>
      <w:r w:rsidRPr="00390083">
        <w:rPr>
          <w:rFonts w:ascii="Times New Roman" w:eastAsia="Times New Roman" w:hAnsi="Times New Roman" w:cs="Times New Roman"/>
          <w:b/>
          <w:bCs/>
          <w:color w:val="000000"/>
          <w:kern w:val="0"/>
          <w:lang w:eastAsia="it-IT"/>
          <w14:ligatures w14:val="none"/>
        </w:rPr>
        <w:t xml:space="preserve"> e al </w:t>
      </w:r>
      <w:proofErr w:type="gramStart"/>
      <w:r w:rsidRPr="00390083">
        <w:rPr>
          <w:rFonts w:ascii="Times New Roman" w:eastAsia="Times New Roman" w:hAnsi="Times New Roman" w:cs="Times New Roman"/>
          <w:b/>
          <w:bCs/>
          <w:color w:val="000000"/>
          <w:kern w:val="0"/>
          <w:lang w:eastAsia="it-IT"/>
          <w14:ligatures w14:val="none"/>
        </w:rPr>
        <w:t>20°</w:t>
      </w:r>
      <w:proofErr w:type="gramEnd"/>
      <w:r w:rsidRPr="00390083">
        <w:rPr>
          <w:rFonts w:ascii="Times New Roman" w:eastAsia="Times New Roman" w:hAnsi="Times New Roman" w:cs="Times New Roman"/>
          <w:b/>
          <w:bCs/>
          <w:color w:val="000000"/>
          <w:kern w:val="0"/>
          <w:lang w:eastAsia="it-IT"/>
          <w14:ligatures w14:val="none"/>
        </w:rPr>
        <w:t xml:space="preserve"> percentile della distribuzione osservata nel campione totale consente di precisare ulteriormente tali scostamenti. In particolare, il Caso 8 si colloca al di sotto del </w:t>
      </w:r>
      <w:proofErr w:type="gramStart"/>
      <w:r w:rsidRPr="00390083">
        <w:rPr>
          <w:rFonts w:ascii="Times New Roman" w:eastAsia="Times New Roman" w:hAnsi="Times New Roman" w:cs="Times New Roman"/>
          <w:b/>
          <w:bCs/>
          <w:color w:val="000000"/>
          <w:kern w:val="0"/>
          <w:lang w:eastAsia="it-IT"/>
          <w14:ligatures w14:val="none"/>
        </w:rPr>
        <w:t>10°</w:t>
      </w:r>
      <w:proofErr w:type="gramEnd"/>
      <w:r w:rsidRPr="00390083">
        <w:rPr>
          <w:rFonts w:ascii="Times New Roman" w:eastAsia="Times New Roman" w:hAnsi="Times New Roman" w:cs="Times New Roman"/>
          <w:b/>
          <w:bCs/>
          <w:color w:val="000000"/>
          <w:kern w:val="0"/>
          <w:lang w:eastAsia="it-IT"/>
          <w14:ligatures w14:val="none"/>
        </w:rPr>
        <w:t xml:space="preserve"> percentile nel controllo inibitorio e nella flessibilità e il Caso 5 nella memoria di lavoro e nella regolazione; tra il </w:t>
      </w:r>
      <w:proofErr w:type="gramStart"/>
      <w:r w:rsidRPr="00390083">
        <w:rPr>
          <w:rFonts w:ascii="Times New Roman" w:eastAsia="Times New Roman" w:hAnsi="Times New Roman" w:cs="Times New Roman"/>
          <w:b/>
          <w:bCs/>
          <w:color w:val="000000"/>
          <w:kern w:val="0"/>
          <w:lang w:eastAsia="it-IT"/>
          <w14:ligatures w14:val="none"/>
        </w:rPr>
        <w:t>10°</w:t>
      </w:r>
      <w:proofErr w:type="gramEnd"/>
      <w:r w:rsidRPr="00390083">
        <w:rPr>
          <w:rFonts w:ascii="Times New Roman" w:eastAsia="Times New Roman" w:hAnsi="Times New Roman" w:cs="Times New Roman"/>
          <w:b/>
          <w:bCs/>
          <w:color w:val="000000"/>
          <w:kern w:val="0"/>
          <w:lang w:eastAsia="it-IT"/>
          <w14:ligatures w14:val="none"/>
        </w:rPr>
        <w:t xml:space="preserve"> e il </w:t>
      </w:r>
      <w:proofErr w:type="gramStart"/>
      <w:r w:rsidRPr="00390083">
        <w:rPr>
          <w:rFonts w:ascii="Times New Roman" w:eastAsia="Times New Roman" w:hAnsi="Times New Roman" w:cs="Times New Roman"/>
          <w:b/>
          <w:bCs/>
          <w:color w:val="000000"/>
          <w:kern w:val="0"/>
          <w:lang w:eastAsia="it-IT"/>
          <w14:ligatures w14:val="none"/>
        </w:rPr>
        <w:t>20°</w:t>
      </w:r>
      <w:proofErr w:type="gramEnd"/>
      <w:r w:rsidRPr="00390083">
        <w:rPr>
          <w:rFonts w:ascii="Times New Roman" w:eastAsia="Times New Roman" w:hAnsi="Times New Roman" w:cs="Times New Roman"/>
          <w:b/>
          <w:bCs/>
          <w:color w:val="000000"/>
          <w:kern w:val="0"/>
          <w:lang w:eastAsia="it-IT"/>
          <w14:ligatures w14:val="none"/>
        </w:rPr>
        <w:t xml:space="preserve"> percentile si collocano invece i Casi 1 e 7 nel controllo inibitorio, il Caso 4 nella flessibilità e il Caso 7 nella memoria di lavoro. Il Caso 1 presenta inoltre un punteggio corrispondente al </w:t>
      </w:r>
      <w:proofErr w:type="gramStart"/>
      <w:r w:rsidRPr="00390083">
        <w:rPr>
          <w:rFonts w:ascii="Times New Roman" w:eastAsia="Times New Roman" w:hAnsi="Times New Roman" w:cs="Times New Roman"/>
          <w:b/>
          <w:bCs/>
          <w:color w:val="000000"/>
          <w:kern w:val="0"/>
          <w:lang w:eastAsia="it-IT"/>
          <w14:ligatures w14:val="none"/>
        </w:rPr>
        <w:t>10°</w:t>
      </w:r>
      <w:proofErr w:type="gramEnd"/>
      <w:r w:rsidRPr="00390083">
        <w:rPr>
          <w:rFonts w:ascii="Times New Roman" w:eastAsia="Times New Roman" w:hAnsi="Times New Roman" w:cs="Times New Roman"/>
          <w:b/>
          <w:bCs/>
          <w:color w:val="000000"/>
          <w:kern w:val="0"/>
          <w:lang w:eastAsia="it-IT"/>
          <w14:ligatures w14:val="none"/>
        </w:rPr>
        <w:t xml:space="preserve"> percentile nella regolazione, mentre il Caso 6 si colloca in corrispondenza del </w:t>
      </w:r>
      <w:proofErr w:type="gramStart"/>
      <w:r w:rsidRPr="00390083">
        <w:rPr>
          <w:rFonts w:ascii="Times New Roman" w:eastAsia="Times New Roman" w:hAnsi="Times New Roman" w:cs="Times New Roman"/>
          <w:b/>
          <w:bCs/>
          <w:color w:val="000000"/>
          <w:kern w:val="0"/>
          <w:lang w:eastAsia="it-IT"/>
          <w14:ligatures w14:val="none"/>
        </w:rPr>
        <w:t>20°</w:t>
      </w:r>
      <w:proofErr w:type="gramEnd"/>
      <w:r w:rsidRPr="00390083">
        <w:rPr>
          <w:rFonts w:ascii="Times New Roman" w:eastAsia="Times New Roman" w:hAnsi="Times New Roman" w:cs="Times New Roman"/>
          <w:b/>
          <w:bCs/>
          <w:color w:val="000000"/>
          <w:kern w:val="0"/>
          <w:lang w:eastAsia="it-IT"/>
          <w14:ligatures w14:val="none"/>
        </w:rPr>
        <w:t xml:space="preserve"> percentile nella memoria di lavoro e appena al di sopra di tale riferimento nella regolazione.</w:t>
      </w:r>
      <w:r w:rsidRPr="00390083">
        <w:rPr>
          <w:rFonts w:ascii="Times New Roman" w:eastAsia="Times New Roman" w:hAnsi="Times New Roman" w:cs="Times New Roman"/>
          <w:color w:val="000000"/>
          <w:kern w:val="0"/>
          <w:lang w:eastAsia="it-IT"/>
          <w14:ligatures w14:val="none"/>
        </w:rPr>
        <w:t> Il Caso 3 presenta invece valori prossimi alle medie osservate nel campione totale dello studio in tutte le dimensioni considerate.</w:t>
      </w:r>
    </w:p>
    <w:p w14:paraId="3A465188" w14:textId="16AC1C7A" w:rsidR="00390083" w:rsidRDefault="00390083"/>
    <w:p w14:paraId="508AEE22" w14:textId="2C30D44C" w:rsidR="00390083" w:rsidRDefault="00390083">
      <w:pPr>
        <w:rPr>
          <w:rFonts w:ascii="-webkit-standard" w:hAnsi="-webkit-standard"/>
          <w:color w:val="000000"/>
          <w:sz w:val="27"/>
          <w:szCs w:val="27"/>
        </w:rPr>
      </w:pPr>
      <w:r>
        <w:rPr>
          <w:rFonts w:ascii="-webkit-standard" w:hAnsi="-webkit-standard"/>
          <w:color w:val="000000"/>
          <w:sz w:val="27"/>
          <w:szCs w:val="27"/>
        </w:rPr>
        <w:t>(</w:t>
      </w:r>
      <w:r>
        <w:rPr>
          <w:rFonts w:ascii="-webkit-standard" w:hAnsi="-webkit-standard"/>
          <w:color w:val="000000"/>
          <w:sz w:val="27"/>
          <w:szCs w:val="27"/>
        </w:rPr>
        <w:t>Dopo questo paragrafo,</w:t>
      </w:r>
      <w:r>
        <w:rPr>
          <w:rStyle w:val="apple-converted-space"/>
          <w:rFonts w:ascii="-webkit-standard" w:hAnsi="-webkit-standard"/>
          <w:color w:val="000000"/>
          <w:sz w:val="27"/>
          <w:szCs w:val="27"/>
        </w:rPr>
        <w:t> </w:t>
      </w:r>
      <w:r>
        <w:rPr>
          <w:rStyle w:val="Enfasigrassetto"/>
          <w:color w:val="000000"/>
        </w:rPr>
        <w:t>lascerei integralmente invariato</w:t>
      </w:r>
      <w:r>
        <w:rPr>
          <w:rStyle w:val="apple-converted-space"/>
          <w:rFonts w:ascii="-webkit-standard" w:hAnsi="-webkit-standard"/>
          <w:color w:val="000000"/>
          <w:sz w:val="27"/>
          <w:szCs w:val="27"/>
        </w:rPr>
        <w:t> </w:t>
      </w:r>
      <w:r>
        <w:rPr>
          <w:rFonts w:ascii="-webkit-standard" w:hAnsi="-webkit-standard"/>
          <w:color w:val="000000"/>
          <w:sz w:val="27"/>
          <w:szCs w:val="27"/>
        </w:rPr>
        <w:t>il successivo «Considerati congiuntamente, i risultati del Baby-FE e dell’EEFQ...»</w:t>
      </w:r>
      <w:r>
        <w:rPr>
          <w:rFonts w:ascii="-webkit-standard" w:hAnsi="-webkit-standard"/>
          <w:color w:val="000000"/>
          <w:sz w:val="27"/>
          <w:szCs w:val="27"/>
        </w:rPr>
        <w:t>)</w:t>
      </w:r>
    </w:p>
    <w:p w14:paraId="739E8F6F" w14:textId="77777777" w:rsidR="00390083" w:rsidRDefault="00390083">
      <w:pPr>
        <w:rPr>
          <w:rFonts w:ascii="-webkit-standard" w:hAnsi="-webkit-standard"/>
          <w:color w:val="000000"/>
          <w:sz w:val="27"/>
          <w:szCs w:val="27"/>
        </w:rPr>
      </w:pPr>
    </w:p>
    <w:p w14:paraId="676BAB1D" w14:textId="77777777" w:rsidR="00390083" w:rsidRPr="00390083" w:rsidRDefault="00390083" w:rsidP="00390083">
      <w:pPr>
        <w:spacing w:before="100" w:beforeAutospacing="1" w:after="100" w:afterAutospacing="1"/>
        <w:jc w:val="left"/>
        <w:outlineLvl w:val="2"/>
        <w:rPr>
          <w:rFonts w:ascii="Times New Roman" w:eastAsia="Times New Roman" w:hAnsi="Times New Roman" w:cs="Times New Roman"/>
          <w:b/>
          <w:bCs/>
          <w:color w:val="000000"/>
          <w:kern w:val="0"/>
          <w:sz w:val="27"/>
          <w:szCs w:val="27"/>
          <w:lang w:eastAsia="it-IT"/>
          <w14:ligatures w14:val="none"/>
        </w:rPr>
      </w:pPr>
      <w:r w:rsidRPr="00390083">
        <w:rPr>
          <w:rFonts w:ascii="Times New Roman" w:eastAsia="Times New Roman" w:hAnsi="Times New Roman" w:cs="Times New Roman"/>
          <w:b/>
          <w:bCs/>
          <w:color w:val="000000"/>
          <w:kern w:val="0"/>
          <w:sz w:val="27"/>
          <w:szCs w:val="27"/>
          <w:lang w:eastAsia="it-IT"/>
          <w14:ligatures w14:val="none"/>
        </w:rPr>
        <w:t>4.4.1 — paragrafo definitivo</w:t>
      </w:r>
    </w:p>
    <w:p w14:paraId="28906801" w14:textId="77777777" w:rsidR="00390083" w:rsidRPr="00390083" w:rsidRDefault="00390083" w:rsidP="00390083">
      <w:pPr>
        <w:spacing w:before="100" w:beforeAutospacing="1" w:after="100" w:afterAutospacing="1"/>
        <w:jc w:val="left"/>
        <w:rPr>
          <w:rFonts w:ascii="Times New Roman" w:eastAsia="Times New Roman" w:hAnsi="Times New Roman" w:cs="Times New Roman"/>
          <w:color w:val="000000"/>
          <w:kern w:val="0"/>
          <w:lang w:eastAsia="it-IT"/>
          <w14:ligatures w14:val="none"/>
        </w:rPr>
      </w:pPr>
      <w:r w:rsidRPr="00390083">
        <w:rPr>
          <w:rFonts w:ascii="Times New Roman" w:eastAsia="Times New Roman" w:hAnsi="Times New Roman" w:cs="Times New Roman"/>
          <w:color w:val="000000"/>
          <w:kern w:val="0"/>
          <w:lang w:eastAsia="it-IT"/>
          <w14:ligatures w14:val="none"/>
        </w:rPr>
        <w:t>Un elemento di convergenza circoscritto emerge nel Caso 1, che, a fronte di una prestazione complessivamente elevata al Baby-FE, presenta difficoltà in alcune attività che richiedono il controllo della risposta e, parallelamente, </w:t>
      </w:r>
      <w:r w:rsidRPr="00390083">
        <w:rPr>
          <w:rFonts w:ascii="Times New Roman" w:eastAsia="Times New Roman" w:hAnsi="Times New Roman" w:cs="Times New Roman"/>
          <w:b/>
          <w:bCs/>
          <w:color w:val="000000"/>
          <w:kern w:val="0"/>
          <w:lang w:eastAsia="it-IT"/>
          <w14:ligatures w14:val="none"/>
        </w:rPr>
        <w:t xml:space="preserve">un punteggio di controllo inibitorio all’EEFQ collocato tra il </w:t>
      </w:r>
      <w:proofErr w:type="gramStart"/>
      <w:r w:rsidRPr="00390083">
        <w:rPr>
          <w:rFonts w:ascii="Times New Roman" w:eastAsia="Times New Roman" w:hAnsi="Times New Roman" w:cs="Times New Roman"/>
          <w:b/>
          <w:bCs/>
          <w:color w:val="000000"/>
          <w:kern w:val="0"/>
          <w:lang w:eastAsia="it-IT"/>
          <w14:ligatures w14:val="none"/>
        </w:rPr>
        <w:t>10°</w:t>
      </w:r>
      <w:proofErr w:type="gramEnd"/>
      <w:r w:rsidRPr="00390083">
        <w:rPr>
          <w:rFonts w:ascii="Times New Roman" w:eastAsia="Times New Roman" w:hAnsi="Times New Roman" w:cs="Times New Roman"/>
          <w:b/>
          <w:bCs/>
          <w:color w:val="000000"/>
          <w:kern w:val="0"/>
          <w:lang w:eastAsia="it-IT"/>
          <w14:ligatures w14:val="none"/>
        </w:rPr>
        <w:t xml:space="preserve"> e il </w:t>
      </w:r>
      <w:proofErr w:type="gramStart"/>
      <w:r w:rsidRPr="00390083">
        <w:rPr>
          <w:rFonts w:ascii="Times New Roman" w:eastAsia="Times New Roman" w:hAnsi="Times New Roman" w:cs="Times New Roman"/>
          <w:b/>
          <w:bCs/>
          <w:color w:val="000000"/>
          <w:kern w:val="0"/>
          <w:lang w:eastAsia="it-IT"/>
          <w14:ligatures w14:val="none"/>
        </w:rPr>
        <w:t>20°</w:t>
      </w:r>
      <w:proofErr w:type="gramEnd"/>
      <w:r w:rsidRPr="00390083">
        <w:rPr>
          <w:rFonts w:ascii="Times New Roman" w:eastAsia="Times New Roman" w:hAnsi="Times New Roman" w:cs="Times New Roman"/>
          <w:b/>
          <w:bCs/>
          <w:color w:val="000000"/>
          <w:kern w:val="0"/>
          <w:lang w:eastAsia="it-IT"/>
          <w14:ligatures w14:val="none"/>
        </w:rPr>
        <w:t xml:space="preserve"> percentile della distribuzione osservata nel campione totale</w:t>
      </w:r>
      <w:r w:rsidRPr="00390083">
        <w:rPr>
          <w:rFonts w:ascii="Times New Roman" w:eastAsia="Times New Roman" w:hAnsi="Times New Roman" w:cs="Times New Roman"/>
          <w:color w:val="000000"/>
          <w:kern w:val="0"/>
          <w:lang w:eastAsia="it-IT"/>
          <w14:ligatures w14:val="none"/>
        </w:rPr>
        <w:t xml:space="preserve">. Più evidente è, tuttavia, il contributo delle fonti complementari nei casi in cui esse restituiscono indicazioni differenti rispetto al livello della prestazione diretta. Il Caso 3, pur collocandosi al di sotto del decimo percentile al Baby-FE e affrontando tutte le prove proposte, presenta punteggi EEFQ prossimi alle medie del campione nelle diverse </w:t>
      </w:r>
      <w:proofErr w:type="spellStart"/>
      <w:r w:rsidRPr="00390083">
        <w:rPr>
          <w:rFonts w:ascii="Times New Roman" w:eastAsia="Times New Roman" w:hAnsi="Times New Roman" w:cs="Times New Roman"/>
          <w:color w:val="000000"/>
          <w:kern w:val="0"/>
          <w:lang w:eastAsia="it-IT"/>
          <w14:ligatures w14:val="none"/>
        </w:rPr>
        <w:t>sottoscale</w:t>
      </w:r>
      <w:proofErr w:type="spellEnd"/>
      <w:r w:rsidRPr="00390083">
        <w:rPr>
          <w:rFonts w:ascii="Times New Roman" w:eastAsia="Times New Roman" w:hAnsi="Times New Roman" w:cs="Times New Roman"/>
          <w:color w:val="000000"/>
          <w:kern w:val="0"/>
          <w:lang w:eastAsia="it-IT"/>
          <w14:ligatures w14:val="none"/>
        </w:rPr>
        <w:t xml:space="preserve"> considerate; nei Casi 1 e 6, al contrario, prestazioni Baby-FE relativamente più elevate coesistono con alcuni punteggi EEFQ inferiori ai valori medi di riferimento. Questi andamenti mostrano come prestazione diretta e osservazione nel contesto educativo non restituiscano una corrispondenza uniforme e suggeriscono l’utilità di considerare le due modalità di rilevazione come fonti complementari nella lettura del funzionamento regolativo.</w:t>
      </w:r>
    </w:p>
    <w:p w14:paraId="6158C0EE" w14:textId="77777777" w:rsidR="00390083" w:rsidRDefault="00390083"/>
    <w:sectPr w:rsidR="00390083">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notTrueType/>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1"/>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2DC"/>
    <w:rsid w:val="00064F1A"/>
    <w:rsid w:val="002371D3"/>
    <w:rsid w:val="00390083"/>
    <w:rsid w:val="00491F2C"/>
    <w:rsid w:val="007C22DC"/>
    <w:rsid w:val="008C6707"/>
    <w:rsid w:val="00D75717"/>
    <w:rsid w:val="00DA615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71867213"/>
  <w15:chartTrackingRefBased/>
  <w15:docId w15:val="{F6B11D47-158B-8F4C-9874-65E5FB4FC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7C22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7C22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7C22DC"/>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7C22DC"/>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7C22DC"/>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7C22DC"/>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7C22DC"/>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7C22DC"/>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7C22DC"/>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C22DC"/>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7C22DC"/>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7C22DC"/>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7C22DC"/>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7C22DC"/>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7C22DC"/>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7C22DC"/>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7C22DC"/>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7C22DC"/>
    <w:rPr>
      <w:rFonts w:eastAsiaTheme="majorEastAsia" w:cstheme="majorBidi"/>
      <w:color w:val="272727" w:themeColor="text1" w:themeTint="D8"/>
    </w:rPr>
  </w:style>
  <w:style w:type="paragraph" w:styleId="Titolo">
    <w:name w:val="Title"/>
    <w:basedOn w:val="Normale"/>
    <w:next w:val="Normale"/>
    <w:link w:val="TitoloCarattere"/>
    <w:uiPriority w:val="10"/>
    <w:qFormat/>
    <w:rsid w:val="007C22DC"/>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C22DC"/>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7C22DC"/>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7C22DC"/>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7C22DC"/>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7C22DC"/>
    <w:rPr>
      <w:i/>
      <w:iCs/>
      <w:color w:val="404040" w:themeColor="text1" w:themeTint="BF"/>
    </w:rPr>
  </w:style>
  <w:style w:type="paragraph" w:styleId="Paragrafoelenco">
    <w:name w:val="List Paragraph"/>
    <w:basedOn w:val="Normale"/>
    <w:uiPriority w:val="34"/>
    <w:qFormat/>
    <w:rsid w:val="007C22DC"/>
    <w:pPr>
      <w:ind w:left="720"/>
      <w:contextualSpacing/>
    </w:pPr>
  </w:style>
  <w:style w:type="character" w:styleId="Enfasiintensa">
    <w:name w:val="Intense Emphasis"/>
    <w:basedOn w:val="Carpredefinitoparagrafo"/>
    <w:uiPriority w:val="21"/>
    <w:qFormat/>
    <w:rsid w:val="007C22DC"/>
    <w:rPr>
      <w:i/>
      <w:iCs/>
      <w:color w:val="0F4761" w:themeColor="accent1" w:themeShade="BF"/>
    </w:rPr>
  </w:style>
  <w:style w:type="paragraph" w:styleId="Citazioneintensa">
    <w:name w:val="Intense Quote"/>
    <w:basedOn w:val="Normale"/>
    <w:next w:val="Normale"/>
    <w:link w:val="CitazioneintensaCarattere"/>
    <w:uiPriority w:val="30"/>
    <w:qFormat/>
    <w:rsid w:val="007C22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7C22DC"/>
    <w:rPr>
      <w:i/>
      <w:iCs/>
      <w:color w:val="0F4761" w:themeColor="accent1" w:themeShade="BF"/>
    </w:rPr>
  </w:style>
  <w:style w:type="character" w:styleId="Riferimentointenso">
    <w:name w:val="Intense Reference"/>
    <w:basedOn w:val="Carpredefinitoparagrafo"/>
    <w:uiPriority w:val="32"/>
    <w:qFormat/>
    <w:rsid w:val="007C22DC"/>
    <w:rPr>
      <w:b/>
      <w:bCs/>
      <w:smallCaps/>
      <w:color w:val="0F4761" w:themeColor="accent1" w:themeShade="BF"/>
      <w:spacing w:val="5"/>
    </w:rPr>
  </w:style>
  <w:style w:type="paragraph" w:styleId="NormaleWeb">
    <w:name w:val="Normal (Web)"/>
    <w:basedOn w:val="Normale"/>
    <w:uiPriority w:val="99"/>
    <w:semiHidden/>
    <w:unhideWhenUsed/>
    <w:rsid w:val="007C22DC"/>
    <w:pPr>
      <w:spacing w:before="100" w:beforeAutospacing="1" w:after="100" w:afterAutospacing="1"/>
      <w:jc w:val="left"/>
    </w:pPr>
    <w:rPr>
      <w:rFonts w:ascii="Times New Roman" w:eastAsia="Times New Roman" w:hAnsi="Times New Roman" w:cs="Times New Roman"/>
      <w:kern w:val="0"/>
      <w:lang w:eastAsia="it-IT"/>
      <w14:ligatures w14:val="none"/>
    </w:rPr>
  </w:style>
  <w:style w:type="character" w:styleId="Enfasigrassetto">
    <w:name w:val="Strong"/>
    <w:basedOn w:val="Carpredefinitoparagrafo"/>
    <w:uiPriority w:val="22"/>
    <w:qFormat/>
    <w:rsid w:val="007C22DC"/>
    <w:rPr>
      <w:b/>
      <w:bCs/>
    </w:rPr>
  </w:style>
  <w:style w:type="character" w:customStyle="1" w:styleId="apple-converted-space">
    <w:name w:val="apple-converted-space"/>
    <w:basedOn w:val="Carpredefinitoparagrafo"/>
    <w:rsid w:val="007C22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521</Words>
  <Characters>2973</Characters>
  <Application>Microsoft Office Word</Application>
  <DocSecurity>0</DocSecurity>
  <Lines>24</Lines>
  <Paragraphs>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Silvia Occhionero</dc:creator>
  <cp:keywords/>
  <dc:description/>
  <cp:lastModifiedBy/>
  <cp:revision>1</cp:revision>
  <dcterms:created xsi:type="dcterms:W3CDTF">2026-09-04T14:52:00Z</dcterms:created>
</cp:coreProperties>
</file>