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AO JUÍZO DA 20ª VARA DO SISTEMA DOS JUIZADOS ESPECIAIS DO CONSUMIDOR DA COMARCA DE SALVADOR – BA</w:t>
      </w:r>
    </w:p>
    <w:p>
      <w:pPr>
        <w:spacing w:before="0" w:after="12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Processo n.º: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0133250-09.2026.8.05.0001 (PROJUDI/TJBA)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Ação: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Obrigação de Fazer c/c Danos Materiais e Indenização por Danos Morais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Recorrente: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SIMONE MURTA MARTINS (advogada em causa própria)</w:t>
      </w: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Recorridas: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FERREIRA COSTA &amp; CIA LTDA. e HERVAL INDÚSTRIA DE MÓVEIS, COLCHÕES E ESPUMAS LTDA.</w:t>
      </w:r>
    </w:p>
    <w:p>
      <w:pPr>
        <w:spacing w:before="240" w:after="24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RECURSO INOMINADO, COM PEDIDO DE GRATUIDADE DE JUSTIÇA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SIMONE MURTA MARTINS</w:t>
      </w:r>
      <w:r>
        <w:rPr>
          <w:rFonts w:ascii="Arial" w:eastAsia="Arial" w:hAnsi="Arial" w:cs="Arial"/>
          <w:color w:val="000000"/>
        </w:rPr>
        <w:t xml:space="preserve">, já qualificada nos autos, advogada postulante em causa própria (art. 103, parágrafo único, do CPC), inconformada com a sentença publicada em 29/09/2026, que extinguiu o processo sem resolução do mérito quanto aos pedidos de substituição do produto e de restituição e </w:t>
      </w:r>
      <w:r>
        <w:rPr>
          <w:rFonts w:ascii="Arial" w:eastAsia="Arial" w:hAnsi="Arial" w:cs="Arial"/>
          <w:b/>
          <w:bCs/>
          <w:color w:val="000000"/>
        </w:rPr>
        <w:t xml:space="preserve">julgou improcedente o pedido de indenização por danos morais</w:t>
      </w:r>
      <w:r>
        <w:rPr>
          <w:rFonts w:ascii="Arial" w:eastAsia="Arial" w:hAnsi="Arial" w:cs="Arial"/>
          <w:color w:val="000000"/>
        </w:rPr>
        <w:t xml:space="preserve">, vem, com fundamento nos arts. 41 e 42 da Lei n.º 9.099/1995, interpor </w:t>
      </w:r>
      <w:r>
        <w:rPr>
          <w:rFonts w:ascii="Arial" w:eastAsia="Arial" w:hAnsi="Arial" w:cs="Arial"/>
          <w:b/>
          <w:bCs/>
          <w:color w:val="000000"/>
        </w:rPr>
        <w:t xml:space="preserve">RECURSO INOMINADO</w:t>
      </w:r>
      <w:r>
        <w:rPr>
          <w:rFonts w:ascii="Arial" w:eastAsia="Arial" w:hAnsi="Arial" w:cs="Arial"/>
          <w:color w:val="000000"/>
        </w:rPr>
        <w:t xml:space="preserve"> para a Turma Recursal, pelas razões a seguir, requerendo o seu recebimento e a remessa dos autos ao Colegiado.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 – DA TEMPESTIVIDADE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 sentença foi disponibilizada no Diário da Justiça Eletrônico em 28/09/2026 e publicada em 29/09/2026. O prazo de 10 (dez) dias úteis (arts. 42 e 12-A da Lei n.º 9.099/1995) está em curso, sendo tempestivo o recurso. A Recorrente não impugna a extinção parcial do processo por perda superveniente do objeto, que ela própria reconheceu na réplica. O recurso se limita à </w:t>
      </w:r>
      <w:r>
        <w:rPr>
          <w:rFonts w:ascii="Arial" w:eastAsia="Arial" w:hAnsi="Arial" w:cs="Arial"/>
          <w:b/>
          <w:bCs/>
          <w:color w:val="000000"/>
        </w:rPr>
        <w:t xml:space="preserve">improcedência do pedido de danos morais</w:t>
      </w:r>
      <w:r>
        <w:rPr>
          <w:rFonts w:ascii="Arial" w:eastAsia="Arial" w:hAnsi="Arial" w:cs="Arial"/>
          <w:color w:val="000000"/>
        </w:rPr>
        <w:t xml:space="preserve">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II – DO PEDIDO DE GRATUIDADE DE JUSTIÇA E DA DISPENSA DE PREPARO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Em primeiro grau, o acesso ao Juizado independe do pagamento de custas (art. 54 da Lei n.º 9.099/1995). O preparo recursal, contudo, compreende todas as despesas processuais e tem </w:t>
      </w:r>
      <w:r>
        <w:rPr>
          <w:rFonts w:ascii="Arial" w:eastAsia="Arial" w:hAnsi="Arial" w:cs="Arial"/>
          <w:b/>
          <w:bCs/>
          <w:color w:val="000000"/>
        </w:rPr>
        <w:t xml:space="preserve">ressalva expressa para a hipótese de assistência judiciária gratuita</w:t>
      </w:r>
      <w:r>
        <w:rPr>
          <w:rFonts w:ascii="Arial" w:eastAsia="Arial" w:hAnsi="Arial" w:cs="Arial"/>
          <w:color w:val="000000"/>
        </w:rPr>
        <w:t xml:space="preserve"> (art. 54, parágrafo único, da Lei n.º 9.099/1995). A gratuidade pode ser requerida em recurso (art. 99, caput, do CPC), cuja alegação de insuficiência, deduzida por pessoa natural, presume-se verdadeira (art. 99, § 3º). O fato de a parte ser advogada e postular em causa própria não impede a concessão do benefício (art. 99, § 4º).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 Recorrente é advogada e a advocacia ainda não lhe garante, por si só, o sustento. A renda mensal média que dela aufere é de aproximadamente </w:t>
      </w:r>
      <w:r>
        <w:rPr>
          <w:rFonts w:ascii="Arial" w:eastAsia="Arial" w:hAnsi="Arial" w:cs="Arial"/>
          <w:b/>
          <w:bCs/>
          <w:color w:val="000000"/>
        </w:rPr>
        <w:t xml:space="preserve">R$ 5.000,00 (cinco mil reais)</w:t>
      </w:r>
      <w:r>
        <w:rPr>
          <w:rFonts w:ascii="Arial" w:eastAsia="Arial" w:hAnsi="Arial" w:cs="Arial"/>
          <w:color w:val="000000"/>
        </w:rPr>
        <w:t xml:space="preserve">, valor que não comporta o custeio do preparo recursal e das despesas do processo sem prejuízo do próprio sustento. Em cumprimento à advertência final da sentença, junta os comprovantes de hipossuficiência: (i) declaração de hipossuficiência econômica (Doc. 1); (ii) documento de arrecadação do Simples Nacional da sociedade individual de advocacia, competência de julho/2026, e comprovante de agendamento do pagamento (Doc. 2), que evidenciam a dimensão modesta da atividade e a regularidade tributária; e (iii) declaração de Imposto de Renda Pessoa Física da Recorrente (Doc. 3) </w:t>
      </w:r>
      <w:r>
        <w:rPr>
          <w:rFonts w:ascii="Arial" w:eastAsia="Arial" w:hAnsi="Arial" w:cs="Arial"/>
          <w:b/>
          <w:bCs/>
          <w:color w:val="000000"/>
        </w:rPr>
        <w:t xml:space="preserve">[CONFERIR: juntar a declaração em nome da Recorrente]</w:t>
      </w:r>
      <w:r>
        <w:rPr>
          <w:rFonts w:ascii="Arial" w:eastAsia="Arial" w:hAnsi="Arial" w:cs="Arial"/>
          <w:color w:val="000000"/>
        </w:rPr>
        <w:t xml:space="preserve">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Requer, assim, a concessão da gratuidade de justiça para o recurso, com a dispensa do preparo e das demais despesas processuais, inclusive as decorrentes de eventual sucumbência (art. 98, § 3º, do CPC). Se o pedido for indeferido, requer a fixação de prazo para o recolhimento do preparo, nos termos do art. 99, § 7º, do CPC.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III – DA SÍNTESE DA DEMANDA E DA SENTENÇA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 Recorrente comprou, em 01/03/2026, no site da Ferreira Costa, quatro cadeiras fabricadas pela Herval (R$ 399,90 cada). Ao montá-las, constatou vício oculto em uma unidade: o parafuso rompeu-se no interior da estrutura de madeira. As duas Recorridas não solucionaram o problema e se remeteram mutuamente a responsabilidade. A ação foi ajuizada em 18/06/2026 e pediu a substituição do produto, subsidiariamente a restituição do valor e indenização por danos morais de R$ 10.000,00, pela perda do tempo útil (desvio produtivo).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 cadeira foi trocada em 15/07/2026, </w:t>
      </w:r>
      <w:r>
        <w:rPr>
          <w:rFonts w:ascii="Arial" w:eastAsia="Arial" w:hAnsi="Arial" w:cs="Arial"/>
          <w:b/>
          <w:bCs/>
          <w:color w:val="000000"/>
        </w:rPr>
        <w:t xml:space="preserve">27 dias depois do ajuizamento</w:t>
      </w:r>
      <w:r>
        <w:rPr>
          <w:rFonts w:ascii="Arial" w:eastAsia="Arial" w:hAnsi="Arial" w:cs="Arial"/>
          <w:color w:val="000000"/>
        </w:rPr>
        <w:t xml:space="preserve">. A Recorrente reconheceu, na réplica, a perda parcial do objeto, e manteve o pedido indenizatório. A sentença julgou improcedente o pedido de danos morais sob os seguintes fundamentos: (i) as rés, “ao tomarem ciência definitiva da demanda e após o regular trâmite das tratativas entre lojista e fabricante, procederam à efetiva substituição do bem viciado”; (ii) a situação “traduz-se em dissabor inerente às relações comerciais cotidianas”; e (iii) a controvérsia “restou solucionada na via administrativa/judicial sem prejuízos materiais definitivos à adquirente”.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IV – DAS RAZÕES DO RECURSO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IV.1 – Cronologia: a troca ocorreu 27 dias depois do ajuizamento e 104 dias depois da reclamação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As datas abaixo constam dos documentos dos autos e das próprias contestações: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a) </w:t>
      </w:r>
      <w:r>
        <w:rPr>
          <w:rFonts w:ascii="Arial" w:eastAsia="Arial" w:hAnsi="Arial" w:cs="Arial"/>
          <w:b/>
          <w:bCs/>
          <w:color w:val="000000"/>
        </w:rPr>
        <w:t xml:space="preserve">30/03/2026</w:t>
      </w:r>
      <w:r>
        <w:rPr>
          <w:rFonts w:ascii="Arial" w:eastAsia="Arial" w:hAnsi="Arial" w:cs="Arial"/>
          <w:color w:val="000000"/>
        </w:rPr>
        <w:t xml:space="preserve"> – primeiro contato da Recorrente, pelo WhatsApp da loja online do grupo Herval, relatando o defeito; recusa e redirecionamento;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b) </w:t>
      </w:r>
      <w:r>
        <w:rPr>
          <w:rFonts w:ascii="Arial" w:eastAsia="Arial" w:hAnsi="Arial" w:cs="Arial"/>
          <w:b/>
          <w:bCs/>
          <w:color w:val="000000"/>
        </w:rPr>
        <w:t xml:space="preserve">02/04/2026</w:t>
      </w:r>
      <w:r>
        <w:rPr>
          <w:rFonts w:ascii="Arial" w:eastAsia="Arial" w:hAnsi="Arial" w:cs="Arial"/>
          <w:color w:val="000000"/>
        </w:rPr>
        <w:t xml:space="preserve"> – reclamação à Ferreira Costa (ticket n.º 2031671). Resposta do SAC no mesmo dia: “Sua troca/devolução não poderá ser realizada porque o produto não atendeu as exigências necessárias conforme nossa política de devolução”, com base no prazo de 7 dias corridos. A Recorrente respondeu, esclarecendo tratar-se de vício oculto (art. 26, § 3º, do CDC), </w:t>
      </w:r>
      <w:r>
        <w:rPr>
          <w:rFonts w:ascii="Arial" w:eastAsia="Arial" w:hAnsi="Arial" w:cs="Arial"/>
          <w:b/>
          <w:bCs/>
          <w:color w:val="000000"/>
        </w:rPr>
        <w:t xml:space="preserve">sem retorno</w:t>
      </w:r>
      <w:r>
        <w:rPr>
          <w:rFonts w:ascii="Arial" w:eastAsia="Arial" w:hAnsi="Arial" w:cs="Arial"/>
          <w:color w:val="000000"/>
        </w:rPr>
        <w:t xml:space="preserve">. No mesmo dia, e-mail ao fabricante, também sem resposta;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c) </w:t>
      </w:r>
      <w:r>
        <w:rPr>
          <w:rFonts w:ascii="Arial" w:eastAsia="Arial" w:hAnsi="Arial" w:cs="Arial"/>
          <w:b/>
          <w:bCs/>
          <w:color w:val="000000"/>
        </w:rPr>
        <w:t xml:space="preserve">08/04/2026</w:t>
      </w:r>
      <w:r>
        <w:rPr>
          <w:rFonts w:ascii="Arial" w:eastAsia="Arial" w:hAnsi="Arial" w:cs="Arial"/>
          <w:color w:val="000000"/>
        </w:rPr>
        <w:t xml:space="preserve"> – a assistência técnica da Herval mandou a consumidora “direcionar-se até a loja” e informou que a fábrica só atende diretamente compras feitas em sites como “Casas Bahia, Extra e Koerich”. A Recorrente reencaminhou a resposta à Ferreira Costa, que registrou o protocolo n.º 2035542, prometendo troca em 5 dias úteis. </w:t>
      </w:r>
      <w:r>
        <w:rPr>
          <w:rFonts w:ascii="Arial" w:eastAsia="Arial" w:hAnsi="Arial" w:cs="Arial"/>
          <w:b/>
          <w:bCs/>
          <w:color w:val="000000"/>
        </w:rPr>
        <w:t xml:space="preserve">Nada mais foi respondido</w:t>
      </w:r>
      <w:r>
        <w:rPr>
          <w:rFonts w:ascii="Arial" w:eastAsia="Arial" w:hAnsi="Arial" w:cs="Arial"/>
          <w:color w:val="000000"/>
        </w:rPr>
        <w:t xml:space="preserve">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d) </w:t>
      </w:r>
      <w:r>
        <w:rPr>
          <w:rFonts w:ascii="Arial" w:eastAsia="Arial" w:hAnsi="Arial" w:cs="Arial"/>
          <w:b/>
          <w:bCs/>
          <w:color w:val="000000"/>
        </w:rPr>
        <w:t xml:space="preserve">02/05/2026</w:t>
      </w:r>
      <w:r>
        <w:rPr>
          <w:rFonts w:ascii="Arial" w:eastAsia="Arial" w:hAnsi="Arial" w:cs="Arial"/>
          <w:color w:val="000000"/>
        </w:rPr>
        <w:t xml:space="preserve"> – termina o prazo de 30 dias para sanar o vício (art. 18, § 1º, do CDC);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e) </w:t>
      </w:r>
      <w:r>
        <w:rPr>
          <w:rFonts w:ascii="Arial" w:eastAsia="Arial" w:hAnsi="Arial" w:cs="Arial"/>
          <w:b/>
          <w:bCs/>
          <w:color w:val="000000"/>
        </w:rPr>
        <w:t xml:space="preserve">10/06/2026</w:t>
      </w:r>
      <w:r>
        <w:rPr>
          <w:rFonts w:ascii="Arial" w:eastAsia="Arial" w:hAnsi="Arial" w:cs="Arial"/>
          <w:color w:val="000000"/>
        </w:rPr>
        <w:t xml:space="preserve"> – segundo a própria Herval (contestação, item 14), somente nesta data a Ferreira Costa encaminhou a solicitação ao fabricante, </w:t>
      </w:r>
      <w:r>
        <w:rPr>
          <w:rFonts w:ascii="Arial" w:eastAsia="Arial" w:hAnsi="Arial" w:cs="Arial"/>
          <w:b/>
          <w:bCs/>
          <w:color w:val="000000"/>
        </w:rPr>
        <w:t xml:space="preserve">69 dias depois da reclamação</w:t>
      </w:r>
      <w:r>
        <w:rPr>
          <w:rFonts w:ascii="Arial" w:eastAsia="Arial" w:hAnsi="Arial" w:cs="Arial"/>
          <w:color w:val="000000"/>
        </w:rPr>
        <w:t xml:space="preserve">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f) </w:t>
      </w:r>
      <w:r>
        <w:rPr>
          <w:rFonts w:ascii="Arial" w:eastAsia="Arial" w:hAnsi="Arial" w:cs="Arial"/>
          <w:b/>
          <w:bCs/>
          <w:color w:val="000000"/>
        </w:rPr>
        <w:t xml:space="preserve">12/06/2026</w:t>
      </w:r>
      <w:r>
        <w:rPr>
          <w:rFonts w:ascii="Arial" w:eastAsia="Arial" w:hAnsi="Arial" w:cs="Arial"/>
          <w:color w:val="000000"/>
        </w:rPr>
        <w:t xml:space="preserve"> – a Herval afirma ter autorizado a troca;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g) </w:t>
      </w:r>
      <w:r>
        <w:rPr>
          <w:rFonts w:ascii="Arial" w:eastAsia="Arial" w:hAnsi="Arial" w:cs="Arial"/>
          <w:b/>
          <w:bCs/>
          <w:color w:val="000000"/>
        </w:rPr>
        <w:t xml:space="preserve">18/06/2026</w:t>
      </w:r>
      <w:r>
        <w:rPr>
          <w:rFonts w:ascii="Arial" w:eastAsia="Arial" w:hAnsi="Arial" w:cs="Arial"/>
          <w:color w:val="000000"/>
        </w:rPr>
        <w:t xml:space="preserve"> – ajuizamento da ação (77 dias depois da reclamação);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h) </w:t>
      </w:r>
      <w:r>
        <w:rPr>
          <w:rFonts w:ascii="Arial" w:eastAsia="Arial" w:hAnsi="Arial" w:cs="Arial"/>
          <w:b/>
          <w:bCs/>
          <w:color w:val="000000"/>
        </w:rPr>
        <w:t xml:space="preserve">15/07/2026</w:t>
      </w:r>
      <w:r>
        <w:rPr>
          <w:rFonts w:ascii="Arial" w:eastAsia="Arial" w:hAnsi="Arial" w:cs="Arial"/>
          <w:color w:val="000000"/>
        </w:rPr>
        <w:t xml:space="preserve"> – troca efetivada e entregue à Recorrente, conforme a NF-e n.º 2.034.024 e o comprovante de entrega juntados pela própria Ferreira Costa.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Em números: a substituição ocorreu </w:t>
      </w:r>
      <w:r>
        <w:rPr>
          <w:rFonts w:ascii="Arial" w:eastAsia="Arial" w:hAnsi="Arial" w:cs="Arial"/>
          <w:b/>
          <w:bCs/>
          <w:color w:val="000000"/>
        </w:rPr>
        <w:t xml:space="preserve">27 dias depois do ajuizamento da ação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 xml:space="preserve">33 dias depois da suposta autorização da fabricante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 xml:space="preserve">74 dias depois do fim do prazo legal de 30 dias</w:t>
      </w:r>
      <w:r>
        <w:rPr>
          <w:rFonts w:ascii="Arial" w:eastAsia="Arial" w:hAnsi="Arial" w:cs="Arial"/>
          <w:color w:val="000000"/>
        </w:rPr>
        <w:t xml:space="preserve"> e </w:t>
      </w:r>
      <w:r>
        <w:rPr>
          <w:rFonts w:ascii="Arial" w:eastAsia="Arial" w:hAnsi="Arial" w:cs="Arial"/>
          <w:b/>
          <w:bCs/>
          <w:color w:val="000000"/>
        </w:rPr>
        <w:t xml:space="preserve">104 dias depois da reclamação</w:t>
      </w:r>
      <w:r>
        <w:rPr>
          <w:rFonts w:ascii="Arial" w:eastAsia="Arial" w:hAnsi="Arial" w:cs="Arial"/>
          <w:color w:val="000000"/>
        </w:rPr>
        <w:t xml:space="preserve"> de 02/04/2026 (107 dias contados do primeiro contato, em 30/03/2026).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IV.2 – A premissa da sentença é contrariada pelas provas: não houve solução administrativa nem “regular trâmite de tratativas”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 sentença assentou que as Recorridas trocaram o produto ao tomar “ciência definitiva da demanda”, após o “regular trâmite das tratativas” entre loja e fabricante. A primeira parte da premissa confirma a tese da Recorrente: a solução só veio </w:t>
      </w:r>
      <w:r>
        <w:rPr>
          <w:rFonts w:ascii="Arial" w:eastAsia="Arial" w:hAnsi="Arial" w:cs="Arial"/>
          <w:b/>
          <w:bCs/>
          <w:color w:val="000000"/>
        </w:rPr>
        <w:t xml:space="preserve">depois e por causa da ação</w:t>
      </w:r>
      <w:r>
        <w:rPr>
          <w:rFonts w:ascii="Arial" w:eastAsia="Arial" w:hAnsi="Arial" w:cs="Arial"/>
          <w:color w:val="000000"/>
        </w:rPr>
        <w:t xml:space="preserve">. A segunda não encontra amparo nos autos.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Segundo a versão da própria Herval, a única “tratativa” entre loja e fabricante foi o encaminhamento de 10/06/2026, feito 69 dias depois da reclamação e 8 dias antes do ajuizamento. Antes disso, a Ferreira Costa recusou a troca, deixou de responder à réplica da consumidora e, após o protocolo de 08/04/2026, silenciou. A Herval, por sua vez, declara ter localizado “apenas um contato” da consumidora e imputa à Ferreira Costa a recusa e a demora, afirmando que “quem recursou [sic] a troca indevidamente foi a comerciante ora Ferreira Costa” (contestação, item 100) e que, “caso tenha havido demora ou ausência de solução ao consumidor, tal circunstância decorre exclusivamente da conduta da primeira ré” (item 16). Nas contestações, nenhuma das Recorridas indicou comunicação à consumidora, entre abril e junho, que pudesse caracterizar solução administrativa em andamento.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Os documentos relativos à entrega, de 15/07/2026, que a Recorrente junta nos termos do art. 435 do CPC (Docs. 4 a 7), mostram que a troca foi tratada pela própria Ferreira Costa como </w:t>
      </w:r>
      <w:r>
        <w:rPr>
          <w:rFonts w:ascii="Arial" w:eastAsia="Arial" w:hAnsi="Arial" w:cs="Arial"/>
          <w:b/>
          <w:bCs/>
          <w:color w:val="000000"/>
        </w:rPr>
        <w:t xml:space="preserve">cumprimento de demanda judicial</w:t>
      </w:r>
      <w:r>
        <w:rPr>
          <w:rFonts w:ascii="Arial" w:eastAsia="Arial" w:hAnsi="Arial" w:cs="Arial"/>
          <w:color w:val="000000"/>
        </w:rPr>
        <w:t xml:space="preserve">, e o principal deles é o recibo que ela tentou colher da consumidora: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a) </w:t>
      </w:r>
      <w:r>
        <w:rPr>
          <w:rFonts w:ascii="Arial" w:eastAsia="Arial" w:hAnsi="Arial" w:cs="Arial"/>
          <w:b/>
          <w:bCs/>
          <w:color w:val="000000"/>
        </w:rPr>
        <w:t xml:space="preserve">o recibo de quitação (Doc. 4)</w:t>
      </w:r>
      <w:r>
        <w:rPr>
          <w:rFonts w:ascii="Arial" w:eastAsia="Arial" w:hAnsi="Arial" w:cs="Arial"/>
          <w:color w:val="000000"/>
        </w:rPr>
        <w:t xml:space="preserve">, que a Ferreira Costa levou pronto para ser assinado no ato da entrega. Nele, a consumidora declararia que “dou total quitação à FERREIRA COSTA &amp; CIA. LTDA., referente à compra e recebimento do produto citado acima, ficando esta a salvo de qualquer pretensão ou reclamação adicional em qualquer esfera, </w:t>
      </w:r>
      <w:r>
        <w:rPr>
          <w:rFonts w:ascii="Arial" w:eastAsia="Arial" w:hAnsi="Arial" w:cs="Arial"/>
          <w:b/>
          <w:bCs/>
          <w:color w:val="000000"/>
        </w:rPr>
        <w:t xml:space="preserve">incluindo qualquer espécie de verba ou crédito indenizatório</w:t>
      </w:r>
      <w:r>
        <w:rPr>
          <w:rFonts w:ascii="Arial" w:eastAsia="Arial" w:hAnsi="Arial" w:cs="Arial"/>
          <w:color w:val="000000"/>
        </w:rPr>
        <w:t xml:space="preserve">”, e ainda que é “responsável, civil e criminalmente, por quaisquer danos causados em virtude da quebra da confidencialidade e sigilo a que estou obrigado”. A Recorrente </w:t>
      </w:r>
      <w:r>
        <w:rPr>
          <w:rFonts w:ascii="Arial" w:eastAsia="Arial" w:hAnsi="Arial" w:cs="Arial"/>
          <w:b/>
          <w:bCs/>
          <w:color w:val="000000"/>
        </w:rPr>
        <w:t xml:space="preserve">recusou-se a assinar</w:t>
      </w:r>
      <w:r>
        <w:rPr>
          <w:rFonts w:ascii="Arial" w:eastAsia="Arial" w:hAnsi="Arial" w:cs="Arial"/>
          <w:color w:val="000000"/>
        </w:rPr>
        <w:t xml:space="preserve"> e registrou, de próprio punho, no próprio recibo: “Produto que foi trocado devido à ação judicial, sendo assim, não há como assinar este recibo, pois não tenho e não concordo com o conteúdo do mesmo. Várias tentativas foram feitas antes da ação judicial sem êxito”, com a data de 15/07/26;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b) a ordem interna de entrega da Ferreira Costa é intitulada “</w:t>
      </w:r>
      <w:r>
        <w:rPr>
          <w:rFonts w:ascii="Arial" w:eastAsia="Arial" w:hAnsi="Arial" w:cs="Arial"/>
          <w:b/>
          <w:bCs/>
          <w:color w:val="000000"/>
        </w:rPr>
        <w:t xml:space="preserve">CUMPRIMENTO DE SENTENÇA – TROCA DE PRODUTO</w:t>
      </w:r>
      <w:r>
        <w:rPr>
          <w:rFonts w:ascii="Arial" w:eastAsia="Arial" w:hAnsi="Arial" w:cs="Arial"/>
          <w:color w:val="000000"/>
        </w:rPr>
        <w:t xml:space="preserve">”, traz como motivo “CUMPRIMENTO DE SENTENÇA” e instrui os supervisores: “A autora propõe a ação devido a vício oculto em cadeira adquirida, que apresentou defeito durante a montagem” (Doc. 5);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c) a caixa da cadeira entregue veio com a etiqueta “</w:t>
      </w:r>
      <w:r>
        <w:rPr>
          <w:rFonts w:ascii="Arial" w:eastAsia="Arial" w:hAnsi="Arial" w:cs="Arial"/>
          <w:b/>
          <w:bCs/>
          <w:color w:val="000000"/>
        </w:rPr>
        <w:t xml:space="preserve">RESERVADO JURÍDICO – Produto em reserva para cumprir demanda judicial</w:t>
      </w:r>
      <w:r>
        <w:rPr>
          <w:rFonts w:ascii="Arial" w:eastAsia="Arial" w:hAnsi="Arial" w:cs="Arial"/>
          <w:color w:val="000000"/>
        </w:rPr>
        <w:t xml:space="preserve">” (Doc. 6);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d) o DANFe da troca (NF-e n.º 2.034.024) está datado de 15/07/2026, e a Recorrente anotou nele a data da efetivação da troca (Doc. 7). A mesma data consta do comprovante de entrega juntado pela própria Ferreira Costa.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Uma empresa que reserva o produto ao setor jurídico “para cumprir demanda judicial” e, na entrega, apresenta recibo de quitação de “crédito indenizatório”, com cláusula de sigilo, </w:t>
      </w:r>
      <w:r>
        <w:rPr>
          <w:rFonts w:ascii="Arial" w:eastAsia="Arial" w:hAnsi="Arial" w:cs="Arial"/>
          <w:b/>
          <w:bCs/>
          <w:color w:val="000000"/>
        </w:rPr>
        <w:t xml:space="preserve">não resolveu o problema em via administrativa</w:t>
      </w:r>
      <w:r>
        <w:rPr>
          <w:rFonts w:ascii="Arial" w:eastAsia="Arial" w:hAnsi="Arial" w:cs="Arial"/>
          <w:color w:val="000000"/>
        </w:rPr>
        <w:t xml:space="preserve">: reagiu à ação e tentou encerrar, no ato, a pretensão indenizatória, como se fizesse acordo. A conclusão da sentença, de que a controvérsia “restou solucionada na via administrativa”, é incompatível com essas provas.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IV.3 – O vício, o prazo legal e a responsabilidade solidária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O rompimento do parafuso no interior da estrutura, durante a montagem regular, é vício oculto de qualidade (art. 18, caput, do CDC), cujo prazo decadencial só se inicia quando evidenciado o defeito (art. 26, § 3º). Reclamado o vício em 02/04/2026, o prazo de 30 dias para saná-lo (art. 18, § 1º) terminou em 02/05/2026, e a troca só ocorreu 74 dias depois.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 política de 7 dias invocada pela Ferreira Costa corresponde ao direito de arrependimento (art. 49 do CDC), instituto distinto do vício do produto, e não reduz a garantia legal nem a contratual, de 6 meses. Vendedora e fabricante respondem solidariamente pelo vício (art. 18, caput, e art. 7º, parágrafo único, do CDC), e as suas divergências internas sobre quem deveria atender a consumidora não lhe são oponíveis. Ambas, aliás, atribuem uma à outra a recusa e a demora, o que confirma que o ilícito ocorreu.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IV.4 – O dano moral: não se trata de dissabor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 sentença classificou o caso como “dissabor inerente às relações comerciais cotidianas” e afastou o dano por ausência de “prejuízos materiais definitivos”. Ambos os fundamentos merecem reforma.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Primeiro</w:t>
      </w:r>
      <w:r>
        <w:rPr>
          <w:rFonts w:ascii="Arial" w:eastAsia="Arial" w:hAnsi="Arial" w:cs="Arial"/>
          <w:color w:val="000000"/>
        </w:rPr>
        <w:t xml:space="preserve">, o dano moral não depende de prejuízo material definitivo. O art. 6º, inciso VI, do CDC assegura a reparação de danos patrimoniais </w:t>
      </w:r>
      <w:r>
        <w:rPr>
          <w:rFonts w:ascii="Arial" w:eastAsia="Arial" w:hAnsi="Arial" w:cs="Arial"/>
          <w:b/>
          <w:bCs/>
          <w:color w:val="000000"/>
        </w:rPr>
        <w:t xml:space="preserve">e morais</w:t>
      </w:r>
      <w:r>
        <w:rPr>
          <w:rFonts w:ascii="Arial" w:eastAsia="Arial" w:hAnsi="Arial" w:cs="Arial"/>
          <w:color w:val="000000"/>
        </w:rPr>
        <w:t xml:space="preserve">, de forma autônoma. O que se pede é a reparação pelo tempo e pelo esforço que a consumidora foi obrigada a despender por conduta das fornecedoras, e não pelo valor da cadeira.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Segundo</w:t>
      </w:r>
      <w:r>
        <w:rPr>
          <w:rFonts w:ascii="Arial" w:eastAsia="Arial" w:hAnsi="Arial" w:cs="Arial"/>
          <w:color w:val="000000"/>
        </w:rPr>
        <w:t xml:space="preserve">, o caso não é de mero descumprimento contratual ou percalço cotidiano. A consumidora recebeu </w:t>
      </w:r>
      <w:r>
        <w:rPr>
          <w:rFonts w:ascii="Arial" w:eastAsia="Arial" w:hAnsi="Arial" w:cs="Arial"/>
          <w:b/>
          <w:bCs/>
          <w:color w:val="000000"/>
        </w:rPr>
        <w:t xml:space="preserve">recusa expressa e escrita</w:t>
      </w:r>
      <w:r>
        <w:rPr>
          <w:rFonts w:ascii="Arial" w:eastAsia="Arial" w:hAnsi="Arial" w:cs="Arial"/>
          <w:color w:val="000000"/>
        </w:rPr>
        <w:t xml:space="preserve">, fundada em política interna contrária ao CDC; foi remetida de uma fornecedora à outra; teve a réplica ignorada; e permaneceu </w:t>
      </w:r>
      <w:r>
        <w:rPr>
          <w:rFonts w:ascii="Arial" w:eastAsia="Arial" w:hAnsi="Arial" w:cs="Arial"/>
          <w:b/>
          <w:bCs/>
          <w:color w:val="000000"/>
        </w:rPr>
        <w:t xml:space="preserve">104 dias</w:t>
      </w:r>
      <w:r>
        <w:rPr>
          <w:rFonts w:ascii="Arial" w:eastAsia="Arial" w:hAnsi="Arial" w:cs="Arial"/>
          <w:color w:val="000000"/>
        </w:rPr>
        <w:t xml:space="preserve"> com o conjunto incompleto e uma unidade inutilizada, sendo necessária a propositura de ação para que a troca, que o art. 18, § 1º, do CDC impunha em 30 dias, fosse feita. É a perda injusta e intolerável do tempo útil do consumidor, que o Superior Tribunal de Justiça reconhece como dano indenizável (teoria do desvio produtivo), conforme os REsp 1.634.851/RJ (Rel. Min. Nancy Andrighi, Terceira Turma, DJe 15/02/2018) e REsp 1.737.412/SE (Rel. Min. Nancy Andrighi, Terceira Turma, DJe 08/02/2019).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Terceiro</w:t>
      </w:r>
      <w:r>
        <w:rPr>
          <w:rFonts w:ascii="Arial" w:eastAsia="Arial" w:hAnsi="Arial" w:cs="Arial"/>
          <w:color w:val="000000"/>
        </w:rPr>
        <w:t xml:space="preserve">, a solução tardia, obtida somente após o ajuizamento, não apaga o dano já consumado durante os 104 dias de inércia, e a tentativa da Ferreira Costa de obter, na entrega, a quitação de “qualquer espécie de verba ou crédito indenizatório” (Doc. 4) demonstra que ela própria sabia haver pretensão indenizatória a ser afastada. Se a troca resolvesse a controvérsia, não haveria necessidade de tal cláusula.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O valor de R$ 10.000,00 é adequado à dupla função, compensatória e pedagógica, da indenização, considerando o porte econômico das Recorridas e a reiteração da conduta. Subsidiariamente, requer-se o arbitramento em valor que o Colegiado considerar justo.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V – DA JUNTADA DE DOCUMENTOS (ART. 435 DO CPC)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Os Docs. 4 a 7 retratam fato ocorrido em 15/07/2026, posterior aos articulados iniciais, e destinam-se a contrapor a premissa da sentença de que a substituição decorreu de tratativas administrativas. Requer-se a sua admissão nos termos do art. 435 do CPC.</w:t>
      </w:r>
    </w:p>
    <w:p>
      <w:pPr>
        <w:keepNext/>
        <w:spacing w:before="200" w:after="120" w:line="360" w:lineRule="auto"/>
        <w:jc w:val="left"/>
      </w:pPr>
      <w:r>
        <w:rPr>
          <w:rFonts w:ascii="Arial" w:eastAsia="Arial" w:hAnsi="Arial" w:cs="Arial"/>
          <w:b/>
          <w:bCs/>
          <w:color w:val="000000"/>
        </w:rPr>
        <w:t xml:space="preserve">VI – DOS PEDIDOS</w:t>
      </w:r>
    </w:p>
    <w:p>
      <w:pPr>
        <w:spacing w:before="0" w:after="120" w:line="360" w:lineRule="auto"/>
        <w:ind w:left="0" w:firstLine="851"/>
        <w:jc w:val="both"/>
      </w:pPr>
      <w:r>
        <w:rPr>
          <w:rFonts w:ascii="Arial" w:eastAsia="Arial" w:hAnsi="Arial" w:cs="Arial"/>
          <w:color w:val="000000"/>
        </w:rPr>
        <w:t xml:space="preserve">Ante o exposto, requer a Recorrente: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1. a concessão da </w:t>
      </w:r>
      <w:r>
        <w:rPr>
          <w:rFonts w:ascii="Arial" w:eastAsia="Arial" w:hAnsi="Arial" w:cs="Arial"/>
          <w:b/>
          <w:bCs/>
          <w:color w:val="000000"/>
        </w:rPr>
        <w:t xml:space="preserve">gratuidade de justiça</w:t>
      </w:r>
      <w:r>
        <w:rPr>
          <w:rFonts w:ascii="Arial" w:eastAsia="Arial" w:hAnsi="Arial" w:cs="Arial"/>
          <w:color w:val="000000"/>
        </w:rPr>
        <w:t xml:space="preserve"> para o presente recurso, com a dispensa do preparo (art. 99, § 7º, do CPC e art. 54, parágrafo único, da Lei n.º 9.099/1995), ou, se indeferida, a fixação de prazo para o recolhimento;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2. a admissão dos documentos anexos (art. 435 do CPC);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3. o conhecimento e o </w:t>
      </w:r>
      <w:r>
        <w:rPr>
          <w:rFonts w:ascii="Arial" w:eastAsia="Arial" w:hAnsi="Arial" w:cs="Arial"/>
          <w:b/>
          <w:bCs/>
          <w:color w:val="000000"/>
        </w:rPr>
        <w:t xml:space="preserve">provimento do recurso</w:t>
      </w:r>
      <w:r>
        <w:rPr>
          <w:rFonts w:ascii="Arial" w:eastAsia="Arial" w:hAnsi="Arial" w:cs="Arial"/>
          <w:color w:val="000000"/>
        </w:rPr>
        <w:t xml:space="preserve">, para reformar a sentença no capítulo em que julgou improcedente o pedido de danos morais;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Arial" w:eastAsia="Arial" w:hAnsi="Arial" w:cs="Arial"/>
          <w:color w:val="000000"/>
        </w:rPr>
        <w:t xml:space="preserve">4. a </w:t>
      </w:r>
      <w:r>
        <w:rPr>
          <w:rFonts w:ascii="Arial" w:eastAsia="Arial" w:hAnsi="Arial" w:cs="Arial"/>
          <w:b/>
          <w:bCs/>
          <w:color w:val="000000"/>
        </w:rPr>
        <w:t xml:space="preserve">condenação solidária das Recorridas</w:t>
      </w:r>
      <w:r>
        <w:rPr>
          <w:rFonts w:ascii="Arial" w:eastAsia="Arial" w:hAnsi="Arial" w:cs="Arial"/>
          <w:color w:val="000000"/>
        </w:rPr>
        <w:t xml:space="preserve"> ao pagamento de indenização por danos morais no valor de R$ 10.000,00 (dez mil reais), com correção monetária e juros na forma da Lei n.º 14.905/2024.</w:t>
      </w:r>
    </w:p>
    <w:p>
      <w:pPr>
        <w:spacing w:before="0" w:after="120" w:line="360" w:lineRule="auto"/>
        <w:jc w:val="left"/>
      </w:pPr>
    </w:p>
    <w:p>
      <w:pPr>
        <w:spacing w:before="0" w:after="60" w:line="360" w:lineRule="auto"/>
        <w:jc w:val="center"/>
      </w:pPr>
      <w:r>
        <w:rPr>
          <w:rFonts w:ascii="Arial" w:eastAsia="Arial" w:hAnsi="Arial" w:cs="Arial"/>
          <w:color w:val="000000"/>
        </w:rPr>
        <w:t xml:space="preserve">Pede deferimento.</w:t>
      </w:r>
    </w:p>
    <w:p>
      <w:pPr>
        <w:spacing w:before="0" w:after="60" w:line="360" w:lineRule="auto"/>
        <w:jc w:val="center"/>
      </w:pPr>
      <w:r>
        <w:rPr>
          <w:rFonts w:ascii="Arial" w:eastAsia="Arial" w:hAnsi="Arial" w:cs="Arial"/>
          <w:color w:val="000000"/>
        </w:rPr>
        <w:t xml:space="preserve">Salvador/BA, [DATA DO PROTOCOLO] de outubro de 2026.</w:t>
      </w:r>
    </w:p>
    <w:p>
      <w:pPr>
        <w:spacing w:before="0" w:after="120" w:line="360" w:lineRule="auto"/>
        <w:jc w:val="left"/>
      </w:pPr>
    </w:p>
    <w:p>
      <w:pPr>
        <w:spacing w:before="0" w:after="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SIMONE MURTA MARTINS</w:t>
      </w:r>
    </w:p>
    <w:p>
      <w:pPr>
        <w:spacing w:before="0" w:after="0" w:line="360" w:lineRule="auto"/>
        <w:jc w:val="center"/>
      </w:pPr>
      <w:r>
        <w:rPr>
          <w:rFonts w:ascii="Arial" w:eastAsia="Arial" w:hAnsi="Arial" w:cs="Arial"/>
          <w:b/>
          <w:bCs/>
          <w:color w:val="000000"/>
        </w:rPr>
        <w:t xml:space="preserve">Advogada em causa própria — OAB/BA 48.851</w:t>
      </w:r>
    </w:p>
    <w:p>
      <w:pPr>
        <w:spacing w:before="0" w:after="12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Documentos: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Doc. 1 – Declaração de hipossuficiência; Doc. 2 – DAS do Simples Nacional (07/2026) e comprovante de agendamento; Doc. 3 – Declaração de IRPF [conferir]; Doc. 4 – Recibo de quitação apresentado pela Ferreira Costa na entrega, não assinado, com ressalva manuscrita, 15/07/2026; Doc. 5 – Ordem interna “Cumprimento de Sentença – Troca de Produto”, 15/07/2026; Doc. 6 – Fotografia da embalagem entregue (“Reservado Jurídico”), 15/07/2026; Doc. 7 – DANFe NF-e n.º 2.034.024 (15/07/2026).</w:t>
      </w:r>
    </w:p>
    <w:sectPr w:rsidR="009B5A0C" w:rsidSect="000208D1">
      <w:headerReference w:type="default" r:id="rId9"/>
      <w:footerReference w:type="default" r:id="rId10"/>
      <w:pgSz w:w="11906" w:h="16838"/>
      <w:pgMar w:top="1417" w:right="1701" w:bottom="1417" w:left="1701" w:header="141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9BDE" w14:textId="77777777" w:rsidR="004C37DF" w:rsidRDefault="004C37DF">
      <w:r>
        <w:separator/>
      </w:r>
    </w:p>
  </w:endnote>
  <w:endnote w:type="continuationSeparator" w:id="0">
    <w:p w14:paraId="0C8AE4BC" w14:textId="77777777" w:rsidR="004C37DF" w:rsidRDefault="004C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F1B6CE-6DC2-49B4-864C-A6DDC5F3D0D4}"/>
    <w:embedBold r:id="rId2" w:fontKey="{92730A9E-F849-4B25-ACC9-11DE704FA313}"/>
    <w:embedItalic r:id="rId3" w:fontKey="{FF03BD81-FCE3-4BE1-B15A-09C73ED856ED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4" w:fontKey="{1940623A-F31E-4D46-9590-40CC2BF0C8E9}"/>
    <w:embedBold r:id="rId5" w:fontKey="{E3E01D79-FB9D-4E45-BD69-F7B257419F63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03F8F00-EF59-4066-B9A0-9CB74FEC1291}"/>
    <w:embedBold r:id="rId7" w:fontKey="{32CCD95A-EF51-4DCF-A093-41AFC6FAD2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3A8C1679-E646-4BAA-B8AC-89C409431CC0}"/>
    <w:embedItalic r:id="rId9" w:fontKey="{49B9F5C5-F0BF-4FEE-A894-2A5726E582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9EE8D44C-63C6-4EF7-8E93-07325AD19BB4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Bold r:id="rId11" w:fontKey="{E17CC148-0D72-4736-9C23-CCD92EFB6A8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2" w:fontKey="{9D305128-8DA3-48FE-AA0F-F78496254D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E3976792-DD08-42A0-B555-A7203B5265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DA3E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📍</w:t>
    </w:r>
    <w:r>
      <w:rPr>
        <w:rFonts w:ascii="Arial" w:hAnsi="Arial" w:cs="Arial"/>
        <w:color w:val="464646"/>
        <w:sz w:val="18"/>
        <w:szCs w:val="18"/>
      </w:rPr>
      <w:t xml:space="preserve"> BUSINESS CLASS SOLUÇÕES EMPRESARIAIS LTDA – Av. Santos Dumont, nº 1883, Salas 533/532, Ed. Aero Empresarial, Bairro Centro, Lauro de Freitas/BA, CEP 42702-400.</w:t>
    </w:r>
  </w:p>
  <w:p w14:paraId="02A54C2D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📲</w:t>
    </w:r>
    <w:r>
      <w:rPr>
        <w:rFonts w:ascii="Arial" w:hAnsi="Arial" w:cs="Arial"/>
        <w:color w:val="464646"/>
        <w:sz w:val="18"/>
        <w:szCs w:val="18"/>
      </w:rPr>
      <w:t xml:space="preserve"> WhatsApp: (71) 9 9407-0393</w:t>
    </w:r>
  </w:p>
  <w:p w14:paraId="1A68110C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📧</w:t>
    </w:r>
    <w:r>
      <w:rPr>
        <w:rFonts w:ascii="Arial" w:hAnsi="Arial" w:cs="Arial"/>
        <w:color w:val="464646"/>
        <w:sz w:val="18"/>
        <w:szCs w:val="18"/>
      </w:rPr>
      <w:t xml:space="preserve"> </w:t>
    </w:r>
    <w:hyperlink r:id="rId1" w:history="1">
      <w:r w:rsidR="006D2EB3" w:rsidRPr="00CA01EA">
        <w:rPr>
          <w:rStyle w:val="Hyperlink"/>
          <w:rFonts w:ascii="Arial" w:hAnsi="Arial" w:cs="Arial"/>
          <w:sz w:val="18"/>
          <w:szCs w:val="18"/>
        </w:rPr>
        <w:t>adv.simonemurta@gmail.com</w:t>
      </w:r>
    </w:hyperlink>
  </w:p>
  <w:p w14:paraId="2562C3C4" w14:textId="77777777" w:rsidR="006D2EB3" w:rsidRDefault="006D2EB3" w:rsidP="00064223">
    <w:pPr>
      <w:pStyle w:val="NormalWeb"/>
      <w:spacing w:before="0" w:beforeAutospacing="0" w:after="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09FC" w14:textId="77777777" w:rsidR="004C37DF" w:rsidRDefault="004C37DF">
      <w:r>
        <w:separator/>
      </w:r>
    </w:p>
  </w:footnote>
  <w:footnote w:type="continuationSeparator" w:id="0">
    <w:p w14:paraId="3DD4EE2F" w14:textId="77777777" w:rsidR="004C37DF" w:rsidRDefault="004C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B934" w14:textId="77777777" w:rsidR="00BD7D8C" w:rsidRDefault="004C37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Calibri"/>
        <w:color w:val="000000"/>
        <w:sz w:val="22"/>
        <w:szCs w:val="22"/>
      </w:rPr>
    </w:pPr>
    <w:sdt>
      <w:sdtPr>
        <w:rPr>
          <w:rFonts w:eastAsia="Calibri"/>
          <w:color w:val="000000"/>
          <w:sz w:val="22"/>
          <w:szCs w:val="22"/>
        </w:rPr>
        <w:id w:val="1334491073"/>
        <w:docPartObj>
          <w:docPartGallery w:val="Page Numbers (Margins)"/>
          <w:docPartUnique/>
        </w:docPartObj>
      </w:sdtPr>
      <w:sdtEndPr/>
      <w:sdtContent>
        <w:r w:rsidR="006D2EB3" w:rsidRPr="006D2EB3">
          <w:rPr>
            <w:rFonts w:eastAsia="Calibri"/>
            <w:noProof/>
            <w:color w:val="000000"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7A04D294" wp14:editId="0BF8D16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6" name="Agrupar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7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2CA642" w14:textId="77777777" w:rsidR="006D2EB3" w:rsidRDefault="006D2EB3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9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A04D294" id="Agrupar 6" o:spid="_x0000_s1026" style="position:absolute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CZxQ1XQwMAAL0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  <v:textbox inset="0,0,0,0">
                      <w:txbxContent>
                        <w:p w14:paraId="542CA642" w14:textId="77777777" w:rsidR="006D2EB3" w:rsidRDefault="006D2EB3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582C3D">
      <w:rPr>
        <w:rFonts w:eastAsia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3D588A9" wp14:editId="599733B6">
              <wp:simplePos x="0" y="0"/>
              <wp:positionH relativeFrom="page">
                <wp:posOffset>9525</wp:posOffset>
              </wp:positionH>
              <wp:positionV relativeFrom="topMargin">
                <wp:posOffset>1</wp:posOffset>
              </wp:positionV>
              <wp:extent cx="7563475" cy="896421"/>
              <wp:effectExtent l="0" t="0" r="0" b="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475" cy="896421"/>
                        <a:chOff x="1574100" y="3113250"/>
                        <a:chExt cx="7562850" cy="1014095"/>
                      </a:xfrm>
                    </wpg:grpSpPr>
                    <wpg:grpSp>
                      <wpg:cNvPr id="1488149965" name="Group 1488149965"/>
                      <wpg:cNvGrpSpPr/>
                      <wpg:grpSpPr>
                        <a:xfrm>
                          <a:off x="1574100" y="3113250"/>
                          <a:ext cx="7562850" cy="1014095"/>
                          <a:chOff x="15" y="-219"/>
                          <a:chExt cx="11910" cy="1597"/>
                        </a:xfrm>
                      </wpg:grpSpPr>
                      <wps:wsp>
                        <wps:cNvPr id="512740" name="Rectangle 512740"/>
                        <wps:cNvSpPr/>
                        <wps:spPr>
                          <a:xfrm>
                            <a:off x="4185" y="256"/>
                            <a:ext cx="77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83EA5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F1816"/>
                                  <w:sz w:val="32"/>
                                  <w:szCs w:val="32"/>
                                </w:rPr>
                                <w:t>SIMONE MURTA MARTINS</w:t>
                              </w:r>
                            </w:p>
                            <w:p w14:paraId="31C81E94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A9826A"/>
                                  <w:sz w:val="22"/>
                                  <w:szCs w:val="22"/>
                                </w:rPr>
                                <w:t>ADVOGADA – DIREITO DA SAÚDE</w:t>
                              </w:r>
                            </w:p>
                            <w:p w14:paraId="6549D70D" w14:textId="77777777" w:rsidR="00BD7D8C" w:rsidRDefault="00BD7D8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5400210" name="Freeform: Shape 2065400210"/>
                        <wps:cNvSpPr/>
                        <wps:spPr>
                          <a:xfrm>
                            <a:off x="15" y="-202"/>
                            <a:ext cx="5955" cy="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" h="1662" extrusionOk="0">
                                <a:moveTo>
                                  <a:pt x="0" y="1661"/>
                                </a:moveTo>
                                <a:lnTo>
                                  <a:pt x="0" y="0"/>
                                </a:lnTo>
                                <a:lnTo>
                                  <a:pt x="6248" y="0"/>
                                </a:lnTo>
                                <a:lnTo>
                                  <a:pt x="0" y="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8640">
                              <a:alpha val="46666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26097C" w14:textId="77777777" w:rsidR="00064223" w:rsidRPr="00064223" w:rsidRDefault="00064223" w:rsidP="0006422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color w:val="A9826A"/>
                                  <w:sz w:val="84"/>
                                  <w:szCs w:val="84"/>
                                </w:rPr>
                                <w:t xml:space="preserve">             </w:t>
                              </w:r>
                            </w:p>
                            <w:p w14:paraId="4C46AA98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i/>
                                  <w:color w:val="A9826A"/>
                                  <w:sz w:val="76"/>
                                  <w:szCs w:val="76"/>
                                </w:rPr>
                                <w:t xml:space="preserve">      </w:t>
                              </w:r>
                              <w:r w:rsidRPr="00064223"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  <w:t xml:space="preserve">SM </w:t>
                              </w:r>
                            </w:p>
                            <w:p w14:paraId="4E0B6D2C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sz w:val="80"/>
                                  <w:szCs w:val="80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7380056" name="Freeform: Shape 527380056"/>
                        <wps:cNvSpPr/>
                        <wps:spPr>
                          <a:xfrm>
                            <a:off x="4364" y="-219"/>
                            <a:ext cx="7561" cy="1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" h="973" extrusionOk="0">
                                <a:moveTo>
                                  <a:pt x="0" y="0"/>
                                </a:moveTo>
                                <a:lnTo>
                                  <a:pt x="7560" y="0"/>
                                </a:lnTo>
                                <a:lnTo>
                                  <a:pt x="7560" y="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1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D588A9" id="Group 12" o:spid="_x0000_s1031" style="position:absolute;margin-left:.75pt;margin-top:0;width:595.55pt;height:70.6pt;z-index:-251658240;mso-wrap-distance-left:0;mso-wrap-distance-right:0;mso-position-horizontal-relative:page;mso-position-vertical-relative:top-margin-area;mso-width-relative:margin;mso-height-relative:margin" coordorigin="15741,31132" coordsize="75628,10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">
              <v:group id="Group 1488149965" o:spid="_x0000_s1032" style="position:absolute;left:15741;top:31132;width:75628;height:10141" coordorigin="15,-219" coordsize="11910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">
                <v:rect id="Rectangle 512740" o:spid="_x0000_s1033" style="position:absolute;left:4185;top:256;width:7710;height:1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" filled="f" stroked="f">
                  <v:textbox inset="2.53958mm,2.53958mm,2.53958mm,2.53958mm">
                    <w:txbxContent>
                      <w:p w14:paraId="3D383EA5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F1816"/>
                            <w:sz w:val="32"/>
                            <w:szCs w:val="32"/>
                          </w:rPr>
                          <w:t>SIMONE MURTA MARTINS</w:t>
                        </w:r>
                      </w:p>
                      <w:p w14:paraId="31C81E94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color w:val="A9826A"/>
                            <w:sz w:val="22"/>
                            <w:szCs w:val="22"/>
                          </w:rPr>
                          <w:t>ADVOGADA – DIREITO DA SAÚDE</w:t>
                        </w:r>
                      </w:p>
                      <w:p w14:paraId="6549D70D" w14:textId="77777777" w:rsidR="00BD7D8C" w:rsidRDefault="00BD7D8C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2065400210" o:spid="_x0000_s1034" style="position:absolute;left:15;top:-202;width:5955;height:1510;visibility:visible;mso-wrap-style:square;v-text-anchor:middle" coordsize="6248,16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" adj="-11796480,,5400" path="m,1661l,,6248,,,1661xe" fillcolor="#a88640" stroked="f">
                  <v:fill opacity="30583f"/>
                  <v:stroke joinstyle="miter"/>
                  <v:formulas/>
                  <v:path arrowok="t" o:extrusionok="f" o:connecttype="custom" textboxrect="0,0,6248,1662"/>
                  <v:textbox inset="2.53958mm,2.53958mm,2.53958mm,2.53958mm">
                    <w:txbxContent>
                      <w:p w14:paraId="1626097C" w14:textId="77777777" w:rsidR="00064223" w:rsidRPr="00064223" w:rsidRDefault="00064223" w:rsidP="00064223">
                        <w:pPr>
                          <w:pStyle w:val="NormalWeb"/>
                          <w:spacing w:before="0" w:beforeAutospacing="0" w:after="0" w:afterAutospacing="0"/>
                          <w:rPr>
                            <w:i/>
                          </w:rPr>
                        </w:pPr>
                        <w:r>
                          <w:rPr>
                            <w:color w:val="A9826A"/>
                            <w:sz w:val="84"/>
                            <w:szCs w:val="84"/>
                          </w:rPr>
                          <w:t xml:space="preserve">             </w:t>
                        </w:r>
                      </w:p>
                      <w:p w14:paraId="4C46AA98" w14:textId="77777777" w:rsidR="00064223" w:rsidRPr="00064223" w:rsidRDefault="00064223" w:rsidP="00064223">
                        <w:pPr>
                          <w:jc w:val="center"/>
                          <w:rPr>
                            <w:color w:val="A9826A"/>
                            <w:sz w:val="76"/>
                            <w:szCs w:val="76"/>
                          </w:rPr>
                        </w:pPr>
                        <w:r>
                          <w:rPr>
                            <w:i/>
                            <w:color w:val="A9826A"/>
                            <w:sz w:val="76"/>
                            <w:szCs w:val="76"/>
                          </w:rPr>
                          <w:t xml:space="preserve">      </w:t>
                        </w:r>
                        <w:r w:rsidRPr="00064223">
                          <w:rPr>
                            <w:color w:val="A9826A"/>
                            <w:sz w:val="76"/>
                            <w:szCs w:val="76"/>
                          </w:rPr>
                          <w:t xml:space="preserve">SM </w:t>
                        </w:r>
                      </w:p>
                      <w:p w14:paraId="4E0B6D2C" w14:textId="77777777" w:rsidR="00064223" w:rsidRPr="00064223" w:rsidRDefault="00064223" w:rsidP="00064223">
                        <w:pPr>
                          <w:jc w:val="center"/>
                          <w:rPr>
                            <w:sz w:val="80"/>
                            <w:szCs w:val="80"/>
                          </w:rPr>
                        </w:pPr>
                      </w:p>
                    </w:txbxContent>
                  </v:textbox>
                </v:shape>
                <v:shape id="Freeform: Shape 527380056" o:spid="_x0000_s1035" style="position:absolute;left:4364;top:-219;width:7561;height:1169;visibility:visible;mso-wrap-style:square;v-text-anchor:middle" coordsize="756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" path="m,l7560,r,972l,xe" fillcolor="#311313" stroked="f">
                  <v:path arrowok="t" o:extrusionok="f"/>
                </v:shape>
              </v:group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F4B"/>
    <w:multiLevelType w:val="hybridMultilevel"/>
    <w:tmpl w:val="85EE829A"/>
    <w:lvl w:ilvl="0" w:tplc="E9FAA40A">
      <w:start w:val="1"/>
      <w:numFmt w:val="bullet"/>
      <w:lvlText w:val="•"/>
      <w:lvlJc w:val="left"/>
      <w:pPr>
        <w:ind w:left="720" w:hanging="360"/>
      </w:pPr>
    </w:lvl>
    <w:lvl w:ilvl="1" w:tplc="8960D0A4">
      <w:numFmt w:val="decimal"/>
      <w:lvlText w:val=""/>
      <w:lvlJc w:val="left"/>
    </w:lvl>
    <w:lvl w:ilvl="2" w:tplc="99026E82">
      <w:numFmt w:val="decimal"/>
      <w:lvlText w:val=""/>
      <w:lvlJc w:val="left"/>
    </w:lvl>
    <w:lvl w:ilvl="3" w:tplc="06D45CA0">
      <w:numFmt w:val="decimal"/>
      <w:lvlText w:val=""/>
      <w:lvlJc w:val="left"/>
    </w:lvl>
    <w:lvl w:ilvl="4" w:tplc="F37A150C">
      <w:numFmt w:val="decimal"/>
      <w:lvlText w:val=""/>
      <w:lvlJc w:val="left"/>
    </w:lvl>
    <w:lvl w:ilvl="5" w:tplc="E8F474D6">
      <w:numFmt w:val="decimal"/>
      <w:lvlText w:val=""/>
      <w:lvlJc w:val="left"/>
    </w:lvl>
    <w:lvl w:ilvl="6" w:tplc="BF4A273C">
      <w:numFmt w:val="decimal"/>
      <w:lvlText w:val=""/>
      <w:lvlJc w:val="left"/>
    </w:lvl>
    <w:lvl w:ilvl="7" w:tplc="8AF41AF0">
      <w:numFmt w:val="decimal"/>
      <w:lvlText w:val=""/>
      <w:lvlJc w:val="left"/>
    </w:lvl>
    <w:lvl w:ilvl="8" w:tplc="B9D6BFA2">
      <w:numFmt w:val="decimal"/>
      <w:lvlText w:val=""/>
      <w:lvlJc w:val="left"/>
    </w:lvl>
  </w:abstractNum>
  <w:abstractNum w:abstractNumId="1" w15:restartNumberingAfterBreak="0">
    <w:nsid w:val="104611D8"/>
    <w:multiLevelType w:val="multilevel"/>
    <w:tmpl w:val="5CDAB2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0950EE"/>
    <w:multiLevelType w:val="multilevel"/>
    <w:tmpl w:val="0C7C7626"/>
    <w:lvl w:ilvl="0">
      <w:start w:val="1"/>
      <w:numFmt w:val="lowerLetter"/>
      <w:lvlText w:val="%1)"/>
      <w:lvlJc w:val="left"/>
      <w:pPr>
        <w:tabs>
          <w:tab w:val="num" w:pos="0"/>
        </w:tabs>
        <w:ind w:left="2345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05" w:hanging="180"/>
      </w:pPr>
    </w:lvl>
  </w:abstractNum>
  <w:abstractNum w:abstractNumId="3" w15:restartNumberingAfterBreak="0">
    <w:nsid w:val="2D3A4447"/>
    <w:multiLevelType w:val="hybridMultilevel"/>
    <w:tmpl w:val="2A90517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C5B376B"/>
    <w:multiLevelType w:val="hybridMultilevel"/>
    <w:tmpl w:val="464AD71E"/>
    <w:lvl w:ilvl="0" w:tplc="BEA8C8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2586D"/>
    <w:multiLevelType w:val="hybridMultilevel"/>
    <w:tmpl w:val="E3BA1564"/>
    <w:lvl w:ilvl="0" w:tplc="EF344754">
      <w:start w:val="1"/>
      <w:numFmt w:val="low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AC75E1E"/>
    <w:multiLevelType w:val="hybridMultilevel"/>
    <w:tmpl w:val="1D001148"/>
    <w:lvl w:ilvl="0" w:tplc="542C9B1C">
      <w:start w:val="1"/>
      <w:numFmt w:val="lowerLetter"/>
      <w:lvlText w:val="%1)"/>
      <w:lvlJc w:val="left"/>
      <w:pPr>
        <w:ind w:left="643" w:hanging="360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75CA08A6"/>
    <w:multiLevelType w:val="hybridMultilevel"/>
    <w:tmpl w:val="790C5D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F64E5"/>
    <w:multiLevelType w:val="hybridMultilevel"/>
    <w:tmpl w:val="E1866D52"/>
    <w:lvl w:ilvl="0" w:tplc="51B891EA">
      <w:start w:val="1"/>
      <w:numFmt w:val="bullet"/>
      <w:lvlText w:val="•"/>
      <w:lvlJc w:val="left"/>
      <w:pPr>
        <w:ind w:left="644" w:hanging="360"/>
      </w:pPr>
    </w:lvl>
    <w:lvl w:ilvl="1" w:tplc="4CA47EF2">
      <w:numFmt w:val="decimal"/>
      <w:lvlText w:val=""/>
      <w:lvlJc w:val="left"/>
    </w:lvl>
    <w:lvl w:ilvl="2" w:tplc="A4EEDC08">
      <w:numFmt w:val="decimal"/>
      <w:lvlText w:val=""/>
      <w:lvlJc w:val="left"/>
    </w:lvl>
    <w:lvl w:ilvl="3" w:tplc="D0086384">
      <w:numFmt w:val="decimal"/>
      <w:lvlText w:val=""/>
      <w:lvlJc w:val="left"/>
    </w:lvl>
    <w:lvl w:ilvl="4" w:tplc="2C345388">
      <w:numFmt w:val="decimal"/>
      <w:lvlText w:val=""/>
      <w:lvlJc w:val="left"/>
    </w:lvl>
    <w:lvl w:ilvl="5" w:tplc="F7482D38">
      <w:numFmt w:val="decimal"/>
      <w:lvlText w:val=""/>
      <w:lvlJc w:val="left"/>
    </w:lvl>
    <w:lvl w:ilvl="6" w:tplc="35E62A14">
      <w:numFmt w:val="decimal"/>
      <w:lvlText w:val=""/>
      <w:lvlJc w:val="left"/>
    </w:lvl>
    <w:lvl w:ilvl="7" w:tplc="87789926">
      <w:numFmt w:val="decimal"/>
      <w:lvlText w:val=""/>
      <w:lvlJc w:val="left"/>
    </w:lvl>
    <w:lvl w:ilvl="8" w:tplc="DD4EAD4C">
      <w:numFmt w:val="decimal"/>
      <w:lvlText w:val=""/>
      <w:lvlJc w:val="left"/>
    </w:lvl>
  </w:abstractNum>
  <w:abstractNum w:abstractNumId="9" w15:restartNumberingAfterBreak="0">
    <w:nsid w:val="7FEE1A18"/>
    <w:multiLevelType w:val="hybridMultilevel"/>
    <w:tmpl w:val="45D0B7E2"/>
    <w:lvl w:ilvl="0" w:tplc="E12A90BE">
      <w:start w:val="1"/>
      <w:numFmt w:val="lowerLetter"/>
      <w:lvlText w:val="%1)"/>
      <w:lvlJc w:val="left"/>
      <w:pPr>
        <w:ind w:left="688" w:hanging="405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num w:numId="1" w16cid:durableId="1474129897">
    <w:abstractNumId w:val="1"/>
  </w:num>
  <w:num w:numId="2" w16cid:durableId="17692321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5071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6317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50108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606052">
    <w:abstractNumId w:val="5"/>
  </w:num>
  <w:num w:numId="7" w16cid:durableId="1944024107">
    <w:abstractNumId w:val="7"/>
  </w:num>
  <w:num w:numId="8" w16cid:durableId="878057534">
    <w:abstractNumId w:val="3"/>
  </w:num>
  <w:num w:numId="9" w16cid:durableId="1028798650">
    <w:abstractNumId w:val="0"/>
    <w:lvlOverride w:ilvl="0">
      <w:startOverride w:val="1"/>
    </w:lvlOverride>
  </w:num>
  <w:num w:numId="10" w16cid:durableId="1188638094">
    <w:abstractNumId w:val="8"/>
    <w:lvlOverride w:ilvl="0">
      <w:startOverride w:val="1"/>
    </w:lvlOverride>
  </w:num>
  <w:num w:numId="11" w16cid:durableId="2037459559">
    <w:abstractNumId w:val="2"/>
  </w:num>
  <w:num w:numId="12" w16cid:durableId="1501197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8C"/>
    <w:rsid w:val="000208D1"/>
    <w:rsid w:val="00020A63"/>
    <w:rsid w:val="00033987"/>
    <w:rsid w:val="00047169"/>
    <w:rsid w:val="00064223"/>
    <w:rsid w:val="000A4C25"/>
    <w:rsid w:val="000B0139"/>
    <w:rsid w:val="000C00E8"/>
    <w:rsid w:val="000C482A"/>
    <w:rsid w:val="000F0D3A"/>
    <w:rsid w:val="000F18DD"/>
    <w:rsid w:val="00107542"/>
    <w:rsid w:val="00140DA4"/>
    <w:rsid w:val="001F3E82"/>
    <w:rsid w:val="0020096A"/>
    <w:rsid w:val="0020638E"/>
    <w:rsid w:val="00216185"/>
    <w:rsid w:val="002330CD"/>
    <w:rsid w:val="00281757"/>
    <w:rsid w:val="002B3590"/>
    <w:rsid w:val="002C3E6C"/>
    <w:rsid w:val="0031066E"/>
    <w:rsid w:val="00312109"/>
    <w:rsid w:val="00351053"/>
    <w:rsid w:val="00393809"/>
    <w:rsid w:val="003A4B1D"/>
    <w:rsid w:val="003B44EE"/>
    <w:rsid w:val="003D2609"/>
    <w:rsid w:val="00432622"/>
    <w:rsid w:val="00445D34"/>
    <w:rsid w:val="004465B2"/>
    <w:rsid w:val="00463DA5"/>
    <w:rsid w:val="0046616E"/>
    <w:rsid w:val="004800FB"/>
    <w:rsid w:val="004C37DF"/>
    <w:rsid w:val="004D7E8F"/>
    <w:rsid w:val="004E6FA2"/>
    <w:rsid w:val="004F04F0"/>
    <w:rsid w:val="00503C5F"/>
    <w:rsid w:val="00533887"/>
    <w:rsid w:val="00547558"/>
    <w:rsid w:val="00557C08"/>
    <w:rsid w:val="005640CC"/>
    <w:rsid w:val="00570E3B"/>
    <w:rsid w:val="005753CF"/>
    <w:rsid w:val="00581653"/>
    <w:rsid w:val="00582C3D"/>
    <w:rsid w:val="00585526"/>
    <w:rsid w:val="005B3653"/>
    <w:rsid w:val="005D7D4D"/>
    <w:rsid w:val="006043D3"/>
    <w:rsid w:val="0060749D"/>
    <w:rsid w:val="00613553"/>
    <w:rsid w:val="00626A45"/>
    <w:rsid w:val="00640D3C"/>
    <w:rsid w:val="006630FE"/>
    <w:rsid w:val="00676850"/>
    <w:rsid w:val="006D2EB3"/>
    <w:rsid w:val="006F7AA2"/>
    <w:rsid w:val="0071297C"/>
    <w:rsid w:val="00714FC0"/>
    <w:rsid w:val="0072041B"/>
    <w:rsid w:val="007531E2"/>
    <w:rsid w:val="00757074"/>
    <w:rsid w:val="0076225E"/>
    <w:rsid w:val="00796D38"/>
    <w:rsid w:val="007A21A6"/>
    <w:rsid w:val="007A3073"/>
    <w:rsid w:val="007A4374"/>
    <w:rsid w:val="007B79A4"/>
    <w:rsid w:val="007E285B"/>
    <w:rsid w:val="007F0BF7"/>
    <w:rsid w:val="00831E36"/>
    <w:rsid w:val="00855358"/>
    <w:rsid w:val="00860982"/>
    <w:rsid w:val="008643AC"/>
    <w:rsid w:val="00865F29"/>
    <w:rsid w:val="008B0226"/>
    <w:rsid w:val="008B44E7"/>
    <w:rsid w:val="008E5DFA"/>
    <w:rsid w:val="00906738"/>
    <w:rsid w:val="00925183"/>
    <w:rsid w:val="009331B5"/>
    <w:rsid w:val="009553E3"/>
    <w:rsid w:val="009666A1"/>
    <w:rsid w:val="00970B09"/>
    <w:rsid w:val="009930EC"/>
    <w:rsid w:val="009B37EA"/>
    <w:rsid w:val="009B5A0C"/>
    <w:rsid w:val="009D413A"/>
    <w:rsid w:val="00A33732"/>
    <w:rsid w:val="00A50A78"/>
    <w:rsid w:val="00A86346"/>
    <w:rsid w:val="00A92E29"/>
    <w:rsid w:val="00A970F2"/>
    <w:rsid w:val="00AB62B5"/>
    <w:rsid w:val="00AE6274"/>
    <w:rsid w:val="00AE780B"/>
    <w:rsid w:val="00B15F39"/>
    <w:rsid w:val="00B317D2"/>
    <w:rsid w:val="00B44568"/>
    <w:rsid w:val="00B61DF5"/>
    <w:rsid w:val="00B668CB"/>
    <w:rsid w:val="00B71F25"/>
    <w:rsid w:val="00BB0DF4"/>
    <w:rsid w:val="00BB4E14"/>
    <w:rsid w:val="00BD7D8C"/>
    <w:rsid w:val="00BF2E0C"/>
    <w:rsid w:val="00C048A6"/>
    <w:rsid w:val="00C63C74"/>
    <w:rsid w:val="00C9064F"/>
    <w:rsid w:val="00CA553D"/>
    <w:rsid w:val="00CA7876"/>
    <w:rsid w:val="00CC0B96"/>
    <w:rsid w:val="00CE5FFD"/>
    <w:rsid w:val="00D36194"/>
    <w:rsid w:val="00D5131D"/>
    <w:rsid w:val="00D542D5"/>
    <w:rsid w:val="00D62D9B"/>
    <w:rsid w:val="00D978E4"/>
    <w:rsid w:val="00DA0575"/>
    <w:rsid w:val="00DA3992"/>
    <w:rsid w:val="00E26955"/>
    <w:rsid w:val="00E56600"/>
    <w:rsid w:val="00E665CC"/>
    <w:rsid w:val="00E72C0C"/>
    <w:rsid w:val="00E86F58"/>
    <w:rsid w:val="00EE6AF9"/>
    <w:rsid w:val="00F16CE7"/>
    <w:rsid w:val="00F170BE"/>
    <w:rsid w:val="00F26DB2"/>
    <w:rsid w:val="00F44B62"/>
    <w:rsid w:val="00F575CB"/>
    <w:rsid w:val="00F66C2B"/>
    <w:rsid w:val="00F86756"/>
    <w:rsid w:val="00F86DE1"/>
    <w:rsid w:val="00FB318B"/>
    <w:rsid w:val="00FC1F32"/>
    <w:rsid w:val="00F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CC9C2"/>
  <w15:docId w15:val="{B69C2C84-1D72-4E07-A903-E1ADE0D8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7E"/>
    <w:rPr>
      <w:rFonts w:eastAsiaTheme="minorEastAsia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1B0643"/>
    <w:pPr>
      <w:keepNext/>
      <w:numPr>
        <w:numId w:val="1"/>
      </w:numPr>
      <w:suppressAutoHyphens/>
      <w:spacing w:before="240" w:after="120"/>
      <w:outlineLvl w:val="0"/>
    </w:pPr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0723BA"/>
  </w:style>
  <w:style w:type="paragraph" w:styleId="Rodap">
    <w:name w:val="footer"/>
    <w:basedOn w:val="Normal"/>
    <w:link w:val="Rodap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0723BA"/>
  </w:style>
  <w:style w:type="character" w:styleId="Forte">
    <w:name w:val="Strong"/>
    <w:aliases w:val="CORPO TEXTO"/>
    <w:uiPriority w:val="22"/>
    <w:qFormat/>
    <w:rsid w:val="00DA5BCE"/>
    <w:rPr>
      <w:rFonts w:ascii="Garamond" w:hAnsi="Garamond"/>
      <w:b/>
      <w:bCs/>
      <w:color w:val="auto"/>
      <w:sz w:val="28"/>
    </w:rPr>
  </w:style>
  <w:style w:type="character" w:styleId="Hyperlink">
    <w:name w:val="Hyperlink"/>
    <w:basedOn w:val="Fontepargpadro"/>
    <w:uiPriority w:val="99"/>
    <w:unhideWhenUsed/>
    <w:rsid w:val="00F865F5"/>
    <w:rPr>
      <w:color w:val="0563C1" w:themeColor="hyperlink"/>
      <w:u w:val="single"/>
    </w:rPr>
  </w:style>
  <w:style w:type="paragraph" w:customStyle="1" w:styleId="Default">
    <w:name w:val="Default"/>
    <w:rsid w:val="001840BA"/>
    <w:pPr>
      <w:autoSpaceDE w:val="0"/>
      <w:autoSpaceDN w:val="0"/>
      <w:adjustRightInd w:val="0"/>
    </w:pPr>
    <w:rPr>
      <w:rFonts w:ascii="Garamond" w:eastAsiaTheme="minorEastAsia" w:hAnsi="Garamond" w:cs="Garamond"/>
      <w:color w:val="000000"/>
    </w:rPr>
  </w:style>
  <w:style w:type="paragraph" w:styleId="Recuodecorpodetexto">
    <w:name w:val="Body Text Indent"/>
    <w:basedOn w:val="Normal"/>
    <w:link w:val="RecuodecorpodetextoChar"/>
    <w:rsid w:val="001840BA"/>
    <w:pPr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1840B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53A58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BE621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621D"/>
    <w:rPr>
      <w:rFonts w:eastAsiaTheme="minorEastAsia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1B0643"/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character" w:customStyle="1" w:styleId="Caracteresdenotaderodap">
    <w:name w:val="Caracteres de nota de rodapé"/>
    <w:rsid w:val="001B0643"/>
  </w:style>
  <w:style w:type="character" w:styleId="Refdenotaderodap">
    <w:name w:val="footnote reference"/>
    <w:rsid w:val="001B0643"/>
    <w:rPr>
      <w:vertAlign w:val="superscript"/>
    </w:rPr>
  </w:style>
  <w:style w:type="paragraph" w:styleId="Textodenotaderodap">
    <w:name w:val="footnote text"/>
    <w:basedOn w:val="Normal"/>
    <w:link w:val="TextodenotaderodapChar"/>
    <w:rsid w:val="001B0643"/>
    <w:pPr>
      <w:suppressLineNumbers/>
      <w:suppressAutoHyphens/>
      <w:ind w:left="340" w:hanging="340"/>
    </w:pPr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1B0643"/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paragraph" w:customStyle="1" w:styleId="CORPOHOMERO">
    <w:name w:val="CORPO HOMERO"/>
    <w:basedOn w:val="Normal"/>
    <w:link w:val="CORPOHOMEROChar"/>
    <w:qFormat/>
    <w:rsid w:val="001B0643"/>
    <w:pPr>
      <w:suppressAutoHyphens/>
      <w:spacing w:after="120" w:line="360" w:lineRule="auto"/>
      <w:ind w:firstLine="1134"/>
      <w:jc w:val="both"/>
    </w:pPr>
    <w:rPr>
      <w:rFonts w:ascii="Liberation Serif" w:eastAsia="NSimSun" w:hAnsi="Liberation Serif" w:cs="Arial"/>
      <w:kern w:val="2"/>
      <w:sz w:val="23"/>
      <w:lang w:eastAsia="zh-CN" w:bidi="hi-IN"/>
    </w:rPr>
  </w:style>
  <w:style w:type="paragraph" w:styleId="NormalWeb">
    <w:name w:val="Normal (Web)"/>
    <w:basedOn w:val="Normal"/>
    <w:uiPriority w:val="99"/>
    <w:unhideWhenUsed/>
    <w:rsid w:val="001B06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aramond">
    <w:name w:val="garamond"/>
    <w:basedOn w:val="Normal"/>
    <w:link w:val="garamondChar"/>
    <w:qFormat/>
    <w:rsid w:val="00084220"/>
    <w:pPr>
      <w:spacing w:line="360" w:lineRule="auto"/>
      <w:ind w:firstLine="2835"/>
      <w:jc w:val="both"/>
    </w:pPr>
    <w:rPr>
      <w:rFonts w:ascii="Garamond" w:eastAsia="Times New Roman" w:hAnsi="Garamond" w:cs="Times New Roman"/>
      <w:sz w:val="28"/>
      <w:szCs w:val="28"/>
    </w:rPr>
  </w:style>
  <w:style w:type="character" w:customStyle="1" w:styleId="garamondChar">
    <w:name w:val="garamond Char"/>
    <w:link w:val="garamond"/>
    <w:rsid w:val="00084220"/>
    <w:rPr>
      <w:rFonts w:ascii="Garamond" w:eastAsia="Times New Roman" w:hAnsi="Garamond" w:cs="Times New Roman"/>
      <w:sz w:val="28"/>
      <w:szCs w:val="28"/>
    </w:rPr>
  </w:style>
  <w:style w:type="character" w:customStyle="1" w:styleId="Fontepargpadro1">
    <w:name w:val="Fonte parág. padrão1"/>
    <w:rsid w:val="0039016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2041B"/>
    <w:rPr>
      <w:color w:val="605E5C"/>
      <w:shd w:val="clear" w:color="auto" w:fill="E1DFDD"/>
    </w:rPr>
  </w:style>
  <w:style w:type="paragraph" w:customStyle="1" w:styleId="paragrafopadrao">
    <w:name w:val="paragrafopadrao"/>
    <w:basedOn w:val="Normal"/>
    <w:rsid w:val="003B44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ispositivo">
    <w:name w:val="dispositivo"/>
    <w:basedOn w:val="Fontepargpadro"/>
    <w:rsid w:val="003B44EE"/>
  </w:style>
  <w:style w:type="paragraph" w:customStyle="1" w:styleId="Ttulo11">
    <w:name w:val="Título 11"/>
    <w:basedOn w:val="Normal"/>
    <w:uiPriority w:val="1"/>
    <w:qFormat/>
    <w:rsid w:val="003B44EE"/>
    <w:pPr>
      <w:widowControl w:val="0"/>
      <w:autoSpaceDE w:val="0"/>
      <w:autoSpaceDN w:val="0"/>
      <w:ind w:left="-1"/>
      <w:outlineLvl w:val="1"/>
    </w:pPr>
    <w:rPr>
      <w:rFonts w:ascii="Cambria" w:eastAsia="Cambria" w:hAnsi="Cambria" w:cs="Cambria"/>
      <w:b/>
      <w:bCs/>
      <w:lang w:val="pt-PT" w:eastAsia="en-US"/>
    </w:rPr>
  </w:style>
  <w:style w:type="table" w:styleId="Tabelacomgrade">
    <w:name w:val="Table Grid"/>
    <w:basedOn w:val="Tabelanormal"/>
    <w:uiPriority w:val="59"/>
    <w:rsid w:val="003B44E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6D2EB3"/>
  </w:style>
  <w:style w:type="character" w:customStyle="1" w:styleId="CORPOHOMEROChar">
    <w:name w:val="CORPO HOMERO Char"/>
    <w:basedOn w:val="Fontepargpadro"/>
    <w:link w:val="CORPOHOMERO"/>
    <w:rsid w:val="004D7E8F"/>
    <w:rPr>
      <w:rFonts w:ascii="Liberation Serif" w:eastAsia="NSimSun" w:hAnsi="Liberation Serif" w:cs="Arial"/>
      <w:kern w:val="2"/>
      <w:sz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.simonemur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qS/BMtqbpfhwy/MDYyrbz95vQ==">CgMxLjA4AHIhMUo5ZGt3b2VzZGwwTkYxRGdrSHU4ZUJseGZyejJ5UnJV</go:docsCustomData>
</go:gDocsCustomXmlDataStorage>
</file>

<file path=customXml/itemProps1.xml><?xml version="1.0" encoding="utf-8"?>
<ds:datastoreItem xmlns:ds="http://schemas.openxmlformats.org/officeDocument/2006/customXml" ds:itemID="{E822572D-D5DA-4E90-BC75-260BEC575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Simone Murta</cp:lastModifiedBy>
  <cp:revision>23</cp:revision>
  <cp:lastPrinted>2026-03-13T19:54:00Z</cp:lastPrinted>
  <dcterms:created xsi:type="dcterms:W3CDTF">2026-03-13T13:35:00Z</dcterms:created>
  <dcterms:modified xsi:type="dcterms:W3CDTF">2026-04-01T12:20:00Z</dcterms:modified>
</cp:coreProperties>
</file>