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Segoe UI" w:eastAsia="Segoe UI" w:hAnsi="Segoe UI" w:cs="Segoe UI"/>
          <w:b/>
          <w:bCs/>
          <w:color w:val="000000"/>
        </w:rPr>
        <w:t xml:space="preserve">julgou improcedente o pedido de indenização por danos morais</w:t>
      </w:r>
      <w:r>
        <w:rPr>
          <w:rFonts w:ascii="Segoe UI" w:eastAsia="Segoe UI" w:hAnsi="Segoe UI" w:cs="Segoe UI"/>
          <w:color w:val="000000"/>
        </w:rPr>
        <w:t xml:space="preserve">, vem, com fundamento nos arts. 41 e 42 da Lei n.º 9.099/1995, interpor </w:t>
      </w:r>
      <w:r>
        <w:rPr>
          <w:rFonts w:ascii="Segoe UI" w:eastAsia="Segoe UI" w:hAnsi="Segoe UI" w:cs="Segoe UI"/>
          <w:b/>
          <w:bCs/>
          <w:color w:val="000000"/>
        </w:rPr>
        <w:t xml:space="preserve">RECURSO INOMINADO</w:t>
      </w:r>
      <w:r>
        <w:rPr>
          <w:rFonts w:ascii="Segoe UI" w:eastAsia="Segoe UI" w:hAnsi="Segoe UI" w:cs="Segoe UI"/>
          <w:color w:val="000000"/>
        </w:rPr>
        <w:t xml:space="preserve"> para a Turma Recursal, com as razões anexas, requerendo o seu recebimento e a remessa dos autos ao Colegiado, e, preliminarmente, 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nos termos do tópico II.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Segoe UI" w:eastAsia="Segoe UI" w:hAnsi="Segoe UI" w:cs="Segoe UI"/>
          <w:b/>
          <w:bCs/>
          <w:color w:val="000000"/>
        </w:rPr>
        <w:t xml:space="preserve">improcedência do pedido de danos morais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Segoe UI" w:eastAsia="Segoe UI" w:hAnsi="Segoe UI" w:cs="Segoe UI"/>
          <w:b/>
          <w:bCs/>
          <w:color w:val="000000"/>
        </w:rPr>
        <w:t xml:space="preserve">ressalva expressa para a hipótese de assistência judiciária gratuita</w:t>
      </w:r>
      <w:r>
        <w:rPr>
          <w:rFonts w:ascii="Segoe UI" w:eastAsia="Segoe UI" w:hAnsi="Segoe UI" w:cs="Segoe UI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expõe, com transparência, </w:t>
      </w:r>
      <w:r>
        <w:rPr>
          <w:rFonts w:ascii="Segoe UI" w:eastAsia="Segoe UI" w:hAnsi="Segoe UI" w:cs="Segoe UI"/>
          <w:b/>
          <w:bCs/>
          <w:color w:val="000000"/>
        </w:rPr>
        <w:t xml:space="preserve">todas as suas fontes de renda e o seu quadro financeiro</w:t>
      </w:r>
      <w:r>
        <w:rPr>
          <w:rFonts w:ascii="Segoe UI" w:eastAsia="Segoe UI" w:hAnsi="Segoe UI" w:cs="Segoe UI"/>
          <w:color w:val="000000"/>
        </w:rPr>
        <w:t xml:space="preserve">, para que o Juízo aprecie o pedido com base em documentos e não em mera alegação. Em cumprimento à advertência final da sentença, junta: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(i) </w:t>
      </w:r>
      <w:r>
        <w:rPr>
          <w:rFonts w:ascii="Segoe UI" w:eastAsia="Segoe UI" w:hAnsi="Segoe UI" w:cs="Segoe UI"/>
          <w:b/>
          <w:bCs/>
          <w:color w:val="000000"/>
        </w:rPr>
        <w:t xml:space="preserve">Doc. 1</w:t>
      </w:r>
      <w:r>
        <w:rPr>
          <w:rFonts w:ascii="Segoe UI" w:eastAsia="Segoe UI" w:hAnsi="Segoe UI" w:cs="Segoe UI"/>
          <w:color w:val="000000"/>
        </w:rPr>
        <w:t xml:space="preserve"> – comprovantes da atividade advocatícia: cartão CNPJ da Murta Martins Sociedade Individual de Advocacia (situação ATIVA), documentos de arrecadação do Simples Nacional das competências 06, 07 e 08/2026 e relatórios de recebíveis de junho, julho e agosto de 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(ii) </w:t>
      </w:r>
      <w:r>
        <w:rPr>
          <w:rFonts w:ascii="Segoe UI" w:eastAsia="Segoe UI" w:hAnsi="Segoe UI" w:cs="Segoe UI"/>
          <w:b/>
          <w:bCs/>
          <w:color w:val="000000"/>
        </w:rPr>
        <w:t xml:space="preserve">Doc. 2</w:t>
      </w:r>
      <w:r>
        <w:rPr>
          <w:rFonts w:ascii="Segoe UI" w:eastAsia="Segoe UI" w:hAnsi="Segoe UI" w:cs="Segoe UI"/>
          <w:color w:val="000000"/>
        </w:rPr>
        <w:t xml:space="preserve"> – Declaração de Ajuste Anual do IRPF (exercício 2026, ano-calendário 2025) e contracheques de julho e agosto/2026 da Recorrente, servidora pública estadual.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a) Renda como servidora pública.</w:t>
      </w:r>
      <w:r>
        <w:rPr>
          <w:rFonts w:ascii="Segoe UI" w:eastAsia="Segoe UI" w:hAnsi="Segoe UI" w:cs="Segoe UI"/>
          <w:color w:val="000000"/>
        </w:rPr>
        <w:t xml:space="preserve"> A Recorrente é </w:t>
      </w:r>
      <w:r>
        <w:rPr>
          <w:rFonts w:ascii="Segoe UI" w:eastAsia="Segoe UI" w:hAnsi="Segoe UI" w:cs="Segoe UI"/>
          <w:b/>
          <w:bCs/>
          <w:color w:val="000000"/>
        </w:rPr>
        <w:t xml:space="preserve">enfermeira, servidora pública estadual efetiva da Secretaria da Saúde do Estado da Bahia (SESAB)</w:t>
      </w:r>
      <w:r>
        <w:rPr>
          <w:rFonts w:ascii="Segoe UI" w:eastAsia="Segoe UI" w:hAnsi="Segoe UI" w:cs="Segoe UI"/>
          <w:color w:val="000000"/>
        </w:rPr>
        <w:t xml:space="preserve">, matrícula n.º 19446560, vínculo que mantém e que não deixou para exercer a advocacia. Segundo o IRPF (ano-calendário 2025), os rendimentos tributáveis recebidos da Secretaria da Saúde somaram R$ 106.680,46, além do 13º salário de R$ 6.379,72. O contracheque de agosto/2026 registra vantagens de R$ 9.736,57 e descontos de R$ 6.156,52, dos quais R$ 1.317,06 de IRRF, R$ 1.317,59 de contribuição previdenciária, </w:t>
      </w:r>
      <w:r>
        <w:rPr>
          <w:rFonts w:ascii="Segoe UI" w:eastAsia="Segoe UI" w:hAnsi="Segoe UI" w:cs="Segoe UI"/>
          <w:b/>
          <w:bCs/>
          <w:color w:val="000000"/>
        </w:rPr>
        <w:t xml:space="preserve">R$ 2.092,62 de Planserv</w:t>
      </w:r>
      <w:r>
        <w:rPr>
          <w:rFonts w:ascii="Segoe UI" w:eastAsia="Segoe UI" w:hAnsi="Segoe UI" w:cs="Segoe UI"/>
          <w:color w:val="000000"/>
        </w:rPr>
        <w:t xml:space="preserve"> (assistência à saúde, dependente, cônjuge, plano especial e parcelas de risco) e R$ 1.429,25 de empréstimo consignado (parcela 77/96), restando o </w:t>
      </w:r>
      <w:r>
        <w:rPr>
          <w:rFonts w:ascii="Segoe UI" w:eastAsia="Segoe UI" w:hAnsi="Segoe UI" w:cs="Segoe UI"/>
          <w:b/>
          <w:bCs/>
          <w:color w:val="000000"/>
        </w:rPr>
        <w:t xml:space="preserve">valor líquido de R$ 3.580,05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b) Renda da advocacia.</w:t>
      </w:r>
      <w:r>
        <w:rPr>
          <w:rFonts w:ascii="Segoe UI" w:eastAsia="Segoe UI" w:hAnsi="Segoe UI" w:cs="Segoe UI"/>
          <w:color w:val="000000"/>
        </w:rPr>
        <w:t xml:space="preserve"> A Recorrente exerce a advocacia por meio de sociedade individual aberta em 15/08/2023. Conforme os relatórios de recebíveis do período (Doc. 1), a receita da sociedade, já deduzidos os repasses a clientes e a terceiros, foi de R$ 6.530,63 em junho, R$ 5.292,31 em julho e R$ 5.307,31 em agosto de 2026, </w:t>
      </w:r>
      <w:r>
        <w:rPr>
          <w:rFonts w:ascii="Segoe UI" w:eastAsia="Segoe UI" w:hAnsi="Segoe UI" w:cs="Segoe UI"/>
          <w:b/>
          <w:bCs/>
          <w:color w:val="000000"/>
        </w:rPr>
        <w:t xml:space="preserve">média aproximada de R$ 5.700,00 por mês</w:t>
      </w:r>
      <w:r>
        <w:rPr>
          <w:rFonts w:ascii="Segoe UI" w:eastAsia="Segoe UI" w:hAnsi="Segoe UI" w:cs="Segoe UI"/>
          <w:color w:val="000000"/>
        </w:rPr>
        <w:t xml:space="preserve">. Esse valor é anterior aos tributos (Simples Nacional de R$ 264,47 a R$ 471,00 por mês) e às despesas da atividade, como as de escritório e de divulgação, que em agosto/2026 totalizaram R$ 1.900,00. A advocacia, portanto, </w:t>
      </w:r>
      <w:r>
        <w:rPr>
          <w:rFonts w:ascii="Segoe UI" w:eastAsia="Segoe UI" w:hAnsi="Segoe UI" w:cs="Segoe UI"/>
          <w:b/>
          <w:bCs/>
          <w:color w:val="000000"/>
        </w:rPr>
        <w:t xml:space="preserve">não sustenta a Recorrente</w:t>
      </w:r>
      <w:r>
        <w:rPr>
          <w:rFonts w:ascii="Segoe UI" w:eastAsia="Segoe UI" w:hAnsi="Segoe UI" w:cs="Segoe UI"/>
          <w:color w:val="000000"/>
        </w:rPr>
        <w:t xml:space="preserve">, que a exerce como atividade complementar e ainda em consolidação.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c) Reserva financeira.</w:t>
      </w:r>
      <w:r>
        <w:rPr>
          <w:rFonts w:ascii="Segoe UI" w:eastAsia="Segoe UI" w:hAnsi="Segoe UI" w:cs="Segoe UI"/>
          <w:color w:val="000000"/>
        </w:rPr>
        <w:t xml:space="preserve"> Por honestidade, a Recorrente informa que o saldo da conta da sociedade de advocacia na plataforma de cobranças (Asaas) era de R$ 32.744,95 em 31/08/2026. Trata-se de valor que integra o caixa da sociedade. O patrimônio pessoal declarado no IRPF, em 31/12/2025, era de R$ 17.172,41, em saldos bancários.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d) Encargos.</w:t>
      </w:r>
      <w:r>
        <w:rPr>
          <w:rFonts w:ascii="Segoe UI" w:eastAsia="Segoe UI" w:hAnsi="Segoe UI" w:cs="Segoe UI"/>
          <w:color w:val="000000"/>
        </w:rPr>
        <w:t xml:space="preserve"> A Recorrente tem dois filhos menores dependentes. O IRPF registra, no ano-calendário 2025, despesas com instrução dos dois dependentes em estabelecimento particular (R$ 15.767,00 e R$ 15.150,00) e despesas médicas dedutíveis de R$ 26.802,95. A Recorrente acrescenta, sem comprovação documental, despesas ordinárias de alimentação e farmácia, que declara, neste ato, em valor estimado de </w:t>
      </w:r>
      <w:r>
        <w:rPr>
          <w:rFonts w:ascii="Segoe UI" w:eastAsia="Segoe UI" w:hAnsi="Segoe UI" w:cs="Segoe UI"/>
          <w:b/>
          <w:bCs/>
          <w:color w:val="000000"/>
        </w:rPr>
        <w:t xml:space="preserve">R$ 3.000,00 por mês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Assim, embora a Recorrente não seja pessoa sem rendimentos, a renda líquida que lhe sobra do salário e da advocacia, comprometida com plano de saúde, empréstimo consignado, educação e saúde dos filhos, é limitada, e o custeio do preparo e de eventual sucumbência representaria encargo que afeta o sustento próprio e familiar. Afirmações em sentido diverso são afastadas pelos documentos ora juntados, que a Recorrente submete integralmente à apreciação do Juízo (art. 99, § 2º, do CPC).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DECLARAÇÃO.</w:t>
      </w:r>
      <w:r>
        <w:rPr>
          <w:rFonts w:ascii="Segoe UI" w:eastAsia="Segoe UI" w:hAnsi="Segoe UI" w:cs="Segoe UI"/>
          <w:color w:val="000000"/>
        </w:rPr>
        <w:t xml:space="preserve"> </w:t>
      </w: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brasileira, advogada inscrita na OAB/BA sob o n.º 48.851, enfermeira e servidora pública estadual (SESAB, matrícula n.º 19446560), inscrita no CPF sob o n.º 786.071.755-72, </w:t>
      </w:r>
      <w:r>
        <w:rPr>
          <w:rFonts w:ascii="Segoe UI" w:eastAsia="Segoe UI" w:hAnsi="Segoe UI" w:cs="Segoe UI"/>
          <w:b/>
          <w:bCs/>
          <w:color w:val="000000"/>
        </w:rPr>
        <w:t xml:space="preserve">declara, sob as penas da lei</w:t>
      </w:r>
      <w:r>
        <w:rPr>
          <w:rFonts w:ascii="Segoe UI" w:eastAsia="Segoe UI" w:hAnsi="Segoe UI" w:cs="Segoe UI"/>
          <w:color w:val="000000"/>
        </w:rPr>
        <w:t xml:space="preserve">, para os fins do art. 98 e do art. 99, § 3º, do CPC, que as informações prestadas neste tópico são verdadeiras e estão acompanhadas dos Docs. 1 e 2; que o pagamento do preparo e das despesas processuais afetaria o seu sustento e o de sua família; e que está ciente de que a declaração falsa a sujeita às sanções legais.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 Requer, por fim, o recebimento do recurso e a sua remessa à Egrégia Turma Recursal, com as razões anexas.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r>
        <w:br w:type="page"/>
      </w:r>
    </w:p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À EGRÉGIA TURMA RECURSAL DOS JUIZADOS ESPECIAIS DO ESTADO DA BAHIA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 — origem: 20ª Vara do Sistema dos Juizados Especiais do Consumidor de Salvador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RAZÕES DO RECURSO INOMINADO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Egrégia Turma, eméritos Julgadores: a Recorrente requer a reforma da sentença no capítulo que julgou improcedente o pedido de indenização por danos morais, pelas razões a seguir.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SÍNTESE DA DEMANDA E DA SENTENÇA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cadeira foi trocada em 15/07/2026,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</w:t>
      </w:r>
      <w:r>
        <w:rPr>
          <w:rFonts w:ascii="Segoe UI" w:eastAsia="Segoe UI" w:hAnsi="Segoe UI" w:cs="Segoe UI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DAS RAZÕES DO RECURSO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II.1 – Cronologia: a troca ocorreu 27 dias depois do ajuizamento e 104 dias depois da reclamação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30/03/2026</w:t>
      </w:r>
      <w:r>
        <w:rPr>
          <w:rFonts w:ascii="Segoe UI" w:eastAsia="Segoe UI" w:hAnsi="Segoe UI" w:cs="Segoe UI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</w:t>
      </w:r>
      <w:r>
        <w:rPr>
          <w:rFonts w:ascii="Segoe UI" w:eastAsia="Segoe UI" w:hAnsi="Segoe UI" w:cs="Segoe UI"/>
          <w:b/>
          <w:bCs/>
          <w:color w:val="000000"/>
        </w:rPr>
        <w:t xml:space="preserve">02/04/2026</w:t>
      </w:r>
      <w:r>
        <w:rPr>
          <w:rFonts w:ascii="Segoe UI" w:eastAsia="Segoe UI" w:hAnsi="Segoe UI" w:cs="Segoe UI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Segoe UI" w:eastAsia="Segoe UI" w:hAnsi="Segoe UI" w:cs="Segoe UI"/>
          <w:b/>
          <w:bCs/>
          <w:color w:val="000000"/>
        </w:rPr>
        <w:t xml:space="preserve">sem retorno</w:t>
      </w:r>
      <w:r>
        <w:rPr>
          <w:rFonts w:ascii="Segoe UI" w:eastAsia="Segoe UI" w:hAnsi="Segoe UI" w:cs="Segoe UI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</w:t>
      </w:r>
      <w:r>
        <w:rPr>
          <w:rFonts w:ascii="Segoe UI" w:eastAsia="Segoe UI" w:hAnsi="Segoe UI" w:cs="Segoe UI"/>
          <w:b/>
          <w:bCs/>
          <w:color w:val="000000"/>
        </w:rPr>
        <w:t xml:space="preserve">08/04/2026</w:t>
      </w:r>
      <w:r>
        <w:rPr>
          <w:rFonts w:ascii="Segoe UI" w:eastAsia="Segoe UI" w:hAnsi="Segoe UI" w:cs="Segoe UI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Segoe UI" w:eastAsia="Segoe UI" w:hAnsi="Segoe UI" w:cs="Segoe UI"/>
          <w:b/>
          <w:bCs/>
          <w:color w:val="000000"/>
        </w:rPr>
        <w:t xml:space="preserve">Nada mais foi respondido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</w:t>
      </w:r>
      <w:r>
        <w:rPr>
          <w:rFonts w:ascii="Segoe UI" w:eastAsia="Segoe UI" w:hAnsi="Segoe UI" w:cs="Segoe UI"/>
          <w:b/>
          <w:bCs/>
          <w:color w:val="000000"/>
        </w:rPr>
        <w:t xml:space="preserve">02/05/2026</w:t>
      </w:r>
      <w:r>
        <w:rPr>
          <w:rFonts w:ascii="Segoe UI" w:eastAsia="Segoe UI" w:hAnsi="Segoe UI" w:cs="Segoe UI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e) </w:t>
      </w:r>
      <w:r>
        <w:rPr>
          <w:rFonts w:ascii="Segoe UI" w:eastAsia="Segoe UI" w:hAnsi="Segoe UI" w:cs="Segoe UI"/>
          <w:b/>
          <w:bCs/>
          <w:color w:val="000000"/>
        </w:rPr>
        <w:t xml:space="preserve">10/06/2026</w:t>
      </w:r>
      <w:r>
        <w:rPr>
          <w:rFonts w:ascii="Segoe UI" w:eastAsia="Segoe UI" w:hAnsi="Segoe UI" w:cs="Segoe UI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Segoe UI" w:eastAsia="Segoe UI" w:hAnsi="Segoe UI" w:cs="Segoe UI"/>
          <w:b/>
          <w:bCs/>
          <w:color w:val="000000"/>
        </w:rPr>
        <w:t xml:space="preserve">69 dias depois da reclamação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f) </w:t>
      </w:r>
      <w:r>
        <w:rPr>
          <w:rFonts w:ascii="Segoe UI" w:eastAsia="Segoe UI" w:hAnsi="Segoe UI" w:cs="Segoe UI"/>
          <w:b/>
          <w:bCs/>
          <w:color w:val="000000"/>
        </w:rPr>
        <w:t xml:space="preserve">12/06/2026</w:t>
      </w:r>
      <w:r>
        <w:rPr>
          <w:rFonts w:ascii="Segoe UI" w:eastAsia="Segoe UI" w:hAnsi="Segoe UI" w:cs="Segoe UI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g) </w:t>
      </w:r>
      <w:r>
        <w:rPr>
          <w:rFonts w:ascii="Segoe UI" w:eastAsia="Segoe UI" w:hAnsi="Segoe UI" w:cs="Segoe UI"/>
          <w:b/>
          <w:bCs/>
          <w:color w:val="000000"/>
        </w:rPr>
        <w:t xml:space="preserve">18/06/2026</w:t>
      </w:r>
      <w:r>
        <w:rPr>
          <w:rFonts w:ascii="Segoe UI" w:eastAsia="Segoe UI" w:hAnsi="Segoe UI" w:cs="Segoe UI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h) </w:t>
      </w:r>
      <w:r>
        <w:rPr>
          <w:rFonts w:ascii="Segoe UI" w:eastAsia="Segoe UI" w:hAnsi="Segoe UI" w:cs="Segoe UI"/>
          <w:b/>
          <w:bCs/>
          <w:color w:val="000000"/>
        </w:rPr>
        <w:t xml:space="preserve">15/07/2026</w:t>
      </w:r>
      <w:r>
        <w:rPr>
          <w:rFonts w:ascii="Segoe UI" w:eastAsia="Segoe UI" w:hAnsi="Segoe UI" w:cs="Segoe UI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números: a substituição ocorreu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 da ação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33 dias depois da suposta autorização da fabricante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74 dias depois do fim do prazo legal de 30 dias</w:t>
      </w:r>
      <w:r>
        <w:rPr>
          <w:rFonts w:ascii="Segoe UI" w:eastAsia="Segoe UI" w:hAnsi="Segoe UI" w:cs="Segoe UI"/>
          <w:color w:val="000000"/>
        </w:rPr>
        <w:t xml:space="preserve"> e </w:t>
      </w:r>
      <w:r>
        <w:rPr>
          <w:rFonts w:ascii="Segoe UI" w:eastAsia="Segoe UI" w:hAnsi="Segoe UI" w:cs="Segoe UI"/>
          <w:b/>
          <w:bCs/>
          <w:color w:val="000000"/>
        </w:rPr>
        <w:t xml:space="preserve">104 dias depois da reclamação</w:t>
      </w:r>
      <w:r>
        <w:rPr>
          <w:rFonts w:ascii="Segoe UI" w:eastAsia="Segoe UI" w:hAnsi="Segoe UI" w:cs="Segoe UI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Segoe UI" w:eastAsia="Segoe UI" w:hAnsi="Segoe UI" w:cs="Segoe UI"/>
          <w:b/>
          <w:bCs/>
          <w:color w:val="000000"/>
        </w:rPr>
        <w:t xml:space="preserve">depois e por causa da ação</w:t>
      </w:r>
      <w:r>
        <w:rPr>
          <w:rFonts w:ascii="Segoe UI" w:eastAsia="Segoe UI" w:hAnsi="Segoe UI" w:cs="Segoe UI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documentos relativos à entrega, de 15/07/2026, que a Recorrente junta nos termos do art. 435 do CPC (Docs. 3 a 6), mostram que a troca foi tratada pela própria Ferreira Costa como 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demanda judicial</w:t>
      </w:r>
      <w:r>
        <w:rPr>
          <w:rFonts w:ascii="Segoe UI" w:eastAsia="Segoe UI" w:hAnsi="Segoe UI" w:cs="Segoe UI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o recibo de quitação (Doc. 3)</w:t>
      </w:r>
      <w:r>
        <w:rPr>
          <w:rFonts w:ascii="Segoe UI" w:eastAsia="Segoe UI" w:hAnsi="Segoe UI" w:cs="Segoe UI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Segoe UI" w:eastAsia="Segoe UI" w:hAnsi="Segoe UI" w:cs="Segoe UI"/>
          <w:b/>
          <w:bCs/>
          <w:color w:val="000000"/>
        </w:rPr>
        <w:t xml:space="preserve">incluindo qualquer espécie de verba ou crédito indenizatório</w:t>
      </w:r>
      <w:r>
        <w:rPr>
          <w:rFonts w:ascii="Segoe UI" w:eastAsia="Segoe UI" w:hAnsi="Segoe UI" w:cs="Segoe UI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Segoe UI" w:eastAsia="Segoe UI" w:hAnsi="Segoe UI" w:cs="Segoe UI"/>
          <w:b/>
          <w:bCs/>
          <w:color w:val="000000"/>
        </w:rPr>
        <w:t xml:space="preserve">recusou-se a assinar</w:t>
      </w:r>
      <w:r>
        <w:rPr>
          <w:rFonts w:ascii="Segoe UI" w:eastAsia="Segoe UI" w:hAnsi="Segoe UI" w:cs="Segoe UI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Doc. 3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a ordem interna de entrega da Ferreira Costa é intitulada “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SENTENÇA – TROCA DE PRODUTO</w:t>
      </w:r>
      <w:r>
        <w:rPr>
          <w:rFonts w:ascii="Segoe UI" w:eastAsia="Segoe UI" w:hAnsi="Segoe UI" w:cs="Segoe UI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4);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a caixa da cadeira entregue veio com a etiqueta “</w:t>
      </w:r>
      <w:r>
        <w:rPr>
          <w:rFonts w:ascii="Segoe UI" w:eastAsia="Segoe UI" w:hAnsi="Segoe UI" w:cs="Segoe UI"/>
          <w:b/>
          <w:bCs/>
          <w:color w:val="000000"/>
        </w:rPr>
        <w:t xml:space="preserve">RESERVADO JURÍDICO – Produto em reserva para cumprir demanda judicial</w:t>
      </w:r>
      <w:r>
        <w:rPr>
          <w:rFonts w:ascii="Segoe UI" w:eastAsia="Segoe UI" w:hAnsi="Segoe UI" w:cs="Segoe UI"/>
          <w:color w:val="000000"/>
        </w:rPr>
        <w:t xml:space="preserve">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o DANFe da troca (NF-e n.º 2.034.024) está datado de 15/07/2026, e a Recorrente anotou nele a data da efetivação da troca (Doc. 6). A mesma data consta do comprovante de entrega juntado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Segoe UI" w:eastAsia="Segoe UI" w:hAnsi="Segoe UI" w:cs="Segoe UI"/>
          <w:b/>
          <w:bCs/>
          <w:color w:val="000000"/>
        </w:rPr>
        <w:t xml:space="preserve">não resolveu o problema em via administrativa</w:t>
      </w:r>
      <w:r>
        <w:rPr>
          <w:rFonts w:ascii="Segoe UI" w:eastAsia="Segoe UI" w:hAnsi="Segoe UI" w:cs="Segoe UI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II.3 – O vício, o prazo legal e a responsabilidade solidária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II.4 – O dano moral: não se trata de dissabor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Primeiro</w:t>
      </w:r>
      <w:r>
        <w:rPr>
          <w:rFonts w:ascii="Segoe UI" w:eastAsia="Segoe UI" w:hAnsi="Segoe UI" w:cs="Segoe UI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Segoe UI" w:eastAsia="Segoe UI" w:hAnsi="Segoe UI" w:cs="Segoe UI"/>
          <w:b/>
          <w:bCs/>
          <w:color w:val="000000"/>
        </w:rPr>
        <w:t xml:space="preserve">e morais</w:t>
      </w:r>
      <w:r>
        <w:rPr>
          <w:rFonts w:ascii="Segoe UI" w:eastAsia="Segoe UI" w:hAnsi="Segoe UI" w:cs="Segoe UI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Segundo</w:t>
      </w:r>
      <w:r>
        <w:rPr>
          <w:rFonts w:ascii="Segoe UI" w:eastAsia="Segoe UI" w:hAnsi="Segoe UI" w:cs="Segoe UI"/>
          <w:color w:val="000000"/>
        </w:rPr>
        <w:t xml:space="preserve">, o caso não é de mero descumprimento contratual ou percalço cotidiano. A consumidora recebeu </w:t>
      </w:r>
      <w:r>
        <w:rPr>
          <w:rFonts w:ascii="Segoe UI" w:eastAsia="Segoe UI" w:hAnsi="Segoe UI" w:cs="Segoe UI"/>
          <w:b/>
          <w:bCs/>
          <w:color w:val="000000"/>
        </w:rPr>
        <w:t xml:space="preserve">recusa expressa e escrita</w:t>
      </w:r>
      <w:r>
        <w:rPr>
          <w:rFonts w:ascii="Segoe UI" w:eastAsia="Segoe UI" w:hAnsi="Segoe UI" w:cs="Segoe UI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Segoe UI" w:eastAsia="Segoe UI" w:hAnsi="Segoe UI" w:cs="Segoe UI"/>
          <w:b/>
          <w:bCs/>
          <w:color w:val="000000"/>
        </w:rPr>
        <w:t xml:space="preserve">104 dias</w:t>
      </w:r>
      <w:r>
        <w:rPr>
          <w:rFonts w:ascii="Segoe UI" w:eastAsia="Segoe UI" w:hAnsi="Segoe UI" w:cs="Segoe UI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Terceiro</w:t>
      </w:r>
      <w:r>
        <w:rPr>
          <w:rFonts w:ascii="Segoe UI" w:eastAsia="Segoe UI" w:hAnsi="Segoe UI" w:cs="Segoe UI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3)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DA JUNTADA DE DOCUMENTOS (ART. 435 DO CPC)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Docs. 3 a 6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DOS PEDIDOS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a concessão da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o conhecimento e o </w:t>
      </w:r>
      <w:r>
        <w:rPr>
          <w:rFonts w:ascii="Segoe UI" w:eastAsia="Segoe UI" w:hAnsi="Segoe UI" w:cs="Segoe UI"/>
          <w:b/>
          <w:bCs/>
          <w:color w:val="000000"/>
        </w:rPr>
        <w:t xml:space="preserve">provimento do recurso</w:t>
      </w:r>
      <w:r>
        <w:rPr>
          <w:rFonts w:ascii="Segoe UI" w:eastAsia="Segoe UI" w:hAnsi="Segoe UI" w:cs="Segoe UI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a </w:t>
      </w:r>
      <w:r>
        <w:rPr>
          <w:rFonts w:ascii="Segoe UI" w:eastAsia="Segoe UI" w:hAnsi="Segoe UI" w:cs="Segoe UI"/>
          <w:b/>
          <w:bCs/>
          <w:color w:val="000000"/>
        </w:rPr>
        <w:t xml:space="preserve">condenação solidária das Recorridas</w:t>
      </w:r>
      <w:r>
        <w:rPr>
          <w:rFonts w:ascii="Segoe UI" w:eastAsia="Segoe UI" w:hAnsi="Segoe UI" w:cs="Segoe UI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Documentos: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Doc. 1 – Comprovantes da advocacia (cartão CNPJ, DAS 06 a 08/2026, recebíveis 06 a 08/2026); Doc. 2 – IRPF 2026 (ano-base 2025) e contracheques SESAB de julho e agosto/2026; Doc. 3 – Recibo de quitação apresentado pela Ferreira Costa na entrega, não assinado, com ressalva manuscrita, 15/07/2026; Doc. 4 – Ordem interna “Cumprimento de Sentença – Troca de Produto”, 15/07/2026; Doc. 5 – Fotografia da embalagem entregue (“Reservado Jurídico”), 15/07/2026; Doc. 6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