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 w:line="300" w:lineRule="auto"/>
        <w:jc w:val="center"/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QUADRO COMPARATIVO DE MENSALIDADES</w:t>
      </w:r>
    </w:p>
    <w:p>
      <w:pPr>
        <w:spacing w:before="0" w:after="240" w:line="300" w:lineRule="auto"/>
        <w:jc w:val="center"/>
      </w:pP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 xml:space="preserve">AÇÕES REVISIONAIS DE REAJUSTE DE PLANO DE SAÚDE</w:t>
      </w:r>
    </w:p>
    <w:p>
      <w:pPr>
        <w:spacing w:before="0" w:after="120" w:line="300" w:lineRule="auto"/>
        <w:ind w:left="0" w:firstLine="1134"/>
        <w:jc w:val="both"/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O presente quadro reúne, por processo, as mensalidades do plano de saúde em ações revisionais de reajuste patrocinadas por Simone Murta Martins (OAB/BA 48.851), em três momentos: (i) a mensalidade inicial documentada; (ii) a mensalidade cobrada antes da revisional; e (iii) a mensalidade praticada após a liminar, sentença ou acórdão, com a indicação da prova localizada. Na última coluna de valores consta o valor devido, conforme decisão judicial ou cálculo apresentado em cada processo.</w:t>
      </w:r>
    </w:p>
    <w:p>
      <w:pPr>
        <w:spacing w:before="0" w:after="200" w:line="300" w:lineRule="auto"/>
        <w:ind w:left="0" w:firstLine="1134"/>
        <w:jc w:val="both"/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Os clientes são identificados por iniciais, em observância ao sigilo profissional e à Lei Geral de Proteção de Dados. Quando o documento de origem não foi localizado, o campo indica “não localizado”, sem estimativa ou presunção de valor. O valor devido apurado em cálculo corresponde à pretensão da parte e não equivale a resultado obtido.</w:t>
      </w:r>
    </w:p>
    <w:tbl>
      <w:tblPr>
        <w:tblW w:w="10500" w:type="dxa"/>
        <w:tblInd w:w="-998" w:type="dxa"/>
        <w:tblBorders>
          <w:top w:val="single" w:sz="4" w:space="0" w:color="BFB3A3"/>
          <w:left w:val="single" w:sz="4" w:space="0" w:color="BFB3A3"/>
          <w:bottom w:val="single" w:sz="4" w:space="0" w:color="BFB3A3"/>
          <w:right w:val="single" w:sz="4" w:space="0" w:color="BFB3A3"/>
          <w:insideH w:val="single" w:sz="4" w:space="0" w:color="BFB3A3"/>
          <w:insideV w:val="single" w:sz="4" w:space="0" w:color="BFB3A3"/>
        </w:tblBorders>
        <w:tblLayout w:type="fixed"/>
        <w:tblCellMar>
          <w:left w:w="60" w:type="dxa"/>
          <w:right w:w="60" w:type="dxa"/>
        </w:tblCellMar>
      </w:tblPr>
      <w:tblGrid>
        <w:gridCol w:w="1700"/>
        <w:gridCol w:w="1050"/>
        <w:gridCol w:w="1250"/>
        <w:gridCol w:w="1400"/>
        <w:gridCol w:w="2850"/>
        <w:gridCol w:w="1650"/>
        <w:gridCol w:w="600"/>
      </w:tblGrid>
      <w:tr>
        <w:trPr>
          <w:cantSplit/>
          <w:tblHeader/>
        </w:trPr>
        <w:tc>
          <w:tcPr>
            <w:tcW w:w="1700" w:type="dxa"/>
            <w:shd w:val="clear" w:color="auto" w:fill="5C4033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5"/>
                <w:szCs w:val="15"/>
              </w:rPr>
              <w:t xml:space="preserve">Cliente e processo</w:t>
            </w:r>
          </w:p>
        </w:tc>
        <w:tc>
          <w:tcPr>
            <w:tcW w:w="1050" w:type="dxa"/>
            <w:shd w:val="clear" w:color="auto" w:fill="5C4033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5"/>
                <w:szCs w:val="15"/>
              </w:rPr>
              <w:t xml:space="preserve">Operadora</w:t>
            </w:r>
          </w:p>
        </w:tc>
        <w:tc>
          <w:tcPr>
            <w:tcW w:w="1250" w:type="dxa"/>
            <w:shd w:val="clear" w:color="auto" w:fill="5C4033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5"/>
                <w:szCs w:val="15"/>
              </w:rPr>
              <w:t xml:space="preserve">Inicial (competência)</w:t>
            </w:r>
          </w:p>
        </w:tc>
        <w:tc>
          <w:tcPr>
            <w:tcW w:w="1400" w:type="dxa"/>
            <w:shd w:val="clear" w:color="auto" w:fill="5C4033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5"/>
                <w:szCs w:val="15"/>
              </w:rPr>
              <w:t xml:space="preserve">Antes da revisional</w:t>
            </w:r>
          </w:p>
        </w:tc>
        <w:tc>
          <w:tcPr>
            <w:tcW w:w="2850" w:type="dxa"/>
            <w:shd w:val="clear" w:color="auto" w:fill="5C4033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5"/>
                <w:szCs w:val="15"/>
              </w:rPr>
              <w:t xml:space="preserve">Após a revisional, com a prova localizada</w:t>
            </w:r>
          </w:p>
        </w:tc>
        <w:tc>
          <w:tcPr>
            <w:tcW w:w="1650" w:type="dxa"/>
            <w:shd w:val="clear" w:color="auto" w:fill="5C4033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5"/>
                <w:szCs w:val="15"/>
              </w:rPr>
              <w:t xml:space="preserve">Devido (decisão ou cálculo)</w:t>
            </w:r>
          </w:p>
        </w:tc>
        <w:tc>
          <w:tcPr>
            <w:tcW w:w="600" w:type="dxa"/>
            <w:shd w:val="clear" w:color="auto" w:fill="5C4033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FFFFFF"/>
                <w:sz w:val="15"/>
                <w:szCs w:val="15"/>
              </w:rPr>
              <w:t xml:space="preserve">Prova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W.M.C.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8046551-44.2024.8.05.0001 (Apelação)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CASSI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R$ 601,50 (01/2019, extrato BEN120 da operadora)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R$ 984,04 (jan–abr/2026)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R$ 790,60 fixado por decisão da Relatora (08/04/2026) e comunicado pela CASSI em 23/09/2026 para o vencimento de 03/10/2026. Boleto ou pagamento: não localizado.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R$ 790,60 (decisão)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J.A.O.B.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AI 8077151-17.2025.8.05.0000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CASSI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R$ 203,47 (07/2002)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R$ 2.158,02 (jun–out/2025)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Acórdão de 07/07/2026 manda observar a FIPE Saúde nos reajustes futuros, sem fixar valor. Valor praticado depois: não localizado.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R$ 1.055,07 (FIPE Saúde, cálculo)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J.C.N.V.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AI 8059805-53.2025.8.05.0000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CASSI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R$ 326,69 (01/2015)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R$ 1.565,42 (08/2025)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R$ 934,67 desde 03/2026, conforme informado pela CASSI e registrado na sentença de 16/07/2026. Petição e boleto não conferidos.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R$ 935,72 (pedido); R$ 1.105,09 (recálculo da sentença)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E.N.C.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8131992-56.2025.8.05.0001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CASSI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R$ 393,49 (05/2015)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R$ 2.132,65 (liminar de 12/08/2025; jan–mar/2026)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R$ 1.153,66, conforme comunicado da CASSI (09/04/2026), boleto com vencimento em 08/05/2026 e petição da CASSI de 18/06/2026.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R$ 1.153,66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M.C.G.B.V.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8013606-71.2026.8.05.0150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CASSI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R$ 142,89 (03/2006)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R$ 889,65 (03/2025–01/2026)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há liminar, sentença ou acórdão que fixe valor.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R$ 451,57 (PRECIFEX de 04/02/2026)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A.M.F.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8166682-77.2026.8.05.0001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CASSI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R$ 3.303,89 (07/2022)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R$ 5.277,90 (jul/2025–jun/2026); R$ 5.956,12 (07/2026)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Liminar pendente de apreciação em 14/09/2026.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R$ 4.170,49 (2026/27, PRECIFEX)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R.B.A.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8171876-58.2026.8.05.0001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CASSI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R$ 107,44 (2003)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R$ 2.356,51 (05/2026)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localizado.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R$ 855,47 (cálculo)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E.B.L.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0014991-55.2026.8.05.0001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Bradesco Saúde / Qualicorp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R$ 996,84 (03/2021)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R$ 4.224,43 (01/2026)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R$ 3.202,60 (boleto de 03/2026, já com a liminar); R$ 1.724,64 (comprovantes de 06 e 07/2026, sem a multa). Sentença e liminar conferidas só pelo resumo do recurso.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R$ 1.549,16 (sem ANS 2021, conforme sentença)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D.S.L.P.S.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0206792-31.2024.8.05.0001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Bradesco Saúde / Qualicorp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R$ 603,20 (01/2016)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R$ 3.276,99 (planilha de 19/09/2024)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localizado.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R$ 1.376,17 (07/2024); R$ 1.284,96 (10–12/2024)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P.S.T.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0200914-91.2025.8.05.0001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Bradesco Saúde / Qualicorp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R$ 797,87 (11/2019)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R$ 3.019,61 (jan–out/2025)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R$ 1.198,94 desde 11/2025, conforme a petição de cumprimento de 17/04/2026. Boleto ou comprovante: não localizado.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R$ 1.151,17 (planilha)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A.P.S.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8003563-71.2025.8.05.0001 (AI 8009715-41.2025.8.05.0000)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Bradesco Saúde / Qualicorp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R$ 1.246,18 (01/2019)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R$ 2.297,21 (09/2024, decisão da liminar)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Sem prova de redução. Único boleto localizado, de 01/2026: R$ 3.435,87.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R$ 2.500,02 (a partir de 07/2025)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M.C.R.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0028310-61.2024.8.05.0001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Bradesco Saúde / Qualicorp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R$ 1.105,32 (07/2020)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R$ 2.683,88 (jan–out/2024)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A sentença de 05/06/2024 não fixa o valor da mensalidade. Valor praticado em 2026: não localizado.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R$ 1.467,17 (planilha de 03/02/2024)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E.R.P.R.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0024757-69.2025.8.05.0001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Bradesco Saúde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localizada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R$ 2.887,51 (prêmio, 10/2024)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R$ 2.550,00 (prêmio), conforme boleto retificado de 06/2025 (total de R$ 2.610,69, com IOF).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R$ 2.470,98 (planilha)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W.M. e família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0750801-93.2026.8.07.0001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Bradesco Saúde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R$ 2.804,37 (01/2021, grupo familiar)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R$ 8.801,90 (11/2025–08/2026, grupo familiar)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há: tutela indeferida em 01/09/2026.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R$ 4.686,30 (inicial); R$ 5.067,77 (parecer)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A.S.C.S.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0000217-45.2025.8.05.0004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Sul América / Qualicorp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R$ 777,12 (08/2021)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R$ 1.402,95 (03/2025)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Sem prova de redução: boletos seguem em R$ 1.402,95 (jul/2025–fev/2026). Boleto de R$ 1.499,89 pago em 10/08/2026.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R$ 1.103,67 (sentença dos embargos)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H.A.F.B.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0128414-90.2026.8.05.0001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Sul América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R$ 2.010,08 (11/2022)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R$ 3.458,09 (11/2025–06/2026)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Sentença favorável, mas o arquivo não é legível. Valor posterior: não localizado.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R$ 2.498,71 (PRECIFEX, 06/2026)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L.M.B.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8105999-79.2023.8.05.0001 (liminar); 0561451-29.2015.8.05.0001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Sul América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localizada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consolidado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A liminar de 2023 não fixa valor. Sem prova.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R$ 3.757,63 (cálculo da autora, 07/2026)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L.M.S.O.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4040262-07.2026.8.26.0100 (TJSP)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Sul América / Qualicorp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R$ 972,39 (04/2019)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R$ 4.000,69 (12/2025–02/2026)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há: liminar indeferida.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R$ 1.763,85 (PRECIFEX, 03/2026)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F.M.P.D.J.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0055847-61.2026.8.05.0001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Sul América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R$ 2.203,49 (12/2023)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R$ 2.969,60 (12/2025–01/2026)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R$ 2.886,98 (05/2026) e R$ 2.744,29 (07/2026), conforme contracheques citados na manifestação de 10/09/2026.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R$ 2.498,51 (PRECIFEX)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S.H.A.C.O.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0001674-05.2025.8.17.2001 (TJPE)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Sul América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R$ 1.276,58 (2020)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R$ 3.438,27 (12/2024–06/2025)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localizado. A sentença determinou a emissão de boletos.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R$ 2.458,13 (planilha de 06/2025)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C.C.S.G.P.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0170920-18.2025.8.05.0001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Unimed Nacional / Tecben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R$ 777,93 (10/2022)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R$ 1.948,60 (09–10/2025)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R$ 1.051,12 fixado pela liminar de 08/10/2025. Boleto de 11/2025 pago por R$ 1.056,11, conforme petição de cumprimento (comprovante não conferido).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R$ 1.051,12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I.L.F.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8004411-14.2024.8.05.0124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Unimed / Tecben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R$ 388,29 (02–05/2023)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R$ 2.894,94 (a partir de 09/2024)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localizado.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R$ 449,24 (ANS, a partir de 09/2024)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G.E.S. e outros (6)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8001454-65.2024.8.05.0148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Unimed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R$ 4.248,92 (11/2018, 7 beneficiários)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R$ 12.674,40 (ago–dez/2024)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A operadora não praticou o valor da decisão (R$ 6.701,87 em 05/2026, para 5 beneficiários). R$ 4.090,56 depositados em juízo.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R$ 4.709,36 (parecer)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I.M.S.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8000906-30.2025.8.05.0237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Unimed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R$ 244,58 (01/2021)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R$ 1.387,16 (10/2025–07/2026)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localizado: boletos até 07/2026 seguem em R$ 1.387,16.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R$ 401,13 (planilha)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N.S.S.C.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0002251-60.2026.8.05.0229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Unimed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R$ 587,71 (08/2019)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R$ 1.413,70 (08/2025)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localizado: a tutela não reduziu a mensalidade.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R$ 910,56 (parecer)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F.P.A.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0132843-08.2023.8.05.0001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Unimed / Qualicorp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R$ 599,09 (10/2022)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R$ 1.217,38 (06/2023)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Não localizado.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R$ 751,23 (planilha de 10/2024)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C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M.E.S.F.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8129435-96.2025.8.05.0001</w:t>
            </w:r>
          </w:p>
        </w:tc>
        <w:tc>
          <w:tcPr>
            <w:tcW w:w="10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Amil / Qualicorp</w:t>
            </w:r>
          </w:p>
        </w:tc>
        <w:tc>
          <w:tcPr>
            <w:tcW w:w="12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R$ 384,76 (12/2018, proposta)</w:t>
            </w:r>
          </w:p>
        </w:tc>
        <w:tc>
          <w:tcPr>
            <w:tcW w:w="140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R$ 1.848,99 (07/2025)</w:t>
            </w:r>
          </w:p>
        </w:tc>
        <w:tc>
          <w:tcPr>
            <w:tcW w:w="28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R$ 657,17: boletos de 10–12/2025 e valor fixado na sentença de 09/07/2026. Descumprimento posterior (R$ 919,38 em 07/2026).</w:t>
            </w:r>
          </w:p>
        </w:tc>
        <w:tc>
          <w:tcPr>
            <w:tcW w:w="1650" w:type="dxa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R$ 657,17 (sentença)</w:t>
            </w:r>
          </w:p>
        </w:tc>
        <w:tc>
          <w:tcPr>
            <w:tcW w:w="600" w:type="dxa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3EBDD"/>
            <w:vAlign w:val="top"/>
          </w:tcPr>
          <w:p>
            <w:pPr>
              <w:spacing w:before="20" w:after="0" w:line="240" w:lineRule="auto"/>
              <w:jc w:val="left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R.C.S.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4"/>
                <w:szCs w:val="14"/>
              </w:rPr>
              <w:t xml:space="preserve">0855630-37.2025.8.20.5001 (TJRN)</w:t>
            </w:r>
          </w:p>
        </w:tc>
        <w:tc>
          <w:tcPr>
            <w:tcW w:w="10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Amil / Qualicorp</w:t>
            </w:r>
          </w:p>
        </w:tc>
        <w:tc>
          <w:tcPr>
            <w:tcW w:w="12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R$ 1.202,56 (01/2018)</w:t>
            </w:r>
          </w:p>
        </w:tc>
        <w:tc>
          <w:tcPr>
            <w:tcW w:w="14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R$ 6.575,27 (07/2025)</w:t>
            </w:r>
          </w:p>
        </w:tc>
        <w:tc>
          <w:tcPr>
            <w:tcW w:w="28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Valor conflitante entre as fontes (liminar: R$ 6.911,27; manifestação de 27/07/2026: R$ 6.916,27).</w:t>
            </w:r>
          </w:p>
        </w:tc>
        <w:tc>
          <w:tcPr>
            <w:tcW w:w="165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Book Antiqua" w:eastAsia="Book Antiqua" w:hAnsi="Book Antiqua" w:cs="Book Antiqua"/>
                <w:color w:val="000000"/>
                <w:sz w:val="15"/>
                <w:szCs w:val="15"/>
              </w:rPr>
              <w:t xml:space="preserve">R$ 2.001,20 (ANS, 07/2025)</w:t>
            </w:r>
          </w:p>
        </w:tc>
        <w:tc>
          <w:tcPr>
            <w:tcW w:w="600" w:type="dxa"/>
            <w:shd w:val="clear" w:color="auto" w:fill="F3EBDD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Book Antiqua" w:eastAsia="Book Antiqua" w:hAnsi="Book Antiqua" w:cs="Book Antiqua"/>
                <w:b/>
                <w:color w:val="000000"/>
                <w:sz w:val="15"/>
                <w:szCs w:val="15"/>
              </w:rPr>
              <w:t xml:space="preserve">B</w:t>
            </w:r>
          </w:p>
        </w:tc>
      </w:tr>
    </w:tbl>
    <w:p>
      <w:pPr>
        <w:keepNext/>
        <w:spacing w:before="200" w:after="40" w:line="300" w:lineRule="auto"/>
        <w:jc w:val="left"/>
      </w:pPr>
      <w:r>
        <w:rPr>
          <w:rFonts w:ascii="Book Antiqua" w:eastAsia="Book Antiqua" w:hAnsi="Book Antiqua" w:cs="Book Antiqua"/>
          <w:b/>
          <w:color w:val="000000"/>
          <w:sz w:val="18"/>
          <w:szCs w:val="18"/>
        </w:rPr>
        <w:t xml:space="preserve">Legenda da coluna “Prova”</w:t>
      </w:r>
    </w:p>
    <w:p>
      <w:pPr>
        <w:spacing w:before="0" w:after="20" w:line="260" w:lineRule="auto"/>
        <w:jc w:val="left"/>
      </w:pPr>
      <w:r>
        <w:rPr>
          <w:rFonts w:ascii="Book Antiqua" w:eastAsia="Book Antiqua" w:hAnsi="Book Antiqua" w:cs="Book Antiqua"/>
          <w:color w:val="000000"/>
          <w:sz w:val="18"/>
          <w:szCs w:val="18"/>
        </w:rPr>
        <w:t xml:space="preserve">A — valor praticado após a revisional comprovado por documento (comunicado da operadora, boleto, petição da operadora): 2 processos.</w:t>
      </w:r>
    </w:p>
    <w:p>
      <w:pPr>
        <w:spacing w:before="0" w:after="20" w:line="260" w:lineRule="auto"/>
        <w:jc w:val="left"/>
      </w:pPr>
      <w:r>
        <w:rPr>
          <w:rFonts w:ascii="Book Antiqua" w:eastAsia="Book Antiqua" w:hAnsi="Book Antiqua" w:cs="Book Antiqua"/>
          <w:color w:val="000000"/>
          <w:sz w:val="18"/>
          <w:szCs w:val="18"/>
        </w:rPr>
        <w:t xml:space="preserve">B — valor informado em decisão, petição ou demonstrativo, com documento de origem ainda a conferir: 9 processos.</w:t>
      </w:r>
    </w:p>
    <w:p>
      <w:pPr>
        <w:spacing w:before="0" w:after="20" w:line="260" w:lineRule="auto"/>
        <w:jc w:val="left"/>
      </w:pPr>
      <w:r>
        <w:rPr>
          <w:rFonts w:ascii="Book Antiqua" w:eastAsia="Book Antiqua" w:hAnsi="Book Antiqua" w:cs="Book Antiqua"/>
          <w:color w:val="000000"/>
          <w:sz w:val="18"/>
          <w:szCs w:val="18"/>
        </w:rPr>
        <w:t xml:space="preserve">C — sem prova do valor praticado após a revisional: 17 processos.</w:t>
      </w:r>
    </w:p>
    <w:p>
      <w:pPr>
        <w:keepNext/>
        <w:spacing w:before="160" w:after="40" w:line="300" w:lineRule="auto"/>
        <w:jc w:val="left"/>
      </w:pPr>
      <w:r>
        <w:rPr>
          <w:rFonts w:ascii="Book Antiqua" w:eastAsia="Book Antiqua" w:hAnsi="Book Antiqua" w:cs="Book Antiqua"/>
          <w:b/>
          <w:color w:val="000000"/>
          <w:sz w:val="18"/>
          <w:szCs w:val="18"/>
        </w:rPr>
        <w:t xml:space="preserve">Notas</w:t>
      </w:r>
    </w:p>
    <w:p>
      <w:pPr>
        <w:spacing w:before="0" w:after="40" w:line="260" w:lineRule="auto"/>
        <w:jc w:val="both"/>
      </w:pPr>
      <w:r>
        <w:rPr>
          <w:rFonts w:ascii="Book Antiqua" w:eastAsia="Book Antiqua" w:hAnsi="Book Antiqua" w:cs="Book Antiqua"/>
          <w:color w:val="000000"/>
          <w:sz w:val="18"/>
          <w:szCs w:val="18"/>
        </w:rPr>
        <w:t xml:space="preserve">1. “Inicial” é o primeiro valor documentado nas fontes localizadas, com a competência indicada. Nem sempre corresponde à primeira mensalidade do contrato.</w:t>
      </w:r>
    </w:p>
    <w:p>
      <w:pPr>
        <w:spacing w:before="0" w:after="40" w:line="260" w:lineRule="auto"/>
        <w:jc w:val="both"/>
      </w:pPr>
      <w:r>
        <w:rPr>
          <w:rFonts w:ascii="Book Antiqua" w:eastAsia="Book Antiqua" w:hAnsi="Book Antiqua" w:cs="Book Antiqua"/>
          <w:color w:val="000000"/>
          <w:sz w:val="18"/>
          <w:szCs w:val="18"/>
        </w:rPr>
        <w:t xml:space="preserve">2. Valores de planilha própria (PRECIFEX, JL Perícias e planilhas do escritório) e de parecer técnico são cálculos e não substituem o boleto, o comunicado da operadora ou a decisão.</w:t>
      </w:r>
    </w:p>
    <w:p>
      <w:pPr>
        <w:spacing w:before="0" w:after="40" w:line="260" w:lineRule="auto"/>
        <w:jc w:val="both"/>
      </w:pPr>
      <w:r>
        <w:rPr>
          <w:rFonts w:ascii="Book Antiqua" w:eastAsia="Book Antiqua" w:hAnsi="Book Antiqua" w:cs="Book Antiqua"/>
          <w:color w:val="000000"/>
          <w:sz w:val="18"/>
          <w:szCs w:val="18"/>
        </w:rPr>
        <w:t xml:space="preserve">3. Foram considerados apenas processos de reajuste. Processos de negativa de cobertura, reativação, portabilidade e demais temas ficaram fora do quadro.</w:t>
      </w:r>
    </w:p>
    <w:p>
      <w:pPr>
        <w:spacing w:before="0" w:after="40" w:line="260" w:lineRule="auto"/>
        <w:jc w:val="both"/>
      </w:pPr>
      <w:r>
        <w:rPr>
          <w:rFonts w:ascii="Book Antiqua" w:eastAsia="Book Antiqua" w:hAnsi="Book Antiqua" w:cs="Book Antiqua"/>
          <w:color w:val="000000"/>
          <w:sz w:val="18"/>
          <w:szCs w:val="18"/>
        </w:rPr>
        <w:t xml:space="preserve">4. Posição consolidada em 07/10/2026, a partir dos documentos disponíveis no Drive e no Notion do escritório. Os valores devem ser conferidos nos autos antes da juntada.</w:t>
      </w:r>
    </w:p>
    <w:p>
      <w:pPr>
        <w:spacing w:before="360" w:after="360" w:line="300" w:lineRule="auto"/>
        <w:jc w:val="left"/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Lauro de Freitas/BA, 7 de outubro de 2026.</w:t>
      </w:r>
    </w:p>
    <w:p>
      <w:pPr>
        <w:spacing w:before="240" w:after="0" w:line="300" w:lineRule="auto"/>
        <w:jc w:val="center"/>
      </w:pP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 xml:space="preserve">SIMONE MURTA MARTINS</w:t>
      </w:r>
    </w:p>
    <w:p>
      <w:pPr>
        <w:spacing w:before="0" w:after="0" w:line="300" w:lineRule="auto"/>
        <w:jc w:val="center"/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OAB/BA 48.851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1B6CE-6DC2-49B4-864C-A6DDC5F3D0D4}"/>
    <w:embedBold r:id="rId2" w:fontKey="{92730A9E-F849-4B25-ACC9-11DE704FA313}"/>
    <w:embedItalic r:id="rId3" w:fontKey="{FF03BD81-FCE3-4BE1-B15A-09C73ED856ED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4" w:fontKey="{1940623A-F31E-4D46-9590-40CC2BF0C8E9}"/>
    <w:embedBold r:id="rId5" w:fontKey="{E3E01D79-FB9D-4E45-BD69-F7B257419F63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03F8F00-EF59-4066-B9A0-9CB74FEC1291}"/>
    <w:embedBold r:id="rId7" w:fontKey="{32CCD95A-EF51-4DCF-A093-41AFC6FAD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3A8C1679-E646-4BAA-B8AC-89C409431CC0}"/>
    <w:embedItalic r:id="rId9" w:fontKey="{49B9F5C5-F0BF-4FEE-A894-2A5726E58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9EE8D44C-63C6-4EF7-8E93-07325AD19BB4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 r:id="rId11" w:fontKey="{E17CC148-0D72-4736-9C23-CCD92EFB6A8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D305128-8DA3-48FE-AA0F-F78496254D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3976792-DD08-42A0-B555-A7203B5265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